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4CCC34">
      <w:pPr>
        <w:rPr>
          <w:rFonts w:hint="eastAsia"/>
          <w:color w:val="auto"/>
          <w:highlight w:val="none"/>
        </w:rPr>
      </w:pPr>
    </w:p>
    <w:p w14:paraId="7C6688AF">
      <w:pPr>
        <w:rPr>
          <w:rFonts w:hint="eastAsia"/>
          <w:color w:val="auto"/>
          <w:highlight w:val="none"/>
        </w:rPr>
      </w:pPr>
    </w:p>
    <w:p w14:paraId="65B69CCC">
      <w:pPr>
        <w:rPr>
          <w:rFonts w:hint="eastAsia"/>
          <w:color w:val="auto"/>
          <w:highlight w:val="none"/>
        </w:rPr>
      </w:pPr>
    </w:p>
    <w:p w14:paraId="0E7AB5E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color w:val="auto"/>
          <w:sz w:val="52"/>
          <w:szCs w:val="52"/>
          <w:highlight w:val="none"/>
          <w:lang w:val="en-US" w:eastAsia="zh-CN"/>
        </w:rPr>
      </w:pPr>
      <w:r>
        <w:rPr>
          <w:rFonts w:hint="eastAsia"/>
          <w:b/>
          <w:bCs/>
          <w:color w:val="auto"/>
          <w:sz w:val="52"/>
          <w:szCs w:val="52"/>
          <w:highlight w:val="none"/>
          <w:lang w:val="en-US" w:eastAsia="zh-CN"/>
        </w:rPr>
        <w:t>水环境行业细分场景</w:t>
      </w:r>
    </w:p>
    <w:p w14:paraId="36EA5CC8">
      <w:pPr>
        <w:keepNext w:val="0"/>
        <w:keepLines w:val="0"/>
        <w:pageBreakBefore w:val="0"/>
        <w:widowControl w:val="0"/>
        <w:kinsoku/>
        <w:wordWrap/>
        <w:overflowPunct/>
        <w:topLinePunct w:val="0"/>
        <w:autoSpaceDE/>
        <w:autoSpaceDN/>
        <w:bidi w:val="0"/>
        <w:adjustRightInd/>
        <w:snapToGrid/>
        <w:ind w:firstLine="0" w:firstLineChars="0"/>
        <w:jc w:val="right"/>
        <w:textAlignment w:val="auto"/>
        <w:rPr>
          <w:rFonts w:hint="default" w:eastAsia="宋体"/>
          <w:b/>
          <w:bCs/>
          <w:color w:val="auto"/>
          <w:sz w:val="52"/>
          <w:szCs w:val="52"/>
          <w:highlight w:val="none"/>
          <w:lang w:val="en-US" w:eastAsia="zh-CN"/>
        </w:rPr>
      </w:pPr>
      <w:r>
        <w:rPr>
          <w:rFonts w:hint="eastAsia"/>
          <w:b/>
          <w:bCs/>
          <w:color w:val="auto"/>
          <w:sz w:val="52"/>
          <w:szCs w:val="52"/>
          <w:highlight w:val="none"/>
          <w:lang w:val="en-US" w:eastAsia="zh-CN"/>
        </w:rPr>
        <w:t>——水生态水质监测方案</w:t>
      </w:r>
    </w:p>
    <w:p w14:paraId="5F987076">
      <w:pPr>
        <w:rPr>
          <w:rFonts w:hint="eastAsia"/>
          <w:color w:val="auto"/>
          <w:highlight w:val="none"/>
        </w:rPr>
      </w:pPr>
    </w:p>
    <w:p w14:paraId="3401E6BD">
      <w:pPr>
        <w:rPr>
          <w:rFonts w:hint="eastAsia"/>
          <w:color w:val="auto"/>
          <w:highlight w:val="none"/>
        </w:rPr>
      </w:pPr>
    </w:p>
    <w:p w14:paraId="1C915416">
      <w:pPr>
        <w:rPr>
          <w:rFonts w:hint="eastAsia"/>
          <w:color w:val="auto"/>
          <w:highlight w:val="none"/>
        </w:rPr>
      </w:pPr>
    </w:p>
    <w:p w14:paraId="35B99434">
      <w:pPr>
        <w:rPr>
          <w:rFonts w:hint="eastAsia"/>
          <w:color w:val="auto"/>
          <w:highlight w:val="none"/>
        </w:rPr>
      </w:pPr>
    </w:p>
    <w:p w14:paraId="21E5C6ED">
      <w:pPr>
        <w:rPr>
          <w:rFonts w:hint="eastAsia"/>
          <w:color w:val="auto"/>
          <w:highlight w:val="none"/>
        </w:rPr>
      </w:pPr>
    </w:p>
    <w:p w14:paraId="37D95FEA">
      <w:pPr>
        <w:rPr>
          <w:rFonts w:hint="eastAsia"/>
          <w:color w:val="auto"/>
          <w:highlight w:val="none"/>
        </w:rPr>
      </w:pPr>
    </w:p>
    <w:p w14:paraId="5D093C07">
      <w:pPr>
        <w:rPr>
          <w:rFonts w:hint="eastAsia"/>
          <w:color w:val="auto"/>
          <w:highlight w:val="none"/>
        </w:rPr>
      </w:pPr>
    </w:p>
    <w:p w14:paraId="0C33701D">
      <w:pPr>
        <w:rPr>
          <w:rFonts w:hint="eastAsia"/>
          <w:color w:val="auto"/>
          <w:highlight w:val="none"/>
        </w:rPr>
      </w:pPr>
    </w:p>
    <w:p w14:paraId="19E303D8">
      <w:pPr>
        <w:rPr>
          <w:rFonts w:hint="eastAsia"/>
          <w:color w:val="auto"/>
          <w:highlight w:val="none"/>
        </w:rPr>
      </w:pPr>
    </w:p>
    <w:p w14:paraId="7A24F120">
      <w:pPr>
        <w:rPr>
          <w:rFonts w:hint="eastAsia"/>
          <w:color w:val="auto"/>
          <w:highlight w:val="none"/>
        </w:rPr>
      </w:pPr>
    </w:p>
    <w:p w14:paraId="05C0723D">
      <w:pPr>
        <w:rPr>
          <w:rFonts w:hint="eastAsia"/>
          <w:color w:val="auto"/>
          <w:highlight w:val="none"/>
        </w:rPr>
      </w:pPr>
    </w:p>
    <w:p w14:paraId="2C2C71A1">
      <w:pPr>
        <w:rPr>
          <w:rFonts w:hint="eastAsia"/>
          <w:color w:val="auto"/>
          <w:highlight w:val="none"/>
        </w:rPr>
      </w:pPr>
    </w:p>
    <w:p w14:paraId="2F2A290D">
      <w:pPr>
        <w:rPr>
          <w:rFonts w:hint="eastAsia"/>
          <w:color w:val="auto"/>
          <w:highlight w:val="none"/>
        </w:rPr>
      </w:pPr>
    </w:p>
    <w:p w14:paraId="19888132">
      <w:pPr>
        <w:rPr>
          <w:rFonts w:hint="eastAsia"/>
          <w:color w:val="auto"/>
          <w:highlight w:val="none"/>
        </w:rPr>
      </w:pPr>
    </w:p>
    <w:p w14:paraId="776B9B5F">
      <w:pPr>
        <w:rPr>
          <w:rFonts w:hint="eastAsia"/>
          <w:color w:val="auto"/>
          <w:highlight w:val="none"/>
        </w:rPr>
      </w:pPr>
    </w:p>
    <w:p w14:paraId="256D5A4B">
      <w:pPr>
        <w:rPr>
          <w:rFonts w:hint="eastAsia"/>
          <w:color w:val="auto"/>
          <w:highlight w:val="none"/>
        </w:rPr>
      </w:pPr>
    </w:p>
    <w:p w14:paraId="274A8AFE">
      <w:pPr>
        <w:rPr>
          <w:rFonts w:hint="eastAsia"/>
          <w:color w:val="auto"/>
          <w:highlight w:val="none"/>
        </w:rPr>
      </w:pPr>
    </w:p>
    <w:p w14:paraId="5DBBFBCE">
      <w:pPr>
        <w:rPr>
          <w:rFonts w:hint="eastAsia"/>
          <w:color w:val="auto"/>
          <w:highlight w:val="none"/>
        </w:rPr>
      </w:pPr>
    </w:p>
    <w:p w14:paraId="7D2B2984">
      <w:pPr>
        <w:rPr>
          <w:rFonts w:hint="eastAsia"/>
          <w:color w:val="auto"/>
          <w:highlight w:val="none"/>
        </w:rPr>
      </w:pPr>
    </w:p>
    <w:p w14:paraId="7E21D1EE">
      <w:pPr>
        <w:rPr>
          <w:rFonts w:hint="eastAsia"/>
          <w:color w:val="auto"/>
          <w:highlight w:val="none"/>
        </w:rPr>
      </w:pPr>
    </w:p>
    <w:p w14:paraId="27E7BBA5">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b/>
          <w:bCs/>
          <w:color w:val="auto"/>
          <w:sz w:val="40"/>
          <w:szCs w:val="40"/>
          <w:highlight w:val="none"/>
          <w:lang w:val="zh-CN"/>
        </w:rPr>
      </w:pPr>
      <w:r>
        <w:rPr>
          <w:b/>
          <w:bCs/>
          <w:color w:val="auto"/>
          <w:sz w:val="40"/>
          <w:szCs w:val="40"/>
          <w:highlight w:val="none"/>
        </w:rPr>
        <w:t>202</w:t>
      </w:r>
      <w:r>
        <w:rPr>
          <w:rFonts w:hint="eastAsia"/>
          <w:b/>
          <w:bCs/>
          <w:color w:val="auto"/>
          <w:sz w:val="40"/>
          <w:szCs w:val="40"/>
          <w:highlight w:val="none"/>
        </w:rPr>
        <w:t>5</w:t>
      </w:r>
      <w:r>
        <w:rPr>
          <w:b/>
          <w:bCs/>
          <w:color w:val="auto"/>
          <w:sz w:val="40"/>
          <w:szCs w:val="40"/>
          <w:highlight w:val="none"/>
          <w:lang w:val="zh-CN"/>
        </w:rPr>
        <w:t>年</w:t>
      </w:r>
      <w:r>
        <w:rPr>
          <w:rFonts w:hint="eastAsia"/>
          <w:b/>
          <w:bCs/>
          <w:color w:val="auto"/>
          <w:sz w:val="40"/>
          <w:szCs w:val="40"/>
          <w:highlight w:val="none"/>
          <w:lang w:val="en-US" w:eastAsia="zh-CN"/>
        </w:rPr>
        <w:t>2</w:t>
      </w:r>
      <w:r>
        <w:rPr>
          <w:b/>
          <w:bCs/>
          <w:color w:val="auto"/>
          <w:sz w:val="40"/>
          <w:szCs w:val="40"/>
          <w:highlight w:val="none"/>
          <w:lang w:val="zh-CN"/>
        </w:rPr>
        <w:t>月</w:t>
      </w:r>
    </w:p>
    <w:p w14:paraId="10808181">
      <w:pPr>
        <w:rPr>
          <w:rFonts w:hint="eastAsia"/>
          <w:color w:val="auto"/>
          <w:highlight w:val="none"/>
        </w:rPr>
      </w:pPr>
    </w:p>
    <w:p w14:paraId="360BE464">
      <w:pPr>
        <w:rPr>
          <w:rFonts w:hint="eastAsia"/>
          <w:color w:val="auto"/>
          <w:highlight w:val="none"/>
        </w:rPr>
        <w:sectPr>
          <w:headerReference r:id="rId5" w:type="default"/>
          <w:pgSz w:w="11906" w:h="16838"/>
          <w:pgMar w:top="1440" w:right="1800" w:bottom="1440" w:left="1800" w:header="851" w:footer="992" w:gutter="0"/>
          <w:pgNumType w:fmt="decimal" w:start="1"/>
          <w:cols w:space="425" w:num="1"/>
          <w:docGrid w:type="lines" w:linePitch="312" w:charSpace="0"/>
        </w:sectPr>
      </w:pPr>
    </w:p>
    <w:p w14:paraId="3D44955E">
      <w:pPr>
        <w:rPr>
          <w:rFonts w:hint="eastAsia"/>
          <w:color w:val="auto"/>
          <w:highlight w:val="none"/>
        </w:rPr>
      </w:pPr>
    </w:p>
    <w:sdt>
      <w:sdtPr>
        <w:rPr>
          <w:rFonts w:ascii="宋体" w:hAnsi="宋体" w:eastAsia="宋体" w:cs="宋体"/>
          <w:b/>
          <w:bCs/>
          <w:color w:val="auto"/>
          <w:kern w:val="2"/>
          <w:sz w:val="36"/>
          <w:szCs w:val="36"/>
          <w:highlight w:val="none"/>
          <w:lang w:val="en-US" w:eastAsia="zh-CN" w:bidi="ar-SA"/>
        </w:rPr>
        <w:id w:val="147462421"/>
        <w15:color w:val="DBDBDB"/>
        <w:docPartObj>
          <w:docPartGallery w:val="Table of Contents"/>
          <w:docPartUnique/>
        </w:docPartObj>
      </w:sdtPr>
      <w:sdtEndPr>
        <w:rPr>
          <w:rFonts w:hint="eastAsia" w:ascii="宋体" w:hAnsi="宋体" w:eastAsia="宋体" w:cs="宋体"/>
          <w:b/>
          <w:bCs/>
          <w:color w:val="auto"/>
          <w:kern w:val="2"/>
          <w:sz w:val="24"/>
          <w:szCs w:val="24"/>
          <w:highlight w:val="none"/>
          <w:lang w:val="en-US" w:eastAsia="zh-CN" w:bidi="ar-SA"/>
        </w:rPr>
      </w:sdtEndPr>
      <w:sdtContent>
        <w:p w14:paraId="6D3CA3C9">
          <w:pPr>
            <w:spacing w:before="0" w:beforeLines="0" w:after="0" w:afterLines="0" w:line="240" w:lineRule="auto"/>
            <w:ind w:left="0" w:leftChars="0" w:right="0" w:rightChars="0" w:firstLine="0" w:firstLineChars="0"/>
            <w:jc w:val="center"/>
            <w:rPr>
              <w:b/>
              <w:bCs/>
              <w:color w:val="auto"/>
              <w:sz w:val="36"/>
              <w:szCs w:val="36"/>
              <w:highlight w:val="none"/>
            </w:rPr>
          </w:pPr>
          <w:r>
            <w:rPr>
              <w:rFonts w:ascii="宋体" w:hAnsi="宋体" w:eastAsia="宋体"/>
              <w:b/>
              <w:bCs/>
              <w:color w:val="auto"/>
              <w:sz w:val="36"/>
              <w:szCs w:val="36"/>
              <w:highlight w:val="none"/>
            </w:rPr>
            <w:t>目录</w:t>
          </w:r>
        </w:p>
        <w:p w14:paraId="026653CF">
          <w:pPr>
            <w:pStyle w:val="14"/>
            <w:tabs>
              <w:tab w:val="right" w:leader="dot" w:pos="8306"/>
            </w:tabs>
          </w:pPr>
          <w:r>
            <w:rPr>
              <w:rFonts w:hint="eastAsia" w:ascii="宋体" w:hAnsi="宋体" w:eastAsia="宋体" w:cs="宋体"/>
              <w:color w:val="auto"/>
              <w:kern w:val="2"/>
              <w:sz w:val="24"/>
              <w:szCs w:val="24"/>
              <w:highlight w:val="none"/>
              <w:lang w:val="en-US" w:eastAsia="zh-CN" w:bidi="ar-SA"/>
            </w:rPr>
            <w:fldChar w:fldCharType="begin"/>
          </w:r>
          <w:r>
            <w:rPr>
              <w:rFonts w:hint="eastAsia" w:ascii="宋体" w:hAnsi="宋体" w:eastAsia="宋体" w:cs="宋体"/>
              <w:color w:val="auto"/>
              <w:kern w:val="2"/>
              <w:sz w:val="24"/>
              <w:szCs w:val="24"/>
              <w:highlight w:val="none"/>
              <w:lang w:val="en-US" w:eastAsia="zh-CN" w:bidi="ar-SA"/>
            </w:rPr>
            <w:instrText xml:space="preserve">TOC \o "1-3" \h \u </w:instrText>
          </w:r>
          <w:r>
            <w:rPr>
              <w:rFonts w:hint="eastAsia" w:ascii="宋体" w:hAnsi="宋体" w:eastAsia="宋体" w:cs="宋体"/>
              <w:color w:val="auto"/>
              <w:kern w:val="2"/>
              <w:sz w:val="24"/>
              <w:szCs w:val="24"/>
              <w:highlight w:val="none"/>
              <w:lang w:val="en-US" w:eastAsia="zh-CN" w:bidi="ar-SA"/>
            </w:rPr>
            <w:fldChar w:fldCharType="separate"/>
          </w:r>
          <w:r>
            <w:rPr>
              <w:rFonts w:hint="eastAsia" w:ascii="宋体" w:hAnsi="宋体" w:eastAsia="宋体" w:cs="宋体"/>
              <w:color w:val="auto"/>
              <w:kern w:val="2"/>
              <w:szCs w:val="24"/>
              <w:highlight w:val="none"/>
              <w:lang w:val="en-US" w:eastAsia="zh-CN" w:bidi="ar-SA"/>
            </w:rPr>
            <w:fldChar w:fldCharType="begin"/>
          </w:r>
          <w:r>
            <w:rPr>
              <w:rFonts w:hint="eastAsia" w:ascii="宋体" w:hAnsi="宋体" w:eastAsia="宋体" w:cs="宋体"/>
              <w:kern w:val="2"/>
              <w:szCs w:val="24"/>
              <w:highlight w:val="none"/>
              <w:lang w:val="en-US" w:eastAsia="zh-CN" w:bidi="ar-SA"/>
            </w:rPr>
            <w:instrText xml:space="preserve"> HYPERLINK \l _Toc18959 </w:instrText>
          </w:r>
          <w:r>
            <w:rPr>
              <w:rFonts w:hint="eastAsia" w:ascii="宋体" w:hAnsi="宋体" w:eastAsia="宋体" w:cs="宋体"/>
              <w:kern w:val="2"/>
              <w:szCs w:val="24"/>
              <w:highlight w:val="none"/>
              <w:lang w:val="en-US" w:eastAsia="zh-CN" w:bidi="ar-SA"/>
            </w:rPr>
            <w:fldChar w:fldCharType="separate"/>
          </w:r>
          <w:r>
            <w:rPr>
              <w:rFonts w:hint="eastAsia"/>
              <w:lang w:val="en-US" w:eastAsia="zh-CN"/>
            </w:rPr>
            <w:t xml:space="preserve">一、 </w:t>
          </w:r>
          <w:r>
            <w:rPr>
              <w:rFonts w:hint="eastAsia"/>
              <w:highlight w:val="none"/>
              <w:lang w:val="en-US" w:eastAsia="zh-CN"/>
            </w:rPr>
            <w:t>公司简介</w:t>
          </w:r>
          <w:r>
            <w:tab/>
          </w:r>
          <w:r>
            <w:fldChar w:fldCharType="begin"/>
          </w:r>
          <w:r>
            <w:instrText xml:space="preserve"> PAGEREF _Toc18959 \h </w:instrText>
          </w:r>
          <w:r>
            <w:fldChar w:fldCharType="separate"/>
          </w:r>
          <w:r>
            <w:t>2</w:t>
          </w:r>
          <w:r>
            <w:fldChar w:fldCharType="end"/>
          </w:r>
          <w:r>
            <w:rPr>
              <w:rFonts w:hint="eastAsia" w:ascii="宋体" w:hAnsi="宋体" w:eastAsia="宋体" w:cs="宋体"/>
              <w:color w:val="auto"/>
              <w:kern w:val="2"/>
              <w:szCs w:val="24"/>
              <w:highlight w:val="none"/>
              <w:lang w:val="en-US" w:eastAsia="zh-CN" w:bidi="ar-SA"/>
            </w:rPr>
            <w:fldChar w:fldCharType="end"/>
          </w:r>
        </w:p>
        <w:p w14:paraId="07C24B43">
          <w:pPr>
            <w:pStyle w:val="14"/>
            <w:tabs>
              <w:tab w:val="right" w:leader="dot" w:pos="8306"/>
            </w:tabs>
          </w:pPr>
          <w:r>
            <w:rPr>
              <w:rFonts w:hint="eastAsia" w:ascii="宋体" w:hAnsi="宋体" w:eastAsia="宋体" w:cs="宋体"/>
              <w:color w:val="auto"/>
              <w:kern w:val="2"/>
              <w:szCs w:val="24"/>
              <w:highlight w:val="none"/>
              <w:lang w:val="en-US" w:eastAsia="zh-CN" w:bidi="ar-SA"/>
            </w:rPr>
            <w:fldChar w:fldCharType="begin"/>
          </w:r>
          <w:r>
            <w:rPr>
              <w:rFonts w:hint="eastAsia" w:ascii="宋体" w:hAnsi="宋体" w:eastAsia="宋体" w:cs="宋体"/>
              <w:kern w:val="2"/>
              <w:szCs w:val="24"/>
              <w:highlight w:val="none"/>
              <w:lang w:val="en-US" w:eastAsia="zh-CN" w:bidi="ar-SA"/>
            </w:rPr>
            <w:instrText xml:space="preserve"> HYPERLINK \l _Toc28055 </w:instrText>
          </w:r>
          <w:r>
            <w:rPr>
              <w:rFonts w:hint="eastAsia" w:ascii="宋体" w:hAnsi="宋体" w:eastAsia="宋体" w:cs="宋体"/>
              <w:kern w:val="2"/>
              <w:szCs w:val="24"/>
              <w:highlight w:val="none"/>
              <w:lang w:val="en-US" w:eastAsia="zh-CN" w:bidi="ar-SA"/>
            </w:rPr>
            <w:fldChar w:fldCharType="separate"/>
          </w:r>
          <w:r>
            <w:rPr>
              <w:rFonts w:hint="eastAsia"/>
              <w:lang w:val="en-US" w:eastAsia="zh-CN"/>
            </w:rPr>
            <w:t xml:space="preserve">二、 </w:t>
          </w:r>
          <w:r>
            <w:rPr>
              <w:rFonts w:hint="eastAsia"/>
              <w:highlight w:val="none"/>
              <w:lang w:val="en-US" w:eastAsia="zh-CN"/>
            </w:rPr>
            <w:t>水生态监测概述</w:t>
          </w:r>
          <w:r>
            <w:tab/>
          </w:r>
          <w:r>
            <w:fldChar w:fldCharType="begin"/>
          </w:r>
          <w:r>
            <w:instrText xml:space="preserve"> PAGEREF _Toc28055 \h </w:instrText>
          </w:r>
          <w:r>
            <w:fldChar w:fldCharType="separate"/>
          </w:r>
          <w:r>
            <w:t>3</w:t>
          </w:r>
          <w:r>
            <w:fldChar w:fldCharType="end"/>
          </w:r>
          <w:r>
            <w:rPr>
              <w:rFonts w:hint="eastAsia" w:ascii="宋体" w:hAnsi="宋体" w:eastAsia="宋体" w:cs="宋体"/>
              <w:color w:val="auto"/>
              <w:kern w:val="2"/>
              <w:szCs w:val="24"/>
              <w:highlight w:val="none"/>
              <w:lang w:val="en-US" w:eastAsia="zh-CN" w:bidi="ar-SA"/>
            </w:rPr>
            <w:fldChar w:fldCharType="end"/>
          </w:r>
        </w:p>
        <w:p w14:paraId="56D9A1C5">
          <w:pPr>
            <w:pStyle w:val="16"/>
            <w:tabs>
              <w:tab w:val="right" w:leader="dot" w:pos="8306"/>
            </w:tabs>
          </w:pPr>
          <w:r>
            <w:rPr>
              <w:rFonts w:hint="eastAsia" w:ascii="宋体" w:hAnsi="宋体" w:eastAsia="宋体" w:cs="宋体"/>
              <w:color w:val="auto"/>
              <w:kern w:val="2"/>
              <w:szCs w:val="24"/>
              <w:highlight w:val="none"/>
              <w:lang w:val="en-US" w:eastAsia="zh-CN" w:bidi="ar-SA"/>
            </w:rPr>
            <w:fldChar w:fldCharType="begin"/>
          </w:r>
          <w:r>
            <w:rPr>
              <w:rFonts w:hint="eastAsia" w:ascii="宋体" w:hAnsi="宋体" w:eastAsia="宋体" w:cs="宋体"/>
              <w:kern w:val="2"/>
              <w:szCs w:val="24"/>
              <w:highlight w:val="none"/>
              <w:lang w:val="en-US" w:eastAsia="zh-CN" w:bidi="ar-SA"/>
            </w:rPr>
            <w:instrText xml:space="preserve"> HYPERLINK \l _Toc23386 </w:instrText>
          </w:r>
          <w:r>
            <w:rPr>
              <w:rFonts w:hint="eastAsia" w:ascii="宋体" w:hAnsi="宋体" w:eastAsia="宋体" w:cs="宋体"/>
              <w:kern w:val="2"/>
              <w:szCs w:val="24"/>
              <w:highlight w:val="none"/>
              <w:lang w:val="en-US" w:eastAsia="zh-CN" w:bidi="ar-SA"/>
            </w:rPr>
            <w:fldChar w:fldCharType="separate"/>
          </w:r>
          <w:r>
            <w:rPr>
              <w:rFonts w:hint="eastAsia"/>
              <w:lang w:val="en-US" w:eastAsia="zh-CN"/>
            </w:rPr>
            <w:t xml:space="preserve">2.1. </w:t>
          </w:r>
          <w:r>
            <w:rPr>
              <w:rFonts w:hint="eastAsia"/>
              <w:highlight w:val="none"/>
              <w:lang w:val="en-US" w:eastAsia="zh-CN"/>
            </w:rPr>
            <w:t>水环境行业背景</w:t>
          </w:r>
          <w:r>
            <w:tab/>
          </w:r>
          <w:r>
            <w:fldChar w:fldCharType="begin"/>
          </w:r>
          <w:r>
            <w:instrText xml:space="preserve"> PAGEREF _Toc23386 \h </w:instrText>
          </w:r>
          <w:r>
            <w:fldChar w:fldCharType="separate"/>
          </w:r>
          <w:r>
            <w:t>3</w:t>
          </w:r>
          <w:r>
            <w:fldChar w:fldCharType="end"/>
          </w:r>
          <w:r>
            <w:rPr>
              <w:rFonts w:hint="eastAsia" w:ascii="宋体" w:hAnsi="宋体" w:eastAsia="宋体" w:cs="宋体"/>
              <w:color w:val="auto"/>
              <w:kern w:val="2"/>
              <w:szCs w:val="24"/>
              <w:highlight w:val="none"/>
              <w:lang w:val="en-US" w:eastAsia="zh-CN" w:bidi="ar-SA"/>
            </w:rPr>
            <w:fldChar w:fldCharType="end"/>
          </w:r>
        </w:p>
        <w:p w14:paraId="1B13D39D">
          <w:pPr>
            <w:pStyle w:val="16"/>
            <w:tabs>
              <w:tab w:val="right" w:leader="dot" w:pos="8306"/>
            </w:tabs>
          </w:pPr>
          <w:r>
            <w:rPr>
              <w:rFonts w:hint="eastAsia" w:ascii="宋体" w:hAnsi="宋体" w:eastAsia="宋体" w:cs="宋体"/>
              <w:color w:val="auto"/>
              <w:kern w:val="2"/>
              <w:szCs w:val="24"/>
              <w:highlight w:val="none"/>
              <w:lang w:val="en-US" w:eastAsia="zh-CN" w:bidi="ar-SA"/>
            </w:rPr>
            <w:fldChar w:fldCharType="begin"/>
          </w:r>
          <w:r>
            <w:rPr>
              <w:rFonts w:hint="eastAsia" w:ascii="宋体" w:hAnsi="宋体" w:eastAsia="宋体" w:cs="宋体"/>
              <w:kern w:val="2"/>
              <w:szCs w:val="24"/>
              <w:highlight w:val="none"/>
              <w:lang w:val="en-US" w:eastAsia="zh-CN" w:bidi="ar-SA"/>
            </w:rPr>
            <w:instrText xml:space="preserve"> HYPERLINK \l _Toc20912 </w:instrText>
          </w:r>
          <w:r>
            <w:rPr>
              <w:rFonts w:hint="eastAsia" w:ascii="宋体" w:hAnsi="宋体" w:eastAsia="宋体" w:cs="宋体"/>
              <w:kern w:val="2"/>
              <w:szCs w:val="24"/>
              <w:highlight w:val="none"/>
              <w:lang w:val="en-US" w:eastAsia="zh-CN" w:bidi="ar-SA"/>
            </w:rPr>
            <w:fldChar w:fldCharType="separate"/>
          </w:r>
          <w:r>
            <w:rPr>
              <w:rFonts w:hint="eastAsia"/>
              <w:lang w:val="en-US" w:eastAsia="zh-CN"/>
            </w:rPr>
            <w:t xml:space="preserve">2.2. </w:t>
          </w:r>
          <w:r>
            <w:rPr>
              <w:rFonts w:hint="eastAsia"/>
              <w:highlight w:val="none"/>
              <w:lang w:val="en-US" w:eastAsia="zh-CN"/>
            </w:rPr>
            <w:t>水生态监测特点</w:t>
          </w:r>
          <w:r>
            <w:tab/>
          </w:r>
          <w:r>
            <w:fldChar w:fldCharType="begin"/>
          </w:r>
          <w:r>
            <w:instrText xml:space="preserve"> PAGEREF _Toc20912 \h </w:instrText>
          </w:r>
          <w:r>
            <w:fldChar w:fldCharType="separate"/>
          </w:r>
          <w:r>
            <w:t>4</w:t>
          </w:r>
          <w:r>
            <w:fldChar w:fldCharType="end"/>
          </w:r>
          <w:r>
            <w:rPr>
              <w:rFonts w:hint="eastAsia" w:ascii="宋体" w:hAnsi="宋体" w:eastAsia="宋体" w:cs="宋体"/>
              <w:color w:val="auto"/>
              <w:kern w:val="2"/>
              <w:szCs w:val="24"/>
              <w:highlight w:val="none"/>
              <w:lang w:val="en-US" w:eastAsia="zh-CN" w:bidi="ar-SA"/>
            </w:rPr>
            <w:fldChar w:fldCharType="end"/>
          </w:r>
        </w:p>
        <w:p w14:paraId="595299BB">
          <w:pPr>
            <w:pStyle w:val="14"/>
            <w:tabs>
              <w:tab w:val="right" w:leader="dot" w:pos="8306"/>
            </w:tabs>
          </w:pPr>
          <w:r>
            <w:rPr>
              <w:rFonts w:hint="eastAsia" w:ascii="宋体" w:hAnsi="宋体" w:eastAsia="宋体" w:cs="宋体"/>
              <w:color w:val="auto"/>
              <w:kern w:val="2"/>
              <w:szCs w:val="24"/>
              <w:highlight w:val="none"/>
              <w:lang w:val="en-US" w:eastAsia="zh-CN" w:bidi="ar-SA"/>
            </w:rPr>
            <w:fldChar w:fldCharType="begin"/>
          </w:r>
          <w:r>
            <w:rPr>
              <w:rFonts w:hint="eastAsia" w:ascii="宋体" w:hAnsi="宋体" w:eastAsia="宋体" w:cs="宋体"/>
              <w:kern w:val="2"/>
              <w:szCs w:val="24"/>
              <w:highlight w:val="none"/>
              <w:lang w:val="en-US" w:eastAsia="zh-CN" w:bidi="ar-SA"/>
            </w:rPr>
            <w:instrText xml:space="preserve"> HYPERLINK \l _Toc5564 </w:instrText>
          </w:r>
          <w:r>
            <w:rPr>
              <w:rFonts w:hint="eastAsia" w:ascii="宋体" w:hAnsi="宋体" w:eastAsia="宋体" w:cs="宋体"/>
              <w:kern w:val="2"/>
              <w:szCs w:val="24"/>
              <w:highlight w:val="none"/>
              <w:lang w:val="en-US" w:eastAsia="zh-CN" w:bidi="ar-SA"/>
            </w:rPr>
            <w:fldChar w:fldCharType="separate"/>
          </w:r>
          <w:r>
            <w:rPr>
              <w:rFonts w:hint="eastAsia"/>
              <w:lang w:val="en-US" w:eastAsia="zh-CN"/>
            </w:rPr>
            <w:t xml:space="preserve">三、 </w:t>
          </w:r>
          <w:r>
            <w:rPr>
              <w:rFonts w:hint="eastAsia"/>
              <w:highlight w:val="none"/>
              <w:lang w:val="en-US" w:eastAsia="zh-CN"/>
            </w:rPr>
            <w:t>建设方案设计</w:t>
          </w:r>
          <w:r>
            <w:tab/>
          </w:r>
          <w:r>
            <w:fldChar w:fldCharType="begin"/>
          </w:r>
          <w:r>
            <w:instrText xml:space="preserve"> PAGEREF _Toc5564 \h </w:instrText>
          </w:r>
          <w:r>
            <w:fldChar w:fldCharType="separate"/>
          </w:r>
          <w:r>
            <w:t>5</w:t>
          </w:r>
          <w:r>
            <w:fldChar w:fldCharType="end"/>
          </w:r>
          <w:r>
            <w:rPr>
              <w:rFonts w:hint="eastAsia" w:ascii="宋体" w:hAnsi="宋体" w:eastAsia="宋体" w:cs="宋体"/>
              <w:color w:val="auto"/>
              <w:kern w:val="2"/>
              <w:szCs w:val="24"/>
              <w:highlight w:val="none"/>
              <w:lang w:val="en-US" w:eastAsia="zh-CN" w:bidi="ar-SA"/>
            </w:rPr>
            <w:fldChar w:fldCharType="end"/>
          </w:r>
        </w:p>
        <w:p w14:paraId="53ED3100">
          <w:pPr>
            <w:pStyle w:val="16"/>
            <w:tabs>
              <w:tab w:val="right" w:leader="dot" w:pos="8306"/>
            </w:tabs>
          </w:pPr>
          <w:r>
            <w:rPr>
              <w:rFonts w:hint="eastAsia" w:ascii="宋体" w:hAnsi="宋体" w:eastAsia="宋体" w:cs="宋体"/>
              <w:color w:val="auto"/>
              <w:kern w:val="2"/>
              <w:szCs w:val="24"/>
              <w:highlight w:val="none"/>
              <w:lang w:val="en-US" w:eastAsia="zh-CN" w:bidi="ar-SA"/>
            </w:rPr>
            <w:fldChar w:fldCharType="begin"/>
          </w:r>
          <w:r>
            <w:rPr>
              <w:rFonts w:hint="eastAsia" w:ascii="宋体" w:hAnsi="宋体" w:eastAsia="宋体" w:cs="宋体"/>
              <w:kern w:val="2"/>
              <w:szCs w:val="24"/>
              <w:highlight w:val="none"/>
              <w:lang w:val="en-US" w:eastAsia="zh-CN" w:bidi="ar-SA"/>
            </w:rPr>
            <w:instrText xml:space="preserve"> HYPERLINK \l _Toc25247 </w:instrText>
          </w:r>
          <w:r>
            <w:rPr>
              <w:rFonts w:hint="eastAsia" w:ascii="宋体" w:hAnsi="宋体" w:eastAsia="宋体" w:cs="宋体"/>
              <w:kern w:val="2"/>
              <w:szCs w:val="24"/>
              <w:highlight w:val="none"/>
              <w:lang w:val="en-US" w:eastAsia="zh-CN" w:bidi="ar-SA"/>
            </w:rPr>
            <w:fldChar w:fldCharType="separate"/>
          </w:r>
          <w:r>
            <w:rPr>
              <w:rFonts w:hint="eastAsia"/>
              <w:lang w:val="en-US" w:eastAsia="zh-CN"/>
            </w:rPr>
            <w:t xml:space="preserve">3.1. </w:t>
          </w:r>
          <w:r>
            <w:rPr>
              <w:rFonts w:hint="eastAsia"/>
              <w:highlight w:val="none"/>
              <w:lang w:val="en-US" w:eastAsia="zh-CN"/>
            </w:rPr>
            <w:t>系统框架图</w:t>
          </w:r>
          <w:r>
            <w:tab/>
          </w:r>
          <w:r>
            <w:fldChar w:fldCharType="begin"/>
          </w:r>
          <w:r>
            <w:instrText xml:space="preserve"> PAGEREF _Toc25247 \h </w:instrText>
          </w:r>
          <w:r>
            <w:fldChar w:fldCharType="separate"/>
          </w:r>
          <w:r>
            <w:t>5</w:t>
          </w:r>
          <w:r>
            <w:fldChar w:fldCharType="end"/>
          </w:r>
          <w:r>
            <w:rPr>
              <w:rFonts w:hint="eastAsia" w:ascii="宋体" w:hAnsi="宋体" w:eastAsia="宋体" w:cs="宋体"/>
              <w:color w:val="auto"/>
              <w:kern w:val="2"/>
              <w:szCs w:val="24"/>
              <w:highlight w:val="none"/>
              <w:lang w:val="en-US" w:eastAsia="zh-CN" w:bidi="ar-SA"/>
            </w:rPr>
            <w:fldChar w:fldCharType="end"/>
          </w:r>
        </w:p>
        <w:p w14:paraId="06F5E322">
          <w:pPr>
            <w:pStyle w:val="16"/>
            <w:tabs>
              <w:tab w:val="right" w:leader="dot" w:pos="8306"/>
            </w:tabs>
          </w:pPr>
          <w:r>
            <w:rPr>
              <w:rFonts w:hint="eastAsia" w:ascii="宋体" w:hAnsi="宋体" w:eastAsia="宋体" w:cs="宋体"/>
              <w:color w:val="auto"/>
              <w:kern w:val="2"/>
              <w:szCs w:val="24"/>
              <w:highlight w:val="none"/>
              <w:lang w:val="en-US" w:eastAsia="zh-CN" w:bidi="ar-SA"/>
            </w:rPr>
            <w:fldChar w:fldCharType="begin"/>
          </w:r>
          <w:r>
            <w:rPr>
              <w:rFonts w:hint="eastAsia" w:ascii="宋体" w:hAnsi="宋体" w:eastAsia="宋体" w:cs="宋体"/>
              <w:kern w:val="2"/>
              <w:szCs w:val="24"/>
              <w:highlight w:val="none"/>
              <w:lang w:val="en-US" w:eastAsia="zh-CN" w:bidi="ar-SA"/>
            </w:rPr>
            <w:instrText xml:space="preserve"> HYPERLINK \l _Toc18003 </w:instrText>
          </w:r>
          <w:r>
            <w:rPr>
              <w:rFonts w:hint="eastAsia" w:ascii="宋体" w:hAnsi="宋体" w:eastAsia="宋体" w:cs="宋体"/>
              <w:kern w:val="2"/>
              <w:szCs w:val="24"/>
              <w:highlight w:val="none"/>
              <w:lang w:val="en-US" w:eastAsia="zh-CN" w:bidi="ar-SA"/>
            </w:rPr>
            <w:fldChar w:fldCharType="separate"/>
          </w:r>
          <w:r>
            <w:rPr>
              <w:rFonts w:hint="eastAsia"/>
              <w:lang w:val="en-US" w:eastAsia="zh-CN"/>
            </w:rPr>
            <w:t xml:space="preserve">3.2. </w:t>
          </w:r>
          <w:r>
            <w:rPr>
              <w:rFonts w:hint="eastAsia"/>
              <w:highlight w:val="none"/>
              <w:lang w:val="en-US" w:eastAsia="zh-CN"/>
            </w:rPr>
            <w:t>设备选型策略</w:t>
          </w:r>
          <w:r>
            <w:tab/>
          </w:r>
          <w:r>
            <w:fldChar w:fldCharType="begin"/>
          </w:r>
          <w:r>
            <w:instrText xml:space="preserve"> PAGEREF _Toc18003 \h </w:instrText>
          </w:r>
          <w:r>
            <w:fldChar w:fldCharType="separate"/>
          </w:r>
          <w:r>
            <w:t>5</w:t>
          </w:r>
          <w:r>
            <w:fldChar w:fldCharType="end"/>
          </w:r>
          <w:r>
            <w:rPr>
              <w:rFonts w:hint="eastAsia" w:ascii="宋体" w:hAnsi="宋体" w:eastAsia="宋体" w:cs="宋体"/>
              <w:color w:val="auto"/>
              <w:kern w:val="2"/>
              <w:szCs w:val="24"/>
              <w:highlight w:val="none"/>
              <w:lang w:val="en-US" w:eastAsia="zh-CN" w:bidi="ar-SA"/>
            </w:rPr>
            <w:fldChar w:fldCharType="end"/>
          </w:r>
        </w:p>
        <w:p w14:paraId="35FEC430">
          <w:pPr>
            <w:pStyle w:val="14"/>
            <w:tabs>
              <w:tab w:val="right" w:leader="dot" w:pos="8306"/>
            </w:tabs>
          </w:pPr>
          <w:r>
            <w:rPr>
              <w:rFonts w:hint="eastAsia" w:ascii="宋体" w:hAnsi="宋体" w:eastAsia="宋体" w:cs="宋体"/>
              <w:color w:val="auto"/>
              <w:kern w:val="2"/>
              <w:szCs w:val="24"/>
              <w:highlight w:val="none"/>
              <w:lang w:val="en-US" w:eastAsia="zh-CN" w:bidi="ar-SA"/>
            </w:rPr>
            <w:fldChar w:fldCharType="begin"/>
          </w:r>
          <w:r>
            <w:rPr>
              <w:rFonts w:hint="eastAsia" w:ascii="宋体" w:hAnsi="宋体" w:eastAsia="宋体" w:cs="宋体"/>
              <w:kern w:val="2"/>
              <w:szCs w:val="24"/>
              <w:highlight w:val="none"/>
              <w:lang w:val="en-US" w:eastAsia="zh-CN" w:bidi="ar-SA"/>
            </w:rPr>
            <w:instrText xml:space="preserve"> HYPERLINK \l _Toc15314 </w:instrText>
          </w:r>
          <w:r>
            <w:rPr>
              <w:rFonts w:hint="eastAsia" w:ascii="宋体" w:hAnsi="宋体" w:eastAsia="宋体" w:cs="宋体"/>
              <w:kern w:val="2"/>
              <w:szCs w:val="24"/>
              <w:highlight w:val="none"/>
              <w:lang w:val="en-US" w:eastAsia="zh-CN" w:bidi="ar-SA"/>
            </w:rPr>
            <w:fldChar w:fldCharType="separate"/>
          </w:r>
          <w:r>
            <w:rPr>
              <w:rFonts w:hint="eastAsia"/>
              <w:lang w:val="en-US" w:eastAsia="zh-CN"/>
            </w:rPr>
            <w:t xml:space="preserve">四、 </w:t>
          </w:r>
          <w:r>
            <w:rPr>
              <w:rFonts w:hint="eastAsia"/>
              <w:highlight w:val="none"/>
              <w:lang w:val="en-US" w:eastAsia="zh-CN"/>
            </w:rPr>
            <w:t>产品介绍</w:t>
          </w:r>
          <w:r>
            <w:tab/>
          </w:r>
          <w:r>
            <w:fldChar w:fldCharType="begin"/>
          </w:r>
          <w:r>
            <w:instrText xml:space="preserve"> PAGEREF _Toc15314 \h </w:instrText>
          </w:r>
          <w:r>
            <w:fldChar w:fldCharType="separate"/>
          </w:r>
          <w:r>
            <w:t>6</w:t>
          </w:r>
          <w:r>
            <w:fldChar w:fldCharType="end"/>
          </w:r>
          <w:r>
            <w:rPr>
              <w:rFonts w:hint="eastAsia" w:ascii="宋体" w:hAnsi="宋体" w:eastAsia="宋体" w:cs="宋体"/>
              <w:color w:val="auto"/>
              <w:kern w:val="2"/>
              <w:szCs w:val="24"/>
              <w:highlight w:val="none"/>
              <w:lang w:val="en-US" w:eastAsia="zh-CN" w:bidi="ar-SA"/>
            </w:rPr>
            <w:fldChar w:fldCharType="end"/>
          </w:r>
        </w:p>
        <w:p w14:paraId="1D7D32BE">
          <w:pPr>
            <w:pStyle w:val="16"/>
            <w:tabs>
              <w:tab w:val="right" w:leader="dot" w:pos="8306"/>
            </w:tabs>
          </w:pPr>
          <w:r>
            <w:rPr>
              <w:rFonts w:hint="eastAsia" w:ascii="宋体" w:hAnsi="宋体" w:eastAsia="宋体" w:cs="宋体"/>
              <w:color w:val="auto"/>
              <w:kern w:val="2"/>
              <w:szCs w:val="24"/>
              <w:highlight w:val="none"/>
              <w:lang w:val="en-US" w:eastAsia="zh-CN" w:bidi="ar-SA"/>
            </w:rPr>
            <w:fldChar w:fldCharType="begin"/>
          </w:r>
          <w:r>
            <w:rPr>
              <w:rFonts w:hint="eastAsia" w:ascii="宋体" w:hAnsi="宋体" w:eastAsia="宋体" w:cs="宋体"/>
              <w:kern w:val="2"/>
              <w:szCs w:val="24"/>
              <w:highlight w:val="none"/>
              <w:lang w:val="en-US" w:eastAsia="zh-CN" w:bidi="ar-SA"/>
            </w:rPr>
            <w:instrText xml:space="preserve"> HYPERLINK \l _Toc14962 </w:instrText>
          </w:r>
          <w:r>
            <w:rPr>
              <w:rFonts w:hint="eastAsia" w:ascii="宋体" w:hAnsi="宋体" w:eastAsia="宋体" w:cs="宋体"/>
              <w:kern w:val="2"/>
              <w:szCs w:val="24"/>
              <w:highlight w:val="none"/>
              <w:lang w:val="en-US" w:eastAsia="zh-CN" w:bidi="ar-SA"/>
            </w:rPr>
            <w:fldChar w:fldCharType="separate"/>
          </w:r>
          <w:r>
            <w:rPr>
              <w:rFonts w:hint="eastAsia"/>
              <w:lang w:val="en-US" w:eastAsia="zh-CN"/>
            </w:rPr>
            <w:t xml:space="preserve">4.1. </w:t>
          </w:r>
          <w:r>
            <w:rPr>
              <w:rFonts w:hint="eastAsia"/>
              <w:highlight w:val="none"/>
              <w:lang w:val="en-US" w:eastAsia="zh-CN"/>
            </w:rPr>
            <w:t>技术参数</w:t>
          </w:r>
          <w:r>
            <w:tab/>
          </w:r>
          <w:r>
            <w:fldChar w:fldCharType="begin"/>
          </w:r>
          <w:r>
            <w:instrText xml:space="preserve"> PAGEREF _Toc14962 \h </w:instrText>
          </w:r>
          <w:r>
            <w:fldChar w:fldCharType="separate"/>
          </w:r>
          <w:r>
            <w:t>6</w:t>
          </w:r>
          <w:r>
            <w:fldChar w:fldCharType="end"/>
          </w:r>
          <w:r>
            <w:rPr>
              <w:rFonts w:hint="eastAsia" w:ascii="宋体" w:hAnsi="宋体" w:eastAsia="宋体" w:cs="宋体"/>
              <w:color w:val="auto"/>
              <w:kern w:val="2"/>
              <w:szCs w:val="24"/>
              <w:highlight w:val="none"/>
              <w:lang w:val="en-US" w:eastAsia="zh-CN" w:bidi="ar-SA"/>
            </w:rPr>
            <w:fldChar w:fldCharType="end"/>
          </w:r>
        </w:p>
        <w:p w14:paraId="513AD80A">
          <w:pPr>
            <w:pStyle w:val="16"/>
            <w:tabs>
              <w:tab w:val="right" w:leader="dot" w:pos="8306"/>
            </w:tabs>
          </w:pPr>
          <w:r>
            <w:rPr>
              <w:rFonts w:hint="eastAsia" w:ascii="宋体" w:hAnsi="宋体" w:eastAsia="宋体" w:cs="宋体"/>
              <w:color w:val="auto"/>
              <w:kern w:val="2"/>
              <w:szCs w:val="24"/>
              <w:highlight w:val="none"/>
              <w:lang w:val="en-US" w:eastAsia="zh-CN" w:bidi="ar-SA"/>
            </w:rPr>
            <w:fldChar w:fldCharType="begin"/>
          </w:r>
          <w:r>
            <w:rPr>
              <w:rFonts w:hint="eastAsia" w:ascii="宋体" w:hAnsi="宋体" w:eastAsia="宋体" w:cs="宋体"/>
              <w:kern w:val="2"/>
              <w:szCs w:val="24"/>
              <w:highlight w:val="none"/>
              <w:lang w:val="en-US" w:eastAsia="zh-CN" w:bidi="ar-SA"/>
            </w:rPr>
            <w:instrText xml:space="preserve"> HYPERLINK \l _Toc7785 </w:instrText>
          </w:r>
          <w:r>
            <w:rPr>
              <w:rFonts w:hint="eastAsia" w:ascii="宋体" w:hAnsi="宋体" w:eastAsia="宋体" w:cs="宋体"/>
              <w:kern w:val="2"/>
              <w:szCs w:val="24"/>
              <w:highlight w:val="none"/>
              <w:lang w:val="en-US" w:eastAsia="zh-CN" w:bidi="ar-SA"/>
            </w:rPr>
            <w:fldChar w:fldCharType="separate"/>
          </w:r>
          <w:r>
            <w:rPr>
              <w:rFonts w:hint="eastAsia"/>
              <w:lang w:val="en-US" w:eastAsia="zh-CN"/>
            </w:rPr>
            <w:t xml:space="preserve">4.2. </w:t>
          </w:r>
          <w:r>
            <w:rPr>
              <w:rFonts w:hint="eastAsia"/>
              <w:highlight w:val="none"/>
              <w:lang w:val="en-US" w:eastAsia="zh-CN"/>
            </w:rPr>
            <w:t>场景适配性</w:t>
          </w:r>
          <w:r>
            <w:tab/>
          </w:r>
          <w:r>
            <w:fldChar w:fldCharType="begin"/>
          </w:r>
          <w:r>
            <w:instrText xml:space="preserve"> PAGEREF _Toc7785 \h </w:instrText>
          </w:r>
          <w:r>
            <w:fldChar w:fldCharType="separate"/>
          </w:r>
          <w:r>
            <w:t>9</w:t>
          </w:r>
          <w:r>
            <w:fldChar w:fldCharType="end"/>
          </w:r>
          <w:r>
            <w:rPr>
              <w:rFonts w:hint="eastAsia" w:ascii="宋体" w:hAnsi="宋体" w:eastAsia="宋体" w:cs="宋体"/>
              <w:color w:val="auto"/>
              <w:kern w:val="2"/>
              <w:szCs w:val="24"/>
              <w:highlight w:val="none"/>
              <w:lang w:val="en-US" w:eastAsia="zh-CN" w:bidi="ar-SA"/>
            </w:rPr>
            <w:fldChar w:fldCharType="end"/>
          </w:r>
        </w:p>
        <w:p w14:paraId="15F5C483">
          <w:pPr>
            <w:pStyle w:val="14"/>
            <w:tabs>
              <w:tab w:val="right" w:leader="dot" w:pos="8306"/>
            </w:tabs>
          </w:pPr>
          <w:r>
            <w:rPr>
              <w:rFonts w:hint="eastAsia" w:ascii="宋体" w:hAnsi="宋体" w:eastAsia="宋体" w:cs="宋体"/>
              <w:color w:val="auto"/>
              <w:kern w:val="2"/>
              <w:szCs w:val="24"/>
              <w:highlight w:val="none"/>
              <w:lang w:val="en-US" w:eastAsia="zh-CN" w:bidi="ar-SA"/>
            </w:rPr>
            <w:fldChar w:fldCharType="begin"/>
          </w:r>
          <w:r>
            <w:rPr>
              <w:rFonts w:hint="eastAsia" w:ascii="宋体" w:hAnsi="宋体" w:eastAsia="宋体" w:cs="宋体"/>
              <w:kern w:val="2"/>
              <w:szCs w:val="24"/>
              <w:highlight w:val="none"/>
              <w:lang w:val="en-US" w:eastAsia="zh-CN" w:bidi="ar-SA"/>
            </w:rPr>
            <w:instrText xml:space="preserve"> HYPERLINK \l _Toc7021 </w:instrText>
          </w:r>
          <w:r>
            <w:rPr>
              <w:rFonts w:hint="eastAsia" w:ascii="宋体" w:hAnsi="宋体" w:eastAsia="宋体" w:cs="宋体"/>
              <w:kern w:val="2"/>
              <w:szCs w:val="24"/>
              <w:highlight w:val="none"/>
              <w:lang w:val="en-US" w:eastAsia="zh-CN" w:bidi="ar-SA"/>
            </w:rPr>
            <w:fldChar w:fldCharType="separate"/>
          </w:r>
          <w:r>
            <w:rPr>
              <w:rFonts w:hint="eastAsia"/>
              <w:lang w:val="en-US" w:eastAsia="zh-CN"/>
            </w:rPr>
            <w:t xml:space="preserve">五、 </w:t>
          </w:r>
          <w:r>
            <w:rPr>
              <w:rFonts w:hint="eastAsia"/>
              <w:highlight w:val="none"/>
              <w:lang w:val="en-US" w:eastAsia="zh-CN"/>
            </w:rPr>
            <w:t>设备寿命及维护</w:t>
          </w:r>
          <w:r>
            <w:tab/>
          </w:r>
          <w:r>
            <w:fldChar w:fldCharType="begin"/>
          </w:r>
          <w:r>
            <w:instrText xml:space="preserve"> PAGEREF _Toc7021 \h </w:instrText>
          </w:r>
          <w:r>
            <w:fldChar w:fldCharType="separate"/>
          </w:r>
          <w:r>
            <w:t>10</w:t>
          </w:r>
          <w:r>
            <w:fldChar w:fldCharType="end"/>
          </w:r>
          <w:r>
            <w:rPr>
              <w:rFonts w:hint="eastAsia" w:ascii="宋体" w:hAnsi="宋体" w:eastAsia="宋体" w:cs="宋体"/>
              <w:color w:val="auto"/>
              <w:kern w:val="2"/>
              <w:szCs w:val="24"/>
              <w:highlight w:val="none"/>
              <w:lang w:val="en-US" w:eastAsia="zh-CN" w:bidi="ar-SA"/>
            </w:rPr>
            <w:fldChar w:fldCharType="end"/>
          </w:r>
        </w:p>
        <w:p w14:paraId="122D8691">
          <w:pPr>
            <w:pStyle w:val="16"/>
            <w:tabs>
              <w:tab w:val="right" w:leader="dot" w:pos="8306"/>
            </w:tabs>
          </w:pPr>
          <w:r>
            <w:rPr>
              <w:rFonts w:hint="eastAsia" w:ascii="宋体" w:hAnsi="宋体" w:eastAsia="宋体" w:cs="宋体"/>
              <w:color w:val="auto"/>
              <w:kern w:val="2"/>
              <w:szCs w:val="24"/>
              <w:highlight w:val="none"/>
              <w:lang w:val="en-US" w:eastAsia="zh-CN" w:bidi="ar-SA"/>
            </w:rPr>
            <w:fldChar w:fldCharType="begin"/>
          </w:r>
          <w:r>
            <w:rPr>
              <w:rFonts w:hint="eastAsia" w:ascii="宋体" w:hAnsi="宋体" w:eastAsia="宋体" w:cs="宋体"/>
              <w:kern w:val="2"/>
              <w:szCs w:val="24"/>
              <w:highlight w:val="none"/>
              <w:lang w:val="en-US" w:eastAsia="zh-CN" w:bidi="ar-SA"/>
            </w:rPr>
            <w:instrText xml:space="preserve"> HYPERLINK \l _Toc4181 </w:instrText>
          </w:r>
          <w:r>
            <w:rPr>
              <w:rFonts w:hint="eastAsia" w:ascii="宋体" w:hAnsi="宋体" w:eastAsia="宋体" w:cs="宋体"/>
              <w:kern w:val="2"/>
              <w:szCs w:val="24"/>
              <w:highlight w:val="none"/>
              <w:lang w:val="en-US" w:eastAsia="zh-CN" w:bidi="ar-SA"/>
            </w:rPr>
            <w:fldChar w:fldCharType="separate"/>
          </w:r>
          <w:r>
            <w:rPr>
              <w:rFonts w:hint="eastAsia"/>
            </w:rPr>
            <w:t xml:space="preserve">5.1. </w:t>
          </w:r>
          <w:r>
            <w:rPr>
              <w:rFonts w:hint="eastAsia"/>
              <w:highlight w:val="none"/>
            </w:rPr>
            <w:t>设备寿命周期与维护周期表</w:t>
          </w:r>
          <w:r>
            <w:tab/>
          </w:r>
          <w:r>
            <w:fldChar w:fldCharType="begin"/>
          </w:r>
          <w:r>
            <w:instrText xml:space="preserve"> PAGEREF _Toc4181 \h </w:instrText>
          </w:r>
          <w:r>
            <w:fldChar w:fldCharType="separate"/>
          </w:r>
          <w:r>
            <w:t>10</w:t>
          </w:r>
          <w:r>
            <w:fldChar w:fldCharType="end"/>
          </w:r>
          <w:r>
            <w:rPr>
              <w:rFonts w:hint="eastAsia" w:ascii="宋体" w:hAnsi="宋体" w:eastAsia="宋体" w:cs="宋体"/>
              <w:color w:val="auto"/>
              <w:kern w:val="2"/>
              <w:szCs w:val="24"/>
              <w:highlight w:val="none"/>
              <w:lang w:val="en-US" w:eastAsia="zh-CN" w:bidi="ar-SA"/>
            </w:rPr>
            <w:fldChar w:fldCharType="end"/>
          </w:r>
        </w:p>
        <w:p w14:paraId="28BCA447">
          <w:pPr>
            <w:pStyle w:val="16"/>
            <w:tabs>
              <w:tab w:val="right" w:leader="dot" w:pos="8306"/>
            </w:tabs>
          </w:pPr>
          <w:r>
            <w:rPr>
              <w:rFonts w:hint="eastAsia" w:ascii="宋体" w:hAnsi="宋体" w:eastAsia="宋体" w:cs="宋体"/>
              <w:color w:val="auto"/>
              <w:kern w:val="2"/>
              <w:szCs w:val="24"/>
              <w:highlight w:val="none"/>
              <w:lang w:val="en-US" w:eastAsia="zh-CN" w:bidi="ar-SA"/>
            </w:rPr>
            <w:fldChar w:fldCharType="begin"/>
          </w:r>
          <w:r>
            <w:rPr>
              <w:rFonts w:hint="eastAsia" w:ascii="宋体" w:hAnsi="宋体" w:eastAsia="宋体" w:cs="宋体"/>
              <w:kern w:val="2"/>
              <w:szCs w:val="24"/>
              <w:highlight w:val="none"/>
              <w:lang w:val="en-US" w:eastAsia="zh-CN" w:bidi="ar-SA"/>
            </w:rPr>
            <w:instrText xml:space="preserve"> HYPERLINK \l _Toc31159 </w:instrText>
          </w:r>
          <w:r>
            <w:rPr>
              <w:rFonts w:hint="eastAsia" w:ascii="宋体" w:hAnsi="宋体" w:eastAsia="宋体" w:cs="宋体"/>
              <w:kern w:val="2"/>
              <w:szCs w:val="24"/>
              <w:highlight w:val="none"/>
              <w:lang w:val="en-US" w:eastAsia="zh-CN" w:bidi="ar-SA"/>
            </w:rPr>
            <w:fldChar w:fldCharType="separate"/>
          </w:r>
          <w:r>
            <w:rPr>
              <w:rFonts w:hint="eastAsia"/>
            </w:rPr>
            <w:t xml:space="preserve">5.2. </w:t>
          </w:r>
          <w:r>
            <w:rPr>
              <w:rFonts w:hint="eastAsia"/>
              <w:highlight w:val="none"/>
              <w:lang w:val="en-US" w:eastAsia="zh-CN"/>
            </w:rPr>
            <w:t>设备</w:t>
          </w:r>
          <w:r>
            <w:rPr>
              <w:rFonts w:hint="eastAsia"/>
              <w:highlight w:val="none"/>
            </w:rPr>
            <w:t>日常维护</w:t>
          </w:r>
          <w:r>
            <w:tab/>
          </w:r>
          <w:r>
            <w:fldChar w:fldCharType="begin"/>
          </w:r>
          <w:r>
            <w:instrText xml:space="preserve"> PAGEREF _Toc31159 \h </w:instrText>
          </w:r>
          <w:r>
            <w:fldChar w:fldCharType="separate"/>
          </w:r>
          <w:r>
            <w:t>10</w:t>
          </w:r>
          <w:r>
            <w:fldChar w:fldCharType="end"/>
          </w:r>
          <w:r>
            <w:rPr>
              <w:rFonts w:hint="eastAsia" w:ascii="宋体" w:hAnsi="宋体" w:eastAsia="宋体" w:cs="宋体"/>
              <w:color w:val="auto"/>
              <w:kern w:val="2"/>
              <w:szCs w:val="24"/>
              <w:highlight w:val="none"/>
              <w:lang w:val="en-US" w:eastAsia="zh-CN" w:bidi="ar-SA"/>
            </w:rPr>
            <w:fldChar w:fldCharType="end"/>
          </w:r>
        </w:p>
        <w:p w14:paraId="12AA5265">
          <w:pPr>
            <w:pStyle w:val="16"/>
            <w:tabs>
              <w:tab w:val="right" w:leader="dot" w:pos="8306"/>
            </w:tabs>
          </w:pPr>
          <w:r>
            <w:rPr>
              <w:rFonts w:hint="eastAsia" w:ascii="宋体" w:hAnsi="宋体" w:eastAsia="宋体" w:cs="宋体"/>
              <w:color w:val="auto"/>
              <w:kern w:val="2"/>
              <w:szCs w:val="24"/>
              <w:highlight w:val="none"/>
              <w:lang w:val="en-US" w:eastAsia="zh-CN" w:bidi="ar-SA"/>
            </w:rPr>
            <w:fldChar w:fldCharType="begin"/>
          </w:r>
          <w:r>
            <w:rPr>
              <w:rFonts w:hint="eastAsia" w:ascii="宋体" w:hAnsi="宋体" w:eastAsia="宋体" w:cs="宋体"/>
              <w:kern w:val="2"/>
              <w:szCs w:val="24"/>
              <w:highlight w:val="none"/>
              <w:lang w:val="en-US" w:eastAsia="zh-CN" w:bidi="ar-SA"/>
            </w:rPr>
            <w:instrText xml:space="preserve"> HYPERLINK \l _Toc373 </w:instrText>
          </w:r>
          <w:r>
            <w:rPr>
              <w:rFonts w:hint="eastAsia" w:ascii="宋体" w:hAnsi="宋体" w:eastAsia="宋体" w:cs="宋体"/>
              <w:kern w:val="2"/>
              <w:szCs w:val="24"/>
              <w:highlight w:val="none"/>
              <w:lang w:val="en-US" w:eastAsia="zh-CN" w:bidi="ar-SA"/>
            </w:rPr>
            <w:fldChar w:fldCharType="separate"/>
          </w:r>
          <w:r>
            <w:rPr>
              <w:rFonts w:hint="eastAsia"/>
            </w:rPr>
            <w:t xml:space="preserve">5.3. </w:t>
          </w:r>
          <w:r>
            <w:rPr>
              <w:rFonts w:hint="eastAsia"/>
              <w:highlight w:val="none"/>
              <w:lang w:val="en-US" w:eastAsia="zh-CN"/>
            </w:rPr>
            <w:t>设备</w:t>
          </w:r>
          <w:r>
            <w:rPr>
              <w:rFonts w:hint="eastAsia"/>
              <w:highlight w:val="none"/>
            </w:rPr>
            <w:t>维护注意事项</w:t>
          </w:r>
          <w:r>
            <w:tab/>
          </w:r>
          <w:r>
            <w:fldChar w:fldCharType="begin"/>
          </w:r>
          <w:r>
            <w:instrText xml:space="preserve"> PAGEREF _Toc373 \h </w:instrText>
          </w:r>
          <w:r>
            <w:fldChar w:fldCharType="separate"/>
          </w:r>
          <w:r>
            <w:t>13</w:t>
          </w:r>
          <w:r>
            <w:fldChar w:fldCharType="end"/>
          </w:r>
          <w:r>
            <w:rPr>
              <w:rFonts w:hint="eastAsia" w:ascii="宋体" w:hAnsi="宋体" w:eastAsia="宋体" w:cs="宋体"/>
              <w:color w:val="auto"/>
              <w:kern w:val="2"/>
              <w:szCs w:val="24"/>
              <w:highlight w:val="none"/>
              <w:lang w:val="en-US" w:eastAsia="zh-CN" w:bidi="ar-SA"/>
            </w:rPr>
            <w:fldChar w:fldCharType="end"/>
          </w:r>
        </w:p>
        <w:p w14:paraId="4D1D6024">
          <w:pPr>
            <w:pStyle w:val="14"/>
            <w:tabs>
              <w:tab w:val="right" w:leader="dot" w:pos="8306"/>
            </w:tabs>
          </w:pPr>
          <w:r>
            <w:rPr>
              <w:rFonts w:hint="eastAsia" w:ascii="宋体" w:hAnsi="宋体" w:eastAsia="宋体" w:cs="宋体"/>
              <w:color w:val="auto"/>
              <w:kern w:val="2"/>
              <w:szCs w:val="24"/>
              <w:highlight w:val="none"/>
              <w:lang w:val="en-US" w:eastAsia="zh-CN" w:bidi="ar-SA"/>
            </w:rPr>
            <w:fldChar w:fldCharType="begin"/>
          </w:r>
          <w:r>
            <w:rPr>
              <w:rFonts w:hint="eastAsia" w:ascii="宋体" w:hAnsi="宋体" w:eastAsia="宋体" w:cs="宋体"/>
              <w:kern w:val="2"/>
              <w:szCs w:val="24"/>
              <w:highlight w:val="none"/>
              <w:lang w:val="en-US" w:eastAsia="zh-CN" w:bidi="ar-SA"/>
            </w:rPr>
            <w:instrText xml:space="preserve"> HYPERLINK \l _Toc3782 </w:instrText>
          </w:r>
          <w:r>
            <w:rPr>
              <w:rFonts w:hint="eastAsia" w:ascii="宋体" w:hAnsi="宋体" w:eastAsia="宋体" w:cs="宋体"/>
              <w:kern w:val="2"/>
              <w:szCs w:val="24"/>
              <w:highlight w:val="none"/>
              <w:lang w:val="en-US" w:eastAsia="zh-CN" w:bidi="ar-SA"/>
            </w:rPr>
            <w:fldChar w:fldCharType="separate"/>
          </w:r>
          <w:r>
            <w:rPr>
              <w:rFonts w:hint="eastAsia"/>
              <w:lang w:val="en-US" w:eastAsia="zh-CN"/>
            </w:rPr>
            <w:t xml:space="preserve">六、 </w:t>
          </w:r>
          <w:r>
            <w:rPr>
              <w:rFonts w:hint="eastAsia"/>
              <w:highlight w:val="none"/>
              <w:lang w:val="en-US" w:eastAsia="zh-CN"/>
            </w:rPr>
            <w:t>案例展示</w:t>
          </w:r>
          <w:r>
            <w:tab/>
          </w:r>
          <w:r>
            <w:fldChar w:fldCharType="begin"/>
          </w:r>
          <w:r>
            <w:instrText xml:space="preserve"> PAGEREF _Toc3782 \h </w:instrText>
          </w:r>
          <w:r>
            <w:fldChar w:fldCharType="separate"/>
          </w:r>
          <w:r>
            <w:t>16</w:t>
          </w:r>
          <w:r>
            <w:fldChar w:fldCharType="end"/>
          </w:r>
          <w:r>
            <w:rPr>
              <w:rFonts w:hint="eastAsia" w:ascii="宋体" w:hAnsi="宋体" w:eastAsia="宋体" w:cs="宋体"/>
              <w:color w:val="auto"/>
              <w:kern w:val="2"/>
              <w:szCs w:val="24"/>
              <w:highlight w:val="none"/>
              <w:lang w:val="en-US" w:eastAsia="zh-CN" w:bidi="ar-SA"/>
            </w:rPr>
            <w:fldChar w:fldCharType="end"/>
          </w:r>
        </w:p>
        <w:p w14:paraId="49CE8B01">
          <w:pPr>
            <w:pStyle w:val="16"/>
            <w:tabs>
              <w:tab w:val="right" w:leader="dot" w:pos="8306"/>
            </w:tabs>
          </w:pPr>
          <w:r>
            <w:rPr>
              <w:rFonts w:hint="eastAsia" w:ascii="宋体" w:hAnsi="宋体" w:eastAsia="宋体" w:cs="宋体"/>
              <w:color w:val="auto"/>
              <w:kern w:val="2"/>
              <w:szCs w:val="24"/>
              <w:highlight w:val="none"/>
              <w:lang w:val="en-US" w:eastAsia="zh-CN" w:bidi="ar-SA"/>
            </w:rPr>
            <w:fldChar w:fldCharType="begin"/>
          </w:r>
          <w:r>
            <w:rPr>
              <w:rFonts w:hint="eastAsia" w:ascii="宋体" w:hAnsi="宋体" w:eastAsia="宋体" w:cs="宋体"/>
              <w:kern w:val="2"/>
              <w:szCs w:val="24"/>
              <w:highlight w:val="none"/>
              <w:lang w:val="en-US" w:eastAsia="zh-CN" w:bidi="ar-SA"/>
            </w:rPr>
            <w:instrText xml:space="preserve"> HYPERLINK \l _Toc27698 </w:instrText>
          </w:r>
          <w:r>
            <w:rPr>
              <w:rFonts w:hint="eastAsia" w:ascii="宋体" w:hAnsi="宋体" w:eastAsia="宋体" w:cs="宋体"/>
              <w:kern w:val="2"/>
              <w:szCs w:val="24"/>
              <w:highlight w:val="none"/>
              <w:lang w:val="en-US" w:eastAsia="zh-CN" w:bidi="ar-SA"/>
            </w:rPr>
            <w:fldChar w:fldCharType="separate"/>
          </w:r>
          <w:r>
            <w:rPr>
              <w:rFonts w:hint="eastAsia"/>
              <w:lang w:val="en-US" w:eastAsia="zh-CN"/>
            </w:rPr>
            <w:t xml:space="preserve">6.1. </w:t>
          </w:r>
          <w:r>
            <w:rPr>
              <w:rFonts w:hint="eastAsia"/>
              <w:highlight w:val="none"/>
              <w:lang w:val="en-US" w:eastAsia="zh-CN"/>
            </w:rPr>
            <w:t>案例1：安徽某湖泊水生态水质监测</w:t>
          </w:r>
          <w:r>
            <w:tab/>
          </w:r>
          <w:r>
            <w:fldChar w:fldCharType="begin"/>
          </w:r>
          <w:r>
            <w:instrText xml:space="preserve"> PAGEREF _Toc27698 \h </w:instrText>
          </w:r>
          <w:r>
            <w:fldChar w:fldCharType="separate"/>
          </w:r>
          <w:r>
            <w:t>16</w:t>
          </w:r>
          <w:r>
            <w:fldChar w:fldCharType="end"/>
          </w:r>
          <w:r>
            <w:rPr>
              <w:rFonts w:hint="eastAsia" w:ascii="宋体" w:hAnsi="宋体" w:eastAsia="宋体" w:cs="宋体"/>
              <w:color w:val="auto"/>
              <w:kern w:val="2"/>
              <w:szCs w:val="24"/>
              <w:highlight w:val="none"/>
              <w:lang w:val="en-US" w:eastAsia="zh-CN" w:bidi="ar-SA"/>
            </w:rPr>
            <w:fldChar w:fldCharType="end"/>
          </w:r>
        </w:p>
        <w:p w14:paraId="1B4B8827">
          <w:pPr>
            <w:pStyle w:val="16"/>
            <w:tabs>
              <w:tab w:val="right" w:leader="dot" w:pos="8306"/>
            </w:tabs>
          </w:pPr>
          <w:r>
            <w:rPr>
              <w:rFonts w:hint="eastAsia" w:ascii="宋体" w:hAnsi="宋体" w:eastAsia="宋体" w:cs="宋体"/>
              <w:color w:val="auto"/>
              <w:kern w:val="2"/>
              <w:szCs w:val="24"/>
              <w:highlight w:val="none"/>
              <w:lang w:val="en-US" w:eastAsia="zh-CN" w:bidi="ar-SA"/>
            </w:rPr>
            <w:fldChar w:fldCharType="begin"/>
          </w:r>
          <w:r>
            <w:rPr>
              <w:rFonts w:hint="eastAsia" w:ascii="宋体" w:hAnsi="宋体" w:eastAsia="宋体" w:cs="宋体"/>
              <w:kern w:val="2"/>
              <w:szCs w:val="24"/>
              <w:highlight w:val="none"/>
              <w:lang w:val="en-US" w:eastAsia="zh-CN" w:bidi="ar-SA"/>
            </w:rPr>
            <w:instrText xml:space="preserve"> HYPERLINK \l _Toc31707 </w:instrText>
          </w:r>
          <w:r>
            <w:rPr>
              <w:rFonts w:hint="eastAsia" w:ascii="宋体" w:hAnsi="宋体" w:eastAsia="宋体" w:cs="宋体"/>
              <w:kern w:val="2"/>
              <w:szCs w:val="24"/>
              <w:highlight w:val="none"/>
              <w:lang w:val="en-US" w:eastAsia="zh-CN" w:bidi="ar-SA"/>
            </w:rPr>
            <w:fldChar w:fldCharType="separate"/>
          </w:r>
          <w:r>
            <w:rPr>
              <w:rFonts w:hint="eastAsia"/>
              <w:lang w:val="en-US" w:eastAsia="zh-CN"/>
            </w:rPr>
            <w:t xml:space="preserve">6.2. </w:t>
          </w:r>
          <w:r>
            <w:rPr>
              <w:rFonts w:hint="eastAsia"/>
              <w:highlight w:val="none"/>
              <w:lang w:val="en-US" w:eastAsia="zh-CN"/>
            </w:rPr>
            <w:t>案例2：山东济南市某景观生态水监测项目</w:t>
          </w:r>
          <w:r>
            <w:tab/>
          </w:r>
          <w:r>
            <w:fldChar w:fldCharType="begin"/>
          </w:r>
          <w:r>
            <w:instrText xml:space="preserve"> PAGEREF _Toc31707 \h </w:instrText>
          </w:r>
          <w:r>
            <w:fldChar w:fldCharType="separate"/>
          </w:r>
          <w:r>
            <w:t>16</w:t>
          </w:r>
          <w:r>
            <w:fldChar w:fldCharType="end"/>
          </w:r>
          <w:r>
            <w:rPr>
              <w:rFonts w:hint="eastAsia" w:ascii="宋体" w:hAnsi="宋体" w:eastAsia="宋体" w:cs="宋体"/>
              <w:color w:val="auto"/>
              <w:kern w:val="2"/>
              <w:szCs w:val="24"/>
              <w:highlight w:val="none"/>
              <w:lang w:val="en-US" w:eastAsia="zh-CN" w:bidi="ar-SA"/>
            </w:rPr>
            <w:fldChar w:fldCharType="end"/>
          </w:r>
        </w:p>
        <w:p w14:paraId="40F13162">
          <w:pP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Cs w:val="24"/>
              <w:highlight w:val="none"/>
              <w:lang w:val="en-US" w:eastAsia="zh-CN" w:bidi="ar-SA"/>
            </w:rPr>
            <w:fldChar w:fldCharType="end"/>
          </w:r>
        </w:p>
      </w:sdtContent>
    </w:sdt>
    <w:p w14:paraId="34DAA2F4">
      <w:pPr>
        <w:rPr>
          <w:rFonts w:hint="eastAsia"/>
          <w:color w:val="auto"/>
          <w:highlight w:val="none"/>
        </w:rPr>
      </w:pPr>
    </w:p>
    <w:p w14:paraId="004B449F">
      <w:pPr>
        <w:rPr>
          <w:rFonts w:hint="eastAsia"/>
          <w:color w:val="auto"/>
          <w:highlight w:val="none"/>
        </w:rPr>
        <w:sectPr>
          <w:headerReference r:id="rId6" w:type="default"/>
          <w:footerReference r:id="rId7" w:type="default"/>
          <w:pgSz w:w="11906" w:h="16838"/>
          <w:pgMar w:top="1440" w:right="1800" w:bottom="1440" w:left="1800" w:header="851" w:footer="992" w:gutter="0"/>
          <w:pgNumType w:fmt="decimal" w:start="1"/>
          <w:cols w:space="425" w:num="1"/>
          <w:docGrid w:type="lines" w:linePitch="312" w:charSpace="0"/>
        </w:sectPr>
      </w:pPr>
    </w:p>
    <w:p w14:paraId="522919CD">
      <w:pPr>
        <w:pStyle w:val="2"/>
        <w:bidi w:val="0"/>
        <w:rPr>
          <w:rFonts w:hint="eastAsia"/>
          <w:color w:val="auto"/>
          <w:highlight w:val="none"/>
          <w:lang w:val="en-US" w:eastAsia="zh-CN"/>
        </w:rPr>
      </w:pPr>
      <w:bookmarkStart w:id="0" w:name="_Toc18959"/>
      <w:bookmarkStart w:id="1" w:name="_Toc3865"/>
      <w:r>
        <w:rPr>
          <w:rFonts w:hint="eastAsia"/>
          <w:color w:val="auto"/>
          <w:highlight w:val="none"/>
          <w:lang w:val="en-US" w:eastAsia="zh-CN"/>
        </w:rPr>
        <w:t>公司简介</w:t>
      </w:r>
      <w:bookmarkEnd w:id="0"/>
      <w:bookmarkEnd w:id="1"/>
    </w:p>
    <w:p w14:paraId="005BDF9F">
      <w:pPr>
        <w:rPr>
          <w:rFonts w:hint="eastAsia"/>
          <w:color w:val="auto"/>
          <w:highlight w:val="none"/>
          <w:lang w:val="en-US" w:eastAsia="zh-CN"/>
        </w:rPr>
      </w:pPr>
    </w:p>
    <w:p w14:paraId="73B189D5">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color w:val="auto"/>
          <w:highlight w:val="none"/>
        </w:rPr>
      </w:pPr>
      <w:r>
        <w:rPr>
          <w:color w:val="auto"/>
          <w:highlight w:val="none"/>
        </w:rPr>
        <w:drawing>
          <wp:inline distT="0" distB="0" distL="0" distR="0">
            <wp:extent cx="4585970" cy="3395980"/>
            <wp:effectExtent l="0" t="0" r="1270" b="254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9" cstate="print"/>
                    <a:stretch>
                      <a:fillRect/>
                    </a:stretch>
                  </pic:blipFill>
                  <pic:spPr>
                    <a:xfrm>
                      <a:off x="0" y="0"/>
                      <a:ext cx="4585970" cy="3395980"/>
                    </a:xfrm>
                    <a:prstGeom prst="rect">
                      <a:avLst/>
                    </a:prstGeom>
                  </pic:spPr>
                </pic:pic>
              </a:graphicData>
            </a:graphic>
          </wp:inline>
        </w:drawing>
      </w:r>
    </w:p>
    <w:p w14:paraId="1F9DEB6A">
      <w:pPr>
        <w:keepNext w:val="0"/>
        <w:keepLines w:val="0"/>
        <w:pageBreakBefore w:val="0"/>
        <w:widowControl w:val="0"/>
        <w:kinsoku/>
        <w:wordWrap/>
        <w:overflowPunct/>
        <w:topLinePunct w:val="0"/>
        <w:autoSpaceDE/>
        <w:autoSpaceDN/>
        <w:bidi w:val="0"/>
        <w:adjustRightInd/>
        <w:snapToGrid/>
        <w:ind w:firstLine="0" w:firstLineChars="0"/>
        <w:jc w:val="left"/>
        <w:textAlignment w:val="auto"/>
        <w:rPr>
          <w:color w:val="auto"/>
          <w:highlight w:val="none"/>
        </w:rPr>
      </w:pPr>
    </w:p>
    <w:p w14:paraId="05A25232">
      <w:pPr>
        <w:rPr>
          <w:rFonts w:hint="eastAsia"/>
          <w:color w:val="auto"/>
          <w:highlight w:val="none"/>
          <w:lang w:val="en-US" w:eastAsia="zh-CN"/>
        </w:rPr>
      </w:pPr>
      <w:r>
        <w:rPr>
          <w:rFonts w:hint="eastAsia"/>
          <w:color w:val="auto"/>
          <w:highlight w:val="none"/>
          <w:lang w:val="en-US" w:eastAsia="zh-CN"/>
        </w:rPr>
        <w:t>杭州凯米斯物联传感科技有限公司（简称凯米斯科技），是一家专业从事生态环境、水利水务、工业过程控制、智慧农业、海洋监测等应用的水质分析仪器研发制造商，以自主研发生产的水质自动监测仪器为核心，应用自动化控制与系统集成技术，为客户提供自动化、智能化的环境监测系统解决方案，并为客户提供环境监测设施的第三方运营服务。</w:t>
      </w:r>
    </w:p>
    <w:p w14:paraId="6D03DE0F">
      <w:pPr>
        <w:rPr>
          <w:rFonts w:hint="eastAsia"/>
          <w:color w:val="auto"/>
          <w:highlight w:val="none"/>
          <w:lang w:val="en-US" w:eastAsia="zh-CN"/>
        </w:rPr>
      </w:pPr>
      <w:r>
        <w:rPr>
          <w:rFonts w:hint="eastAsia"/>
          <w:color w:val="auto"/>
          <w:highlight w:val="none"/>
          <w:lang w:val="en-US" w:eastAsia="zh-CN"/>
        </w:rPr>
        <w:t>凯米斯科技拥有完善的研发、生产、销售和技术服务团队，是国内水质数字传感领导品牌，为国内近百个市、县（区）政府和生态环境部门提供水环境监测技术支撑。</w:t>
      </w:r>
    </w:p>
    <w:p w14:paraId="61776EF0">
      <w:pPr>
        <w:rPr>
          <w:rFonts w:hint="eastAsia"/>
          <w:color w:val="auto"/>
          <w:highlight w:val="none"/>
          <w:lang w:val="en-US" w:eastAsia="zh-CN"/>
        </w:rPr>
      </w:pPr>
    </w:p>
    <w:p w14:paraId="2F6F7128">
      <w:pPr>
        <w:rPr>
          <w:rFonts w:hint="eastAsia"/>
          <w:color w:val="auto"/>
          <w:highlight w:val="none"/>
          <w:lang w:val="en-US" w:eastAsia="zh-CN"/>
        </w:rPr>
        <w:sectPr>
          <w:pgSz w:w="11906" w:h="16838"/>
          <w:pgMar w:top="1440" w:right="1800" w:bottom="1440" w:left="1800" w:header="851" w:footer="992" w:gutter="0"/>
          <w:pgNumType w:fmt="decimal"/>
          <w:cols w:space="425" w:num="1"/>
          <w:docGrid w:type="lines" w:linePitch="312" w:charSpace="0"/>
        </w:sectPr>
      </w:pPr>
    </w:p>
    <w:p w14:paraId="0EAF1881">
      <w:pPr>
        <w:pStyle w:val="2"/>
        <w:bidi w:val="0"/>
        <w:rPr>
          <w:rFonts w:hint="eastAsia"/>
          <w:color w:val="auto"/>
          <w:highlight w:val="none"/>
          <w:lang w:val="en-US" w:eastAsia="zh-CN"/>
        </w:rPr>
      </w:pPr>
      <w:bookmarkStart w:id="2" w:name="_Toc28055"/>
      <w:bookmarkStart w:id="3" w:name="_Toc28553"/>
      <w:r>
        <w:rPr>
          <w:rFonts w:hint="eastAsia"/>
          <w:color w:val="auto"/>
          <w:highlight w:val="none"/>
          <w:lang w:val="en-US" w:eastAsia="zh-CN"/>
        </w:rPr>
        <w:t>水生态水质监测概述</w:t>
      </w:r>
      <w:bookmarkEnd w:id="2"/>
      <w:bookmarkEnd w:id="3"/>
    </w:p>
    <w:p w14:paraId="41488666">
      <w:pPr>
        <w:pStyle w:val="3"/>
        <w:bidi w:val="0"/>
        <w:rPr>
          <w:rFonts w:hint="eastAsia"/>
          <w:color w:val="auto"/>
          <w:highlight w:val="none"/>
          <w:lang w:val="en-US" w:eastAsia="zh-CN"/>
        </w:rPr>
      </w:pPr>
      <w:bookmarkStart w:id="4" w:name="_Toc23386"/>
      <w:r>
        <w:rPr>
          <w:rFonts w:hint="eastAsia"/>
          <w:color w:val="auto"/>
          <w:highlight w:val="none"/>
          <w:lang w:val="en-US" w:eastAsia="zh-CN"/>
        </w:rPr>
        <w:t>水生态水质监测行业背景</w:t>
      </w:r>
      <w:bookmarkEnd w:id="4"/>
    </w:p>
    <w:p w14:paraId="6EEA5E5A">
      <w:pPr>
        <w:bidi w:val="0"/>
        <w:rPr>
          <w:rFonts w:hint="eastAsia"/>
          <w:highlight w:val="none"/>
          <w:lang w:val="en-US" w:eastAsia="zh-CN"/>
        </w:rPr>
      </w:pPr>
      <w:r>
        <w:rPr>
          <w:rFonts w:hint="eastAsia"/>
          <w:highlight w:val="none"/>
          <w:lang w:val="en-US" w:eastAsia="zh-CN"/>
        </w:rPr>
        <w:t>我国水生态监测行业正经历从单一水质监测向全要素生态评估的战略转型。2015年“水十条”提出“保障水生态系统安全”目标，推动监测体系从物理化学指标向生物完整性扩展。2020年《关于推进水生态监测工作的指导意见》明确构建“水质+生态”双指标体系，2022年生态环境部印发《水生态监测技术指南》，标志着行业进入规范化发展新阶段。目前全国已建成1200个水生态监测站，覆盖长江、黄河等重点流域，监测指标从传统的9项扩展至30余项生物参数。</w:t>
      </w:r>
    </w:p>
    <w:p w14:paraId="66C13DA6">
      <w:pPr>
        <w:bidi w:val="0"/>
        <w:rPr>
          <w:rFonts w:hint="eastAsia"/>
          <w:highlight w:val="none"/>
          <w:lang w:val="en-US" w:eastAsia="zh-CN"/>
        </w:rPr>
      </w:pPr>
      <w:r>
        <w:rPr>
          <w:rFonts w:hint="eastAsia"/>
          <w:highlight w:val="none"/>
          <w:lang w:val="en-US" w:eastAsia="zh-CN"/>
        </w:rPr>
        <w:t>技术创新与政策驱动形成合力。物联网技术实现生物群落动态感知，长江流域试点的“生态眼”系统可实时传输底栖生物图像；卫星遥感反演叶绿素a浓度，东海海域监测精度达0.5mg/m³。市场规模方面，2023年水生态监测设备及服务市场突破200亿元，年增长率18%，其中生物监测仪器占比提升至40%。典型案例包括太湖流域部署的蓝藻预警系统，通过无人机+光谱仪实现水华发生前72小时精准预报。</w:t>
      </w:r>
    </w:p>
    <w:p w14:paraId="73F5556B">
      <w:pPr>
        <w:keepNext w:val="0"/>
        <w:keepLines w:val="0"/>
        <w:pageBreakBefore w:val="0"/>
        <w:widowControl w:val="0"/>
        <w:numPr>
          <w:ilvl w:val="0"/>
          <w:numId w:val="2"/>
        </w:numPr>
        <w:kinsoku/>
        <w:wordWrap/>
        <w:overflowPunct/>
        <w:topLinePunct w:val="0"/>
        <w:autoSpaceDE/>
        <w:autoSpaceDN/>
        <w:bidi w:val="0"/>
        <w:adjustRightInd/>
        <w:snapToGrid/>
        <w:ind w:firstLine="0" w:firstLineChars="0"/>
        <w:jc w:val="left"/>
        <w:textAlignment w:val="auto"/>
        <w:rPr>
          <w:rFonts w:hint="eastAsia"/>
          <w:color w:val="auto"/>
          <w:highlight w:val="none"/>
          <w:lang w:val="en-US" w:eastAsia="zh-CN"/>
        </w:rPr>
      </w:pPr>
      <w:r>
        <w:rPr>
          <w:rFonts w:hint="eastAsia"/>
          <w:color w:val="auto"/>
          <w:highlight w:val="none"/>
          <w:lang w:val="en-US" w:eastAsia="zh-CN"/>
        </w:rPr>
        <w:t>水质监测核心痛点</w:t>
      </w:r>
    </w:p>
    <w:p w14:paraId="3DA05083">
      <w:pPr>
        <w:bidi w:val="0"/>
        <w:rPr>
          <w:rFonts w:hint="eastAsia"/>
          <w:highlight w:val="none"/>
          <w:lang w:val="en-US" w:eastAsia="zh-CN"/>
        </w:rPr>
      </w:pPr>
      <w:r>
        <w:rPr>
          <w:rFonts w:hint="eastAsia"/>
          <w:highlight w:val="none"/>
          <w:lang w:val="en-US" w:eastAsia="zh-CN"/>
        </w:rPr>
        <w:t xml:space="preserve">1.技术层面 </w:t>
      </w:r>
    </w:p>
    <w:p w14:paraId="4EE4C06C">
      <w:pPr>
        <w:bidi w:val="0"/>
        <w:rPr>
          <w:rFonts w:hint="eastAsia"/>
          <w:highlight w:val="none"/>
          <w:lang w:val="en-US" w:eastAsia="zh-CN"/>
        </w:rPr>
      </w:pPr>
      <w:r>
        <w:rPr>
          <w:rFonts w:hint="eastAsia"/>
          <w:highlight w:val="none"/>
          <w:lang w:val="en-US" w:eastAsia="zh-CN"/>
        </w:rPr>
        <w:t>生物监测标准化不足：底栖动物分类依赖人工鉴定，耗时长达72小时，自动化识别准确率仅85%。</w:t>
      </w:r>
    </w:p>
    <w:p w14:paraId="72C858CB">
      <w:pPr>
        <w:bidi w:val="0"/>
        <w:rPr>
          <w:rFonts w:hint="eastAsia"/>
          <w:highlight w:val="none"/>
          <w:lang w:val="en-US" w:eastAsia="zh-CN"/>
        </w:rPr>
      </w:pPr>
      <w:r>
        <w:rPr>
          <w:rFonts w:hint="eastAsia"/>
          <w:highlight w:val="none"/>
          <w:lang w:val="en-US" w:eastAsia="zh-CN"/>
        </w:rPr>
        <w:t>生态模型精度受限：水动力-生态耦合模型对微塑料、抗生素等新兴污染物模拟能力不足，珠江口实测数据与模型偏差达30%。</w:t>
      </w:r>
    </w:p>
    <w:p w14:paraId="2E443728">
      <w:pPr>
        <w:bidi w:val="0"/>
        <w:rPr>
          <w:rFonts w:hint="eastAsia"/>
          <w:highlight w:val="none"/>
          <w:lang w:val="en-US" w:eastAsia="zh-CN"/>
        </w:rPr>
      </w:pPr>
      <w:r>
        <w:rPr>
          <w:rFonts w:hint="eastAsia"/>
          <w:highlight w:val="none"/>
          <w:lang w:val="en-US" w:eastAsia="zh-CN"/>
        </w:rPr>
        <w:t>应急监测能力薄弱：突发污染事件中，浮游植物快速鉴定技术尚未普及，2023年松花江藻类暴发性增殖事件初期误判率超40%。</w:t>
      </w:r>
    </w:p>
    <w:p w14:paraId="407F31FA">
      <w:pPr>
        <w:bidi w:val="0"/>
        <w:rPr>
          <w:rFonts w:hint="eastAsia"/>
          <w:highlight w:val="none"/>
          <w:lang w:val="en-US" w:eastAsia="zh-CN"/>
        </w:rPr>
      </w:pPr>
      <w:r>
        <w:rPr>
          <w:rFonts w:hint="eastAsia"/>
          <w:highlight w:val="none"/>
          <w:lang w:val="en-US" w:eastAsia="zh-CN"/>
        </w:rPr>
        <w:t>2. 管理层面</w:t>
      </w:r>
    </w:p>
    <w:p w14:paraId="0D04E587">
      <w:pPr>
        <w:bidi w:val="0"/>
        <w:rPr>
          <w:rFonts w:hint="eastAsia"/>
          <w:highlight w:val="none"/>
          <w:lang w:val="en-US" w:eastAsia="zh-CN"/>
        </w:rPr>
      </w:pPr>
      <w:r>
        <w:rPr>
          <w:rFonts w:hint="eastAsia"/>
          <w:highlight w:val="none"/>
          <w:lang w:val="en-US" w:eastAsia="zh-CN"/>
        </w:rPr>
        <w:t>数据融合机制缺失：环保、农业、水利部门生态数据共享率不足30%，京津冀跨部门平台试点使数据利用率提升60%。</w:t>
      </w:r>
    </w:p>
    <w:p w14:paraId="43455AE7">
      <w:pPr>
        <w:bidi w:val="0"/>
        <w:rPr>
          <w:rFonts w:hint="eastAsia"/>
          <w:highlight w:val="none"/>
          <w:lang w:val="en-US" w:eastAsia="zh-CN"/>
        </w:rPr>
      </w:pPr>
      <w:r>
        <w:rPr>
          <w:rFonts w:hint="eastAsia"/>
          <w:highlight w:val="none"/>
          <w:lang w:val="en-US" w:eastAsia="zh-CN"/>
        </w:rPr>
        <w:t xml:space="preserve"> 考核体系待完善：生物完整性指数（B-IBI）尚未纳入地方政府考核，部分地区存在“重工程、轻生态”现象。</w:t>
      </w:r>
    </w:p>
    <w:p w14:paraId="3CA52B9B">
      <w:pPr>
        <w:bidi w:val="0"/>
        <w:rPr>
          <w:rFonts w:hint="eastAsia"/>
          <w:highlight w:val="none"/>
          <w:lang w:val="en-US" w:eastAsia="zh-CN"/>
        </w:rPr>
      </w:pPr>
      <w:r>
        <w:rPr>
          <w:rFonts w:hint="eastAsia"/>
          <w:highlight w:val="none"/>
          <w:lang w:val="en-US" w:eastAsia="zh-CN"/>
        </w:rPr>
        <w:t>资金投入结构性矛盾：2023年中央环保资金中，水生态监测仅占5%，基层监测机构年均经费低于80万元。</w:t>
      </w:r>
    </w:p>
    <w:p w14:paraId="4A3FA25E">
      <w:pPr>
        <w:keepNext w:val="0"/>
        <w:keepLines w:val="0"/>
        <w:pageBreakBefore w:val="0"/>
        <w:widowControl w:val="0"/>
        <w:numPr>
          <w:ilvl w:val="0"/>
          <w:numId w:val="3"/>
        </w:numPr>
        <w:kinsoku/>
        <w:wordWrap/>
        <w:overflowPunct/>
        <w:topLinePunct w:val="0"/>
        <w:autoSpaceDE/>
        <w:autoSpaceDN/>
        <w:bidi w:val="0"/>
        <w:adjustRightInd/>
        <w:snapToGrid/>
        <w:ind w:firstLine="0" w:firstLineChars="0"/>
        <w:textAlignment w:val="auto"/>
        <w:rPr>
          <w:rFonts w:hint="eastAsia"/>
          <w:color w:val="auto"/>
          <w:highlight w:val="none"/>
          <w:lang w:val="en-US" w:eastAsia="zh-CN"/>
        </w:rPr>
      </w:pPr>
      <w:r>
        <w:rPr>
          <w:rFonts w:hint="eastAsia"/>
          <w:color w:val="auto"/>
          <w:highlight w:val="none"/>
          <w:lang w:val="en-US" w:eastAsia="zh-CN"/>
        </w:rPr>
        <w:t>水质标准与法规要求，监测依据</w:t>
      </w:r>
    </w:p>
    <w:p w14:paraId="0CAA74E6">
      <w:pPr>
        <w:bidi w:val="0"/>
        <w:rPr>
          <w:rFonts w:hint="eastAsia"/>
          <w:b/>
          <w:bCs/>
          <w:highlight w:val="none"/>
          <w:lang w:val="en-US" w:eastAsia="zh-CN"/>
        </w:rPr>
      </w:pPr>
      <w:r>
        <w:rPr>
          <w:rFonts w:hint="eastAsia"/>
          <w:b/>
          <w:bCs/>
          <w:highlight w:val="none"/>
          <w:lang w:val="en-US" w:eastAsia="zh-CN"/>
        </w:rPr>
        <w:t>最新政策动态</w:t>
      </w:r>
    </w:p>
    <w:p w14:paraId="6CD2D0CE">
      <w:pPr>
        <w:bidi w:val="0"/>
        <w:rPr>
          <w:rFonts w:hint="eastAsia"/>
          <w:highlight w:val="none"/>
          <w:lang w:val="en-US" w:eastAsia="zh-CN"/>
        </w:rPr>
      </w:pPr>
      <w:r>
        <w:rPr>
          <w:rFonts w:hint="eastAsia"/>
          <w:highlight w:val="none"/>
          <w:lang w:val="en-US" w:eastAsia="zh-CN"/>
        </w:rPr>
        <w:t>“十五五”规划方向：生态环境部明确2025年后国控断面全面实施水生态监测，新增鱼类、底栖动物等指标。</w:t>
      </w:r>
    </w:p>
    <w:p w14:paraId="2297E44D">
      <w:pPr>
        <w:bidi w:val="0"/>
        <w:rPr>
          <w:rFonts w:hint="eastAsia"/>
          <w:highlight w:val="none"/>
          <w:lang w:val="en-US" w:eastAsia="zh-CN"/>
        </w:rPr>
      </w:pPr>
      <w:r>
        <w:rPr>
          <w:rFonts w:hint="eastAsia"/>
          <w:highlight w:val="none"/>
          <w:lang w:val="en-US" w:eastAsia="zh-CN"/>
        </w:rPr>
        <w:t>EOD模式深化：2024年新增36个生态导向开发试点项目，要求将生态监测成本纳入项目收益测算。</w:t>
      </w:r>
    </w:p>
    <w:p w14:paraId="1527E143">
      <w:pPr>
        <w:bidi w:val="0"/>
        <w:rPr>
          <w:rFonts w:hint="eastAsia"/>
          <w:highlight w:val="none"/>
          <w:lang w:val="en-US" w:eastAsia="zh-CN"/>
        </w:rPr>
      </w:pPr>
      <w:r>
        <w:rPr>
          <w:rFonts w:hint="eastAsia"/>
          <w:highlight w:val="none"/>
          <w:lang w:val="en-US" w:eastAsia="zh-CN"/>
        </w:rPr>
        <w:t>碳监测协同：《应对气候变化与水生态保护协同监测方案》提出2026年前建立湿地碳汇监测网络。</w:t>
      </w:r>
    </w:p>
    <w:p w14:paraId="4CE64750">
      <w:pPr>
        <w:bidi w:val="0"/>
        <w:rPr>
          <w:rFonts w:hint="eastAsia"/>
          <w:b/>
          <w:bCs/>
          <w:highlight w:val="none"/>
          <w:lang w:val="en-US" w:eastAsia="zh-CN"/>
        </w:rPr>
      </w:pPr>
      <w:r>
        <w:rPr>
          <w:rFonts w:hint="eastAsia"/>
          <w:b/>
          <w:bCs/>
          <w:highlight w:val="none"/>
          <w:lang w:val="en-US" w:eastAsia="zh-CN"/>
        </w:rPr>
        <w:t>标准体系升级</w:t>
      </w:r>
    </w:p>
    <w:p w14:paraId="0F85A0E6">
      <w:pPr>
        <w:bidi w:val="0"/>
        <w:rPr>
          <w:rFonts w:hint="eastAsia"/>
          <w:highlight w:val="none"/>
          <w:lang w:val="en-US" w:eastAsia="zh-CN"/>
        </w:rPr>
      </w:pPr>
      <w:r>
        <w:rPr>
          <w:rFonts w:hint="eastAsia"/>
          <w:highlight w:val="none"/>
          <w:lang w:val="en-US" w:eastAsia="zh-CN"/>
        </w:rPr>
        <w:t xml:space="preserve">方法标准：HJ 1295-2023《河湖生态监测技术指南》规定浮游植物每季度监测1次，底栖动物每半年1次 </w:t>
      </w:r>
    </w:p>
    <w:p w14:paraId="409EF368">
      <w:pPr>
        <w:bidi w:val="0"/>
        <w:rPr>
          <w:rFonts w:hint="eastAsia"/>
          <w:highlight w:val="none"/>
          <w:lang w:val="en-US" w:eastAsia="zh-CN"/>
        </w:rPr>
      </w:pPr>
      <w:r>
        <w:rPr>
          <w:rFonts w:hint="eastAsia"/>
          <w:highlight w:val="none"/>
          <w:lang w:val="en-US" w:eastAsia="zh-CN"/>
        </w:rPr>
        <w:t>评价标准：SL/T 793-2023《河流生态健康评价标准》引入生态流量保障率、鱼类洄游通道指数等指标。</w:t>
      </w:r>
    </w:p>
    <w:p w14:paraId="4C4E5BE6">
      <w:pPr>
        <w:bidi w:val="0"/>
        <w:rPr>
          <w:rFonts w:hint="eastAsia"/>
          <w:highlight w:val="none"/>
          <w:lang w:val="en-US" w:eastAsia="zh-CN"/>
        </w:rPr>
      </w:pPr>
      <w:r>
        <w:rPr>
          <w:rFonts w:hint="eastAsia"/>
          <w:highlight w:val="none"/>
          <w:lang w:val="en-US" w:eastAsia="zh-CN"/>
        </w:rPr>
        <w:t>应急标准：HJ 1388-2023《突发水生态事件应急监测技术规范》要求2小时内启动生物毒性检测。</w:t>
      </w:r>
    </w:p>
    <w:p w14:paraId="00852EBD">
      <w:pPr>
        <w:pStyle w:val="3"/>
        <w:bidi w:val="0"/>
        <w:outlineLvl w:val="1"/>
        <w:rPr>
          <w:rFonts w:hint="default"/>
          <w:color w:val="auto"/>
          <w:highlight w:val="none"/>
          <w:lang w:val="en-US" w:eastAsia="zh-CN"/>
        </w:rPr>
      </w:pPr>
      <w:bookmarkStart w:id="5" w:name="_Toc20912"/>
      <w:bookmarkStart w:id="6" w:name="_Toc16844"/>
      <w:r>
        <w:rPr>
          <w:rFonts w:hint="eastAsia"/>
          <w:color w:val="auto"/>
          <w:highlight w:val="none"/>
          <w:lang w:val="en-US" w:eastAsia="zh-CN"/>
        </w:rPr>
        <w:t>水生态水质监测特点</w:t>
      </w:r>
      <w:bookmarkEnd w:id="5"/>
      <w:bookmarkEnd w:id="6"/>
    </w:p>
    <w:p w14:paraId="219C897B">
      <w:pPr>
        <w:rPr>
          <w:rFonts w:hint="default"/>
          <w:highlight w:val="none"/>
          <w:lang w:val="en-US" w:eastAsia="zh-CN"/>
        </w:rPr>
      </w:pPr>
      <w:r>
        <w:rPr>
          <w:rFonts w:hint="default"/>
          <w:highlight w:val="none"/>
          <w:lang w:val="en-US" w:eastAsia="zh-CN"/>
        </w:rPr>
        <w:t>1.生态系统性：以水体生态系统健康为核心，关注生物群落（鱼类、底栖动物、浮游生物）、栖息地结构及生态功能，而非单一水质指标。</w:t>
      </w:r>
    </w:p>
    <w:p w14:paraId="03797DE8">
      <w:pPr>
        <w:rPr>
          <w:rFonts w:hint="default"/>
          <w:highlight w:val="none"/>
          <w:lang w:val="en-US" w:eastAsia="zh-CN"/>
        </w:rPr>
      </w:pPr>
      <w:r>
        <w:rPr>
          <w:rFonts w:hint="default"/>
          <w:highlight w:val="none"/>
          <w:lang w:val="en-US" w:eastAsia="zh-CN"/>
        </w:rPr>
        <w:t>2.指标生物完整性：纳入生物多样性指数（B-IBI）、藻类群落结构、鱼类洄游通道等生物参数，结合水文、理化指标进行综合评估。</w:t>
      </w:r>
    </w:p>
    <w:p w14:paraId="5226A18B">
      <w:pPr>
        <w:rPr>
          <w:rFonts w:hint="default"/>
          <w:highlight w:val="none"/>
          <w:lang w:val="en-US" w:eastAsia="zh-CN"/>
        </w:rPr>
      </w:pPr>
      <w:r>
        <w:rPr>
          <w:rFonts w:hint="default"/>
          <w:highlight w:val="none"/>
          <w:lang w:val="en-US" w:eastAsia="zh-CN"/>
        </w:rPr>
        <w:t>3.动态响应滞后性：生态系统对污染响应周期长（如底栖动物需数月反馈），需长期监测与历史数据对比分析。</w:t>
      </w:r>
    </w:p>
    <w:p w14:paraId="7341F700">
      <w:pPr>
        <w:rPr>
          <w:rFonts w:hint="default"/>
          <w:highlight w:val="none"/>
          <w:lang w:val="en-US" w:eastAsia="zh-CN"/>
        </w:rPr>
      </w:pPr>
      <w:r>
        <w:rPr>
          <w:rFonts w:hint="default"/>
          <w:highlight w:val="none"/>
          <w:lang w:val="en-US" w:eastAsia="zh-CN"/>
        </w:rPr>
        <w:t>4.技术多学科融合</w:t>
      </w:r>
      <w:r>
        <w:rPr>
          <w:rFonts w:hint="eastAsia"/>
          <w:highlight w:val="none"/>
          <w:lang w:val="en-US" w:eastAsia="zh-CN"/>
        </w:rPr>
        <w:t xml:space="preserve"> </w:t>
      </w:r>
      <w:r>
        <w:rPr>
          <w:rFonts w:hint="default"/>
          <w:highlight w:val="none"/>
          <w:lang w:val="en-US" w:eastAsia="zh-CN"/>
        </w:rPr>
        <w:t>：集成生物分类学、遥感技术、水动力模型等，例如无人机光谱扫描监测蓝藻水华，DNA条形码技术快速鉴定物种。</w:t>
      </w:r>
    </w:p>
    <w:p w14:paraId="7D88D8F5">
      <w:pPr>
        <w:rPr>
          <w:rFonts w:hint="default"/>
          <w:highlight w:val="none"/>
          <w:lang w:val="en-US" w:eastAsia="zh-CN"/>
        </w:rPr>
      </w:pPr>
      <w:r>
        <w:rPr>
          <w:rFonts w:hint="default"/>
          <w:highlight w:val="none"/>
          <w:lang w:val="en-US" w:eastAsia="zh-CN"/>
        </w:rPr>
        <w:t>5.管理复杂性：需协调环保、水利、农业等多部门数据，建立流域生态补偿机制，典型案例包括太湖蓝藻预警系统与长江鱼类洄游保护。</w:t>
      </w:r>
    </w:p>
    <w:p w14:paraId="3E7E9D0C">
      <w:pPr>
        <w:rPr>
          <w:rFonts w:hint="default"/>
          <w:highlight w:val="none"/>
          <w:lang w:val="en-US" w:eastAsia="zh-CN"/>
        </w:rPr>
      </w:pPr>
      <w:r>
        <w:rPr>
          <w:rFonts w:hint="default"/>
          <w:highlight w:val="none"/>
          <w:lang w:val="en-US" w:eastAsia="zh-CN"/>
        </w:rPr>
        <w:t>6.战略前瞻性：服务于生态文明建设，为水生态修复、生物多样性保护及气候变化应对提供决策依据，如湿地碳汇监测网络构建。</w:t>
      </w:r>
    </w:p>
    <w:p w14:paraId="7E18AE01">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highlight w:val="none"/>
          <w:lang w:val="en-US" w:eastAsia="zh-CN"/>
        </w:rPr>
      </w:pPr>
      <w:r>
        <w:rPr>
          <w:rFonts w:hint="eastAsia"/>
          <w:b/>
          <w:bCs/>
          <w:highlight w:val="none"/>
          <w:lang w:val="en-US" w:eastAsia="zh-CN"/>
        </w:rPr>
        <w:t>方案优势：</w:t>
      </w:r>
    </w:p>
    <w:p w14:paraId="4220302F">
      <w:pPr>
        <w:bidi w:val="0"/>
        <w:rPr>
          <w:rFonts w:hint="default"/>
          <w:highlight w:val="none"/>
          <w:lang w:val="en-US" w:eastAsia="zh-CN"/>
        </w:rPr>
      </w:pPr>
      <w:r>
        <w:rPr>
          <w:rFonts w:hint="default"/>
          <w:highlight w:val="none"/>
          <w:lang w:val="en-US" w:eastAsia="zh-CN"/>
        </w:rPr>
        <w:t>1.完整数据调控体系：水质监测智能云平台、APP和小程序等信息化产品。</w:t>
      </w:r>
    </w:p>
    <w:p w14:paraId="6EBB9A44">
      <w:pPr>
        <w:bidi w:val="0"/>
        <w:rPr>
          <w:rFonts w:hint="default"/>
          <w:highlight w:val="none"/>
          <w:lang w:val="en-US" w:eastAsia="zh-CN"/>
        </w:rPr>
      </w:pPr>
      <w:r>
        <w:rPr>
          <w:rFonts w:hint="default"/>
          <w:highlight w:val="none"/>
          <w:lang w:val="en-US" w:eastAsia="zh-CN"/>
        </w:rPr>
        <w:t>2.水环境安全预警：对区域内的河流水质实时监测，采集监测信息，进行数据传输，对采集信息进行数据整编，并实现异常状况的预警报警，通过服务端平台实时展示，以便相关的责任人员迅速做出响应。</w:t>
      </w:r>
    </w:p>
    <w:p w14:paraId="18385DD6">
      <w:pPr>
        <w:bidi w:val="0"/>
        <w:rPr>
          <w:rFonts w:hint="default"/>
          <w:highlight w:val="none"/>
          <w:lang w:val="en-US" w:eastAsia="zh-CN"/>
        </w:rPr>
      </w:pPr>
      <w:r>
        <w:rPr>
          <w:rFonts w:hint="default"/>
          <w:highlight w:val="none"/>
          <w:lang w:val="en-US" w:eastAsia="zh-CN"/>
        </w:rPr>
        <w:t>3.水环境溯源分析：对河道水质趋势变化分析、形成“水质指纹”，进行水质溯源分析。平台提供了强大的数据统计分析功能，实现了监测数据的深度挖掘，并快速追溯污染来源，确定水质污染的责任主体。</w:t>
      </w:r>
    </w:p>
    <w:p w14:paraId="0A98F02A">
      <w:pPr>
        <w:bidi w:val="0"/>
        <w:rPr>
          <w:rFonts w:hint="default"/>
          <w:highlight w:val="none"/>
          <w:lang w:val="en-US" w:eastAsia="zh-CN"/>
        </w:rPr>
      </w:pPr>
      <w:r>
        <w:rPr>
          <w:rFonts w:hint="default"/>
          <w:highlight w:val="none"/>
          <w:lang w:val="en-US" w:eastAsia="zh-CN"/>
        </w:rPr>
        <w:t>4.全域监管体系覆盖：覆盖全国所有省市的城乡水域信息化监测，初步实现万条河流入“云”。</w:t>
      </w:r>
    </w:p>
    <w:p w14:paraId="35D2CF63">
      <w:pPr>
        <w:pStyle w:val="2"/>
        <w:bidi w:val="0"/>
        <w:rPr>
          <w:rFonts w:hint="eastAsia"/>
          <w:color w:val="auto"/>
          <w:highlight w:val="none"/>
          <w:lang w:val="en-US" w:eastAsia="zh-CN"/>
        </w:rPr>
      </w:pPr>
      <w:bookmarkStart w:id="7" w:name="_Toc15099"/>
      <w:bookmarkStart w:id="8" w:name="_Toc5564"/>
      <w:r>
        <w:rPr>
          <w:rFonts w:hint="eastAsia"/>
          <w:color w:val="auto"/>
          <w:highlight w:val="none"/>
          <w:lang w:val="en-US" w:eastAsia="zh-CN"/>
        </w:rPr>
        <w:t>建设方案设计</w:t>
      </w:r>
      <w:bookmarkEnd w:id="7"/>
      <w:bookmarkEnd w:id="8"/>
    </w:p>
    <w:p w14:paraId="5FB79E96">
      <w:pPr>
        <w:pStyle w:val="3"/>
        <w:bidi w:val="0"/>
        <w:rPr>
          <w:rFonts w:hint="eastAsia"/>
          <w:color w:val="auto"/>
          <w:highlight w:val="none"/>
          <w:lang w:val="en-US" w:eastAsia="zh-CN"/>
        </w:rPr>
      </w:pPr>
      <w:bookmarkStart w:id="9" w:name="_Toc25247"/>
      <w:r>
        <w:rPr>
          <w:rFonts w:hint="eastAsia"/>
          <w:color w:val="auto"/>
          <w:highlight w:val="none"/>
          <w:lang w:val="en-US" w:eastAsia="zh-CN"/>
        </w:rPr>
        <w:t>系统框架图</w:t>
      </w:r>
      <w:bookmarkEnd w:id="9"/>
    </w:p>
    <w:p w14:paraId="042B4D0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highlight w:val="none"/>
          <w:lang w:val="en-US" w:eastAsia="zh-CN"/>
        </w:rPr>
      </w:pPr>
      <w:r>
        <w:rPr>
          <w:highlight w:val="none"/>
        </w:rPr>
        <w:drawing>
          <wp:inline distT="0" distB="0" distL="114300" distR="114300">
            <wp:extent cx="4834255" cy="3265805"/>
            <wp:effectExtent l="0" t="0" r="12065" b="1079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0"/>
                    <a:stretch>
                      <a:fillRect/>
                    </a:stretch>
                  </pic:blipFill>
                  <pic:spPr>
                    <a:xfrm>
                      <a:off x="0" y="0"/>
                      <a:ext cx="4834255" cy="3265805"/>
                    </a:xfrm>
                    <a:prstGeom prst="rect">
                      <a:avLst/>
                    </a:prstGeom>
                    <a:noFill/>
                    <a:ln>
                      <a:noFill/>
                    </a:ln>
                  </pic:spPr>
                </pic:pic>
              </a:graphicData>
            </a:graphic>
          </wp:inline>
        </w:drawing>
      </w:r>
    </w:p>
    <w:p w14:paraId="6D717F2C">
      <w:pPr>
        <w:pStyle w:val="3"/>
        <w:bidi w:val="0"/>
        <w:rPr>
          <w:rFonts w:hint="eastAsia"/>
          <w:color w:val="auto"/>
          <w:highlight w:val="none"/>
          <w:lang w:val="en-US" w:eastAsia="zh-CN"/>
        </w:rPr>
      </w:pPr>
      <w:bookmarkStart w:id="10" w:name="_Toc18003"/>
      <w:r>
        <w:rPr>
          <w:rFonts w:hint="eastAsia"/>
          <w:color w:val="auto"/>
          <w:highlight w:val="none"/>
          <w:lang w:val="en-US" w:eastAsia="zh-CN"/>
        </w:rPr>
        <w:t>设备选型策略</w:t>
      </w:r>
      <w:bookmarkEnd w:id="10"/>
    </w:p>
    <w:tbl>
      <w:tblPr>
        <w:tblStyle w:val="19"/>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689"/>
        <w:gridCol w:w="3000"/>
        <w:gridCol w:w="2830"/>
      </w:tblGrid>
      <w:tr w14:paraId="6541F1B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1578" w:type="pct"/>
            <w:vAlign w:val="center"/>
          </w:tcPr>
          <w:p w14:paraId="296DC23E">
            <w:pPr>
              <w:spacing w:line="240" w:lineRule="auto"/>
              <w:ind w:firstLine="0" w:firstLineChars="0"/>
              <w:jc w:val="center"/>
              <w:rPr>
                <w:rFonts w:hint="eastAsia"/>
                <w:b/>
                <w:bCs/>
                <w:color w:val="auto"/>
                <w:sz w:val="21"/>
                <w:szCs w:val="21"/>
                <w:highlight w:val="none"/>
              </w:rPr>
            </w:pPr>
            <w:bookmarkStart w:id="11" w:name="_Toc24440"/>
            <w:r>
              <w:rPr>
                <w:rFonts w:hint="eastAsia"/>
                <w:b/>
                <w:bCs/>
                <w:color w:val="auto"/>
                <w:sz w:val="21"/>
                <w:szCs w:val="21"/>
                <w:highlight w:val="none"/>
              </w:rPr>
              <w:t>核心监测参数</w:t>
            </w:r>
          </w:p>
        </w:tc>
        <w:tc>
          <w:tcPr>
            <w:tcW w:w="1761" w:type="pct"/>
            <w:vAlign w:val="center"/>
          </w:tcPr>
          <w:p w14:paraId="4C29DB05">
            <w:pPr>
              <w:spacing w:line="240" w:lineRule="auto"/>
              <w:ind w:firstLine="0" w:firstLineChars="0"/>
              <w:jc w:val="center"/>
              <w:rPr>
                <w:rFonts w:hint="eastAsia"/>
                <w:b/>
                <w:bCs/>
                <w:color w:val="auto"/>
                <w:sz w:val="21"/>
                <w:szCs w:val="21"/>
                <w:highlight w:val="none"/>
              </w:rPr>
            </w:pPr>
            <w:r>
              <w:rPr>
                <w:rFonts w:hint="eastAsia"/>
                <w:b/>
                <w:bCs/>
                <w:color w:val="auto"/>
                <w:sz w:val="21"/>
                <w:szCs w:val="21"/>
                <w:highlight w:val="none"/>
              </w:rPr>
              <w:t>设备名称</w:t>
            </w:r>
          </w:p>
        </w:tc>
        <w:tc>
          <w:tcPr>
            <w:tcW w:w="1659" w:type="pct"/>
            <w:vAlign w:val="center"/>
          </w:tcPr>
          <w:p w14:paraId="2C2A7FB7">
            <w:pPr>
              <w:spacing w:line="240" w:lineRule="auto"/>
              <w:ind w:firstLine="0" w:firstLineChars="0"/>
              <w:jc w:val="center"/>
              <w:rPr>
                <w:rFonts w:hint="eastAsia"/>
                <w:b/>
                <w:bCs/>
                <w:color w:val="auto"/>
                <w:sz w:val="21"/>
                <w:szCs w:val="21"/>
                <w:highlight w:val="none"/>
              </w:rPr>
            </w:pPr>
            <w:r>
              <w:rPr>
                <w:rFonts w:hint="eastAsia"/>
                <w:b/>
                <w:bCs/>
                <w:color w:val="auto"/>
                <w:sz w:val="21"/>
                <w:szCs w:val="21"/>
                <w:highlight w:val="none"/>
              </w:rPr>
              <w:t>设备原理</w:t>
            </w:r>
          </w:p>
        </w:tc>
      </w:tr>
      <w:tr w14:paraId="678D42A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3"/>
            <w:shd w:val="clear" w:color="auto" w:fill="auto"/>
            <w:vAlign w:val="center"/>
          </w:tcPr>
          <w:p w14:paraId="40236599">
            <w:pPr>
              <w:spacing w:line="240" w:lineRule="auto"/>
              <w:ind w:firstLine="0" w:firstLineChars="0"/>
              <w:jc w:val="center"/>
              <w:rPr>
                <w:rFonts w:hint="eastAsia" w:ascii="宋体" w:hAnsi="宋体" w:eastAsia="宋体" w:cs="宋体"/>
                <w:i w:val="0"/>
                <w:iCs w:val="0"/>
                <w:color w:val="auto"/>
                <w:kern w:val="0"/>
                <w:sz w:val="21"/>
                <w:szCs w:val="21"/>
                <w:highlight w:val="none"/>
                <w:u w:val="none"/>
                <w:lang w:val="en-US" w:eastAsia="zh-CN" w:bidi="ar"/>
              </w:rPr>
            </w:pPr>
            <w:r>
              <w:rPr>
                <w:rFonts w:hint="eastAsia"/>
                <w:b/>
                <w:bCs/>
                <w:color w:val="auto"/>
                <w:sz w:val="21"/>
                <w:szCs w:val="21"/>
                <w:highlight w:val="none"/>
                <w:vertAlign w:val="baseline"/>
                <w:lang w:val="en-US" w:eastAsia="zh-CN"/>
              </w:rPr>
              <w:t>在线监测设备</w:t>
            </w:r>
          </w:p>
        </w:tc>
      </w:tr>
      <w:tr w14:paraId="06D17C0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78" w:type="pct"/>
            <w:shd w:val="clear" w:color="auto" w:fill="auto"/>
            <w:vAlign w:val="center"/>
          </w:tcPr>
          <w:p w14:paraId="749777BD">
            <w:pPr>
              <w:spacing w:line="24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color w:val="auto"/>
                <w:sz w:val="21"/>
                <w:szCs w:val="21"/>
                <w:highlight w:val="none"/>
              </w:rPr>
              <w:t>PH</w:t>
            </w:r>
          </w:p>
        </w:tc>
        <w:tc>
          <w:tcPr>
            <w:tcW w:w="1761" w:type="pct"/>
            <w:shd w:val="clear" w:color="auto" w:fill="auto"/>
            <w:vAlign w:val="center"/>
          </w:tcPr>
          <w:p w14:paraId="612B8931">
            <w:pPr>
              <w:spacing w:line="24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color w:val="auto"/>
                <w:sz w:val="21"/>
                <w:szCs w:val="21"/>
                <w:highlight w:val="none"/>
              </w:rPr>
              <w:t>在线PH传感器</w:t>
            </w:r>
          </w:p>
        </w:tc>
        <w:tc>
          <w:tcPr>
            <w:tcW w:w="1659" w:type="pct"/>
            <w:shd w:val="clear" w:color="auto" w:fill="auto"/>
            <w:vAlign w:val="center"/>
          </w:tcPr>
          <w:p w14:paraId="0643749F">
            <w:pPr>
              <w:spacing w:line="240" w:lineRule="auto"/>
              <w:ind w:firstLine="0" w:firstLineChars="0"/>
              <w:jc w:val="center"/>
              <w:rPr>
                <w:rFonts w:hint="eastAsia" w:ascii="宋体" w:hAnsi="宋体" w:eastAsia="宋体" w:cstheme="minorBidi"/>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玻璃电极法</w:t>
            </w:r>
          </w:p>
        </w:tc>
      </w:tr>
      <w:tr w14:paraId="7B38BF9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78" w:type="pct"/>
            <w:vAlign w:val="center"/>
          </w:tcPr>
          <w:p w14:paraId="50CE9400">
            <w:pPr>
              <w:spacing w:line="240" w:lineRule="auto"/>
              <w:ind w:firstLine="0" w:firstLineChars="0"/>
              <w:jc w:val="center"/>
              <w:rPr>
                <w:rFonts w:hint="eastAsia"/>
                <w:color w:val="auto"/>
                <w:sz w:val="21"/>
                <w:szCs w:val="21"/>
                <w:highlight w:val="none"/>
              </w:rPr>
            </w:pPr>
            <w:r>
              <w:rPr>
                <w:rFonts w:hint="eastAsia"/>
                <w:color w:val="auto"/>
                <w:sz w:val="21"/>
                <w:szCs w:val="21"/>
                <w:highlight w:val="none"/>
              </w:rPr>
              <w:t>浊度</w:t>
            </w:r>
          </w:p>
        </w:tc>
        <w:tc>
          <w:tcPr>
            <w:tcW w:w="1761" w:type="pct"/>
            <w:vAlign w:val="center"/>
          </w:tcPr>
          <w:p w14:paraId="40BAA28F">
            <w:pPr>
              <w:spacing w:line="240" w:lineRule="auto"/>
              <w:ind w:firstLine="0" w:firstLineChars="0"/>
              <w:jc w:val="center"/>
              <w:rPr>
                <w:rFonts w:hint="eastAsia"/>
                <w:color w:val="auto"/>
                <w:sz w:val="21"/>
                <w:szCs w:val="21"/>
                <w:highlight w:val="none"/>
              </w:rPr>
            </w:pPr>
            <w:r>
              <w:rPr>
                <w:rFonts w:hint="eastAsia"/>
                <w:color w:val="auto"/>
                <w:sz w:val="21"/>
                <w:szCs w:val="21"/>
                <w:highlight w:val="none"/>
              </w:rPr>
              <w:t>在线浊度传感器</w:t>
            </w:r>
          </w:p>
        </w:tc>
        <w:tc>
          <w:tcPr>
            <w:tcW w:w="1659" w:type="pct"/>
            <w:vAlign w:val="center"/>
          </w:tcPr>
          <w:p w14:paraId="7031DBFC">
            <w:pPr>
              <w:spacing w:line="240" w:lineRule="auto"/>
              <w:ind w:firstLine="0" w:firstLineChars="0"/>
              <w:jc w:val="center"/>
              <w:rPr>
                <w:rFonts w:hint="eastAsia" w:cstheme="minorBidi"/>
                <w:color w:val="auto"/>
                <w:sz w:val="21"/>
                <w:szCs w:val="21"/>
                <w:highlight w:val="none"/>
              </w:rPr>
            </w:pPr>
            <w:r>
              <w:rPr>
                <w:rFonts w:hint="eastAsia" w:cstheme="minorBidi"/>
                <w:color w:val="auto"/>
                <w:sz w:val="21"/>
                <w:szCs w:val="21"/>
                <w:highlight w:val="none"/>
              </w:rPr>
              <w:t>光学法</w:t>
            </w:r>
          </w:p>
        </w:tc>
      </w:tr>
      <w:tr w14:paraId="476399F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78" w:type="pct"/>
            <w:vAlign w:val="center"/>
          </w:tcPr>
          <w:p w14:paraId="1DC8525A">
            <w:pPr>
              <w:spacing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电导率</w:t>
            </w:r>
          </w:p>
        </w:tc>
        <w:tc>
          <w:tcPr>
            <w:tcW w:w="1761" w:type="pct"/>
            <w:vAlign w:val="center"/>
          </w:tcPr>
          <w:p w14:paraId="5B7B9C33">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在线电导率传感器</w:t>
            </w:r>
          </w:p>
        </w:tc>
        <w:tc>
          <w:tcPr>
            <w:tcW w:w="1659" w:type="pct"/>
            <w:vAlign w:val="center"/>
          </w:tcPr>
          <w:p w14:paraId="1204634B">
            <w:pPr>
              <w:spacing w:line="240" w:lineRule="auto"/>
              <w:ind w:firstLine="0" w:firstLineChars="0"/>
              <w:jc w:val="center"/>
              <w:rPr>
                <w:rFonts w:hint="default" w:eastAsia="宋体" w:cstheme="minorBidi"/>
                <w:color w:val="auto"/>
                <w:sz w:val="21"/>
                <w:szCs w:val="21"/>
                <w:highlight w:val="none"/>
                <w:lang w:val="en-US" w:eastAsia="zh-CN"/>
              </w:rPr>
            </w:pPr>
            <w:r>
              <w:rPr>
                <w:rFonts w:hint="eastAsia" w:cstheme="minorBidi"/>
                <w:color w:val="auto"/>
                <w:sz w:val="21"/>
                <w:szCs w:val="21"/>
                <w:highlight w:val="none"/>
                <w:lang w:val="en-US" w:eastAsia="zh-CN"/>
              </w:rPr>
              <w:t>接触式电极</w:t>
            </w:r>
          </w:p>
        </w:tc>
      </w:tr>
      <w:tr w14:paraId="160A908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78" w:type="pct"/>
            <w:vAlign w:val="center"/>
          </w:tcPr>
          <w:p w14:paraId="2E8CB529">
            <w:pPr>
              <w:spacing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溶解氧</w:t>
            </w:r>
          </w:p>
        </w:tc>
        <w:tc>
          <w:tcPr>
            <w:tcW w:w="1761" w:type="pct"/>
            <w:vAlign w:val="center"/>
          </w:tcPr>
          <w:p w14:paraId="27A70086">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在线溶解氧传感器</w:t>
            </w:r>
          </w:p>
        </w:tc>
        <w:tc>
          <w:tcPr>
            <w:tcW w:w="1659" w:type="pct"/>
            <w:vAlign w:val="center"/>
          </w:tcPr>
          <w:p w14:paraId="537AFDAE">
            <w:pPr>
              <w:spacing w:line="240" w:lineRule="auto"/>
              <w:ind w:firstLine="0" w:firstLineChars="0"/>
              <w:jc w:val="center"/>
              <w:rPr>
                <w:rFonts w:hint="eastAsia" w:eastAsia="宋体" w:cstheme="minorBidi"/>
                <w:color w:val="auto"/>
                <w:sz w:val="21"/>
                <w:szCs w:val="21"/>
                <w:highlight w:val="none"/>
                <w:lang w:val="en-US" w:eastAsia="zh-CN"/>
              </w:rPr>
            </w:pPr>
            <w:r>
              <w:rPr>
                <w:rFonts w:hint="eastAsia" w:cstheme="minorBidi"/>
                <w:color w:val="auto"/>
                <w:sz w:val="21"/>
                <w:szCs w:val="21"/>
                <w:highlight w:val="none"/>
                <w:lang w:val="en-US" w:eastAsia="zh-CN"/>
              </w:rPr>
              <w:t>荧光法</w:t>
            </w:r>
          </w:p>
        </w:tc>
      </w:tr>
      <w:tr w14:paraId="29AE244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78" w:type="pct"/>
            <w:shd w:val="clear" w:color="auto" w:fill="auto"/>
            <w:vAlign w:val="center"/>
          </w:tcPr>
          <w:p w14:paraId="521097B6">
            <w:pPr>
              <w:widowControl/>
              <w:spacing w:line="240" w:lineRule="auto"/>
              <w:ind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sz w:val="21"/>
                <w:szCs w:val="21"/>
                <w:highlight w:val="none"/>
              </w:rPr>
              <w:t>化学需氧量（COD）</w:t>
            </w:r>
          </w:p>
        </w:tc>
        <w:tc>
          <w:tcPr>
            <w:tcW w:w="1761" w:type="pct"/>
            <w:shd w:val="clear" w:color="auto" w:fill="auto"/>
            <w:vAlign w:val="center"/>
          </w:tcPr>
          <w:p w14:paraId="618C30CA">
            <w:pPr>
              <w:widowControl/>
              <w:spacing w:line="240" w:lineRule="auto"/>
              <w:ind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color w:val="000000"/>
                <w:kern w:val="0"/>
                <w:sz w:val="21"/>
                <w:szCs w:val="21"/>
                <w:highlight w:val="none"/>
                <w:lang w:bidi="ar"/>
              </w:rPr>
              <w:t>在线COD传感器</w:t>
            </w:r>
            <w:r>
              <w:rPr>
                <w:rFonts w:hint="eastAsia" w:ascii="宋体" w:hAnsi="宋体" w:eastAsia="宋体" w:cs="宋体"/>
                <w:color w:val="auto"/>
                <w:kern w:val="2"/>
                <w:sz w:val="21"/>
                <w:szCs w:val="21"/>
                <w:highlight w:val="none"/>
                <w:lang w:val="en-US" w:eastAsia="zh-CN" w:bidi="ar"/>
              </w:rPr>
              <w:t>/在线</w:t>
            </w:r>
            <w:r>
              <w:rPr>
                <w:rFonts w:hint="eastAsia" w:cs="宋体"/>
                <w:color w:val="auto"/>
                <w:kern w:val="2"/>
                <w:sz w:val="21"/>
                <w:szCs w:val="21"/>
                <w:highlight w:val="none"/>
                <w:lang w:val="en-US" w:eastAsia="zh-CN" w:bidi="ar"/>
              </w:rPr>
              <w:t>COD</w:t>
            </w:r>
            <w:r>
              <w:rPr>
                <w:rFonts w:hint="eastAsia" w:ascii="宋体" w:hAnsi="宋体" w:eastAsia="宋体" w:cs="宋体"/>
                <w:color w:val="auto"/>
                <w:kern w:val="2"/>
                <w:sz w:val="21"/>
                <w:szCs w:val="21"/>
                <w:highlight w:val="none"/>
                <w:lang w:val="en-US" w:eastAsia="zh-CN" w:bidi="ar"/>
              </w:rPr>
              <w:t>分析仪</w:t>
            </w:r>
            <w:r>
              <w:rPr>
                <w:rFonts w:hint="eastAsia"/>
                <w:color w:val="000000"/>
                <w:kern w:val="0"/>
                <w:sz w:val="21"/>
                <w:szCs w:val="21"/>
                <w:highlight w:val="none"/>
                <w:lang w:bidi="ar"/>
              </w:rPr>
              <w:t>/在线全光谱多参数传感器</w:t>
            </w:r>
          </w:p>
        </w:tc>
        <w:tc>
          <w:tcPr>
            <w:tcW w:w="1659" w:type="pct"/>
            <w:shd w:val="clear" w:color="auto" w:fill="auto"/>
            <w:vAlign w:val="center"/>
          </w:tcPr>
          <w:p w14:paraId="37689B1A">
            <w:pPr>
              <w:widowControl/>
              <w:spacing w:line="240" w:lineRule="auto"/>
              <w:ind w:firstLine="0" w:firstLineChars="0"/>
              <w:jc w:val="center"/>
              <w:textAlignment w:val="center"/>
              <w:rPr>
                <w:rFonts w:hint="eastAsia" w:ascii="宋体" w:hAnsi="宋体" w:eastAsia="宋体" w:cstheme="minorBidi"/>
                <w:color w:val="auto"/>
                <w:kern w:val="2"/>
                <w:sz w:val="21"/>
                <w:szCs w:val="21"/>
                <w:highlight w:val="none"/>
                <w:lang w:val="en-US" w:eastAsia="zh-CN" w:bidi="ar-SA"/>
              </w:rPr>
            </w:pPr>
            <w:r>
              <w:rPr>
                <w:rFonts w:hint="eastAsia"/>
                <w:sz w:val="21"/>
                <w:szCs w:val="21"/>
                <w:highlight w:val="none"/>
              </w:rPr>
              <w:t>双波长紫外吸收法</w:t>
            </w:r>
            <w:r>
              <w:rPr>
                <w:rFonts w:hint="eastAsia"/>
                <w:color w:val="000000"/>
                <w:kern w:val="0"/>
                <w:sz w:val="21"/>
                <w:szCs w:val="21"/>
                <w:highlight w:val="none"/>
                <w:lang w:bidi="ar"/>
              </w:rPr>
              <w:t>/</w:t>
            </w:r>
            <w:r>
              <w:rPr>
                <w:rFonts w:hint="eastAsia"/>
                <w:sz w:val="21"/>
                <w:szCs w:val="21"/>
                <w:highlight w:val="none"/>
              </w:rPr>
              <w:t>重铬酸盐法</w:t>
            </w:r>
            <w:r>
              <w:rPr>
                <w:rFonts w:hint="eastAsia"/>
                <w:sz w:val="21"/>
                <w:szCs w:val="21"/>
                <w:highlight w:val="none"/>
                <w:lang w:val="en-US" w:eastAsia="zh-CN"/>
              </w:rPr>
              <w:t>/</w:t>
            </w:r>
            <w:r>
              <w:rPr>
                <w:rFonts w:hint="eastAsia"/>
                <w:color w:val="000000"/>
                <w:kern w:val="0"/>
                <w:sz w:val="21"/>
                <w:szCs w:val="21"/>
                <w:highlight w:val="none"/>
                <w:lang w:bidi="ar"/>
              </w:rPr>
              <w:t>全光谱法</w:t>
            </w:r>
          </w:p>
        </w:tc>
      </w:tr>
      <w:tr w14:paraId="76F0DED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78" w:type="pct"/>
            <w:vAlign w:val="center"/>
          </w:tcPr>
          <w:p w14:paraId="52C9E319">
            <w:pPr>
              <w:keepNext w:val="0"/>
              <w:keepLines w:val="0"/>
              <w:pageBreakBefore w:val="0"/>
              <w:widowControl/>
              <w:suppressLineNumbers w:val="0"/>
              <w:kinsoku/>
              <w:wordWrap/>
              <w:overflowPunct/>
              <w:topLinePunct w:val="0"/>
              <w:autoSpaceDE w:val="0"/>
              <w:autoSpaceDN/>
              <w:bidi w:val="0"/>
              <w:adjustRightInd/>
              <w:snapToGrid/>
              <w:spacing w:before="0" w:beforeAutospacing="1" w:after="0" w:afterAutospacing="1" w:line="240" w:lineRule="auto"/>
              <w:ind w:left="0" w:leftChars="0" w:right="0" w:rightChars="0" w:firstLine="0" w:firstLineChars="0"/>
              <w:jc w:val="center"/>
              <w:textAlignment w:val="auto"/>
              <w:rPr>
                <w:rFonts w:hint="default"/>
                <w:color w:val="auto"/>
                <w:sz w:val="21"/>
                <w:szCs w:val="21"/>
                <w:highlight w:val="none"/>
                <w:lang w:val="en-US" w:eastAsia="zh-CN"/>
              </w:rPr>
            </w:pPr>
            <w:r>
              <w:rPr>
                <w:rFonts w:hint="eastAsia" w:ascii="宋体" w:hAnsi="宋体" w:eastAsia="宋体" w:cs="宋体"/>
                <w:color w:val="auto"/>
                <w:kern w:val="2"/>
                <w:sz w:val="21"/>
                <w:szCs w:val="21"/>
                <w:highlight w:val="none"/>
                <w:lang w:val="en-US" w:eastAsia="zh-CN" w:bidi="ar"/>
              </w:rPr>
              <w:t>氨氮</w:t>
            </w:r>
          </w:p>
        </w:tc>
        <w:tc>
          <w:tcPr>
            <w:tcW w:w="1761" w:type="pct"/>
            <w:shd w:val="clear" w:color="auto" w:fill="auto"/>
            <w:vAlign w:val="center"/>
          </w:tcPr>
          <w:p w14:paraId="1867FEA8">
            <w:pPr>
              <w:keepNext w:val="0"/>
              <w:keepLines w:val="0"/>
              <w:pageBreakBefore w:val="0"/>
              <w:widowControl/>
              <w:suppressLineNumbers w:val="0"/>
              <w:kinsoku/>
              <w:wordWrap/>
              <w:overflowPunct/>
              <w:topLinePunct w:val="0"/>
              <w:autoSpaceDE w:val="0"/>
              <w:autoSpaceDN/>
              <w:bidi w:val="0"/>
              <w:adjustRightInd/>
              <w:snapToGrid/>
              <w:spacing w:before="0" w:beforeAutospacing="1" w:after="0" w:afterAutospacing="1" w:line="240" w:lineRule="auto"/>
              <w:ind w:left="0" w:leftChars="0" w:right="0" w:rightChars="0" w:firstLine="0" w:firstLineChars="0"/>
              <w:jc w:val="center"/>
              <w:textAlignment w:val="auto"/>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
              </w:rPr>
              <w:t>在线氨氮传感器/在线氨氮分析仪/</w:t>
            </w:r>
            <w:r>
              <w:rPr>
                <w:rFonts w:hint="eastAsia"/>
                <w:color w:val="000000"/>
                <w:kern w:val="0"/>
                <w:sz w:val="21"/>
                <w:szCs w:val="21"/>
                <w:highlight w:val="none"/>
                <w:lang w:bidi="ar"/>
              </w:rPr>
              <w:t>在线全光谱多参数传感器</w:t>
            </w:r>
          </w:p>
        </w:tc>
        <w:tc>
          <w:tcPr>
            <w:tcW w:w="1659" w:type="pct"/>
            <w:vAlign w:val="center"/>
          </w:tcPr>
          <w:p w14:paraId="50C3C983">
            <w:pPr>
              <w:keepNext w:val="0"/>
              <w:keepLines w:val="0"/>
              <w:pageBreakBefore w:val="0"/>
              <w:widowControl/>
              <w:suppressLineNumbers w:val="0"/>
              <w:kinsoku/>
              <w:wordWrap/>
              <w:overflowPunct/>
              <w:topLinePunct w:val="0"/>
              <w:autoSpaceDE w:val="0"/>
              <w:autoSpaceDN/>
              <w:bidi w:val="0"/>
              <w:adjustRightInd/>
              <w:snapToGrid/>
              <w:spacing w:before="0" w:beforeAutospacing="1" w:after="0" w:afterAutospacing="1" w:line="240" w:lineRule="auto"/>
              <w:ind w:left="0" w:leftChars="0" w:right="0" w:rightChars="0" w:firstLine="0" w:firstLineChars="0"/>
              <w:jc w:val="center"/>
              <w:textAlignment w:val="auto"/>
              <w:rPr>
                <w:rFonts w:hint="eastAsia" w:cstheme="minorBidi"/>
                <w:color w:val="auto"/>
                <w:sz w:val="21"/>
                <w:szCs w:val="21"/>
                <w:highlight w:val="none"/>
                <w:lang w:val="en-US" w:eastAsia="zh-CN"/>
              </w:rPr>
            </w:pPr>
            <w:r>
              <w:rPr>
                <w:rFonts w:hint="eastAsia" w:ascii="宋体" w:hAnsi="宋体" w:eastAsia="宋体" w:cs="宋体"/>
                <w:color w:val="auto"/>
                <w:kern w:val="2"/>
                <w:sz w:val="21"/>
                <w:szCs w:val="21"/>
                <w:highlight w:val="none"/>
                <w:lang w:val="en-US" w:eastAsia="zh-CN" w:bidi="ar"/>
              </w:rPr>
              <w:t>离子选择电极/纳氏试剂法/水杨酸法/全光谱</w:t>
            </w:r>
          </w:p>
        </w:tc>
      </w:tr>
      <w:tr w14:paraId="1F551F0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78" w:type="pct"/>
            <w:vAlign w:val="center"/>
          </w:tcPr>
          <w:p w14:paraId="734345D2">
            <w:pPr>
              <w:spacing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总磷</w:t>
            </w:r>
          </w:p>
        </w:tc>
        <w:tc>
          <w:tcPr>
            <w:tcW w:w="1761" w:type="pct"/>
            <w:vAlign w:val="center"/>
          </w:tcPr>
          <w:p w14:paraId="36F15233">
            <w:pPr>
              <w:spacing w:line="240" w:lineRule="auto"/>
              <w:ind w:firstLine="0" w:firstLineChars="0"/>
              <w:jc w:val="center"/>
              <w:rPr>
                <w:rFonts w:hint="eastAsia"/>
                <w:color w:val="auto"/>
                <w:sz w:val="21"/>
                <w:szCs w:val="21"/>
                <w:highlight w:val="none"/>
              </w:rPr>
            </w:pPr>
            <w:r>
              <w:rPr>
                <w:rFonts w:hint="eastAsia"/>
                <w:color w:val="auto"/>
                <w:sz w:val="21"/>
                <w:szCs w:val="21"/>
                <w:highlight w:val="none"/>
                <w:lang w:val="en-US" w:eastAsia="zh-CN"/>
              </w:rPr>
              <w:t>在线总磷分析仪/</w:t>
            </w:r>
            <w:r>
              <w:rPr>
                <w:rFonts w:hint="eastAsia"/>
                <w:color w:val="000000"/>
                <w:kern w:val="0"/>
                <w:sz w:val="21"/>
                <w:szCs w:val="21"/>
                <w:highlight w:val="none"/>
                <w:lang w:bidi="ar"/>
              </w:rPr>
              <w:t>在线全光谱多参数传感器</w:t>
            </w:r>
          </w:p>
        </w:tc>
        <w:tc>
          <w:tcPr>
            <w:tcW w:w="1659" w:type="pct"/>
            <w:vAlign w:val="center"/>
          </w:tcPr>
          <w:p w14:paraId="122BA317">
            <w:pPr>
              <w:spacing w:line="240" w:lineRule="auto"/>
              <w:ind w:firstLine="0" w:firstLineChars="0"/>
              <w:jc w:val="center"/>
              <w:rPr>
                <w:rFonts w:hint="eastAsia" w:cstheme="minorBidi"/>
                <w:color w:val="auto"/>
                <w:sz w:val="21"/>
                <w:szCs w:val="21"/>
                <w:highlight w:val="none"/>
              </w:rPr>
            </w:pPr>
            <w:r>
              <w:rPr>
                <w:rFonts w:hint="eastAsia" w:cstheme="minorBidi"/>
                <w:color w:val="auto"/>
                <w:sz w:val="21"/>
                <w:szCs w:val="21"/>
                <w:highlight w:val="none"/>
              </w:rPr>
              <w:t>钼酸铵分光光度法</w:t>
            </w:r>
            <w:r>
              <w:rPr>
                <w:rFonts w:hint="eastAsia" w:cstheme="minorBidi"/>
                <w:color w:val="auto"/>
                <w:sz w:val="21"/>
                <w:szCs w:val="21"/>
                <w:highlight w:val="none"/>
                <w:lang w:val="en-US" w:eastAsia="zh-CN"/>
              </w:rPr>
              <w:t>/全光谱</w:t>
            </w:r>
          </w:p>
        </w:tc>
      </w:tr>
      <w:tr w14:paraId="70FA89C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78" w:type="pct"/>
            <w:vAlign w:val="center"/>
          </w:tcPr>
          <w:p w14:paraId="3730C42C">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总氮</w:t>
            </w:r>
          </w:p>
        </w:tc>
        <w:tc>
          <w:tcPr>
            <w:tcW w:w="1761" w:type="pct"/>
            <w:vAlign w:val="center"/>
          </w:tcPr>
          <w:p w14:paraId="07BB5285">
            <w:pPr>
              <w:spacing w:line="240" w:lineRule="auto"/>
              <w:ind w:firstLine="0" w:firstLineChars="0"/>
              <w:jc w:val="center"/>
              <w:rPr>
                <w:rFonts w:hint="eastAsia"/>
                <w:color w:val="auto"/>
                <w:sz w:val="21"/>
                <w:szCs w:val="21"/>
                <w:highlight w:val="none"/>
              </w:rPr>
            </w:pPr>
            <w:r>
              <w:rPr>
                <w:rFonts w:hint="eastAsia"/>
                <w:color w:val="auto"/>
                <w:sz w:val="21"/>
                <w:szCs w:val="21"/>
                <w:highlight w:val="none"/>
                <w:lang w:val="en-US" w:eastAsia="zh-CN"/>
              </w:rPr>
              <w:t>在线总氮分析仪/</w:t>
            </w:r>
            <w:r>
              <w:rPr>
                <w:rFonts w:hint="eastAsia"/>
                <w:color w:val="000000"/>
                <w:kern w:val="0"/>
                <w:sz w:val="21"/>
                <w:szCs w:val="21"/>
                <w:highlight w:val="none"/>
                <w:lang w:bidi="ar"/>
              </w:rPr>
              <w:t>在线全光谱多参数传感器</w:t>
            </w:r>
          </w:p>
        </w:tc>
        <w:tc>
          <w:tcPr>
            <w:tcW w:w="1659" w:type="pct"/>
            <w:vAlign w:val="center"/>
          </w:tcPr>
          <w:p w14:paraId="00DC5160">
            <w:pPr>
              <w:spacing w:line="240" w:lineRule="auto"/>
              <w:ind w:firstLine="0" w:firstLineChars="0"/>
              <w:jc w:val="center"/>
              <w:rPr>
                <w:rFonts w:hint="eastAsia" w:cstheme="minorBidi"/>
                <w:color w:val="auto"/>
                <w:sz w:val="21"/>
                <w:szCs w:val="21"/>
                <w:highlight w:val="none"/>
              </w:rPr>
            </w:pPr>
            <w:r>
              <w:rPr>
                <w:rFonts w:hint="eastAsia" w:cstheme="minorBidi"/>
                <w:color w:val="auto"/>
                <w:sz w:val="21"/>
                <w:szCs w:val="21"/>
                <w:highlight w:val="none"/>
              </w:rPr>
              <w:t>紫外分光光度法</w:t>
            </w:r>
            <w:r>
              <w:rPr>
                <w:rFonts w:hint="eastAsia" w:cstheme="minorBidi"/>
                <w:color w:val="auto"/>
                <w:sz w:val="21"/>
                <w:szCs w:val="21"/>
                <w:highlight w:val="none"/>
                <w:lang w:val="en-US" w:eastAsia="zh-CN"/>
              </w:rPr>
              <w:t>/全光谱</w:t>
            </w:r>
          </w:p>
        </w:tc>
      </w:tr>
      <w:tr w14:paraId="2C195D2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1578" w:type="pct"/>
            <w:vAlign w:val="center"/>
          </w:tcPr>
          <w:p w14:paraId="7EF046C7">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叶绿素</w:t>
            </w:r>
          </w:p>
        </w:tc>
        <w:tc>
          <w:tcPr>
            <w:tcW w:w="1761" w:type="pct"/>
            <w:vAlign w:val="center"/>
          </w:tcPr>
          <w:p w14:paraId="12B47CF4">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在线叶绿素传感器</w:t>
            </w:r>
          </w:p>
        </w:tc>
        <w:tc>
          <w:tcPr>
            <w:tcW w:w="1659" w:type="pct"/>
            <w:vAlign w:val="center"/>
          </w:tcPr>
          <w:p w14:paraId="14D7AF76">
            <w:pPr>
              <w:spacing w:line="240" w:lineRule="auto"/>
              <w:ind w:firstLine="0" w:firstLineChars="0"/>
              <w:jc w:val="center"/>
              <w:rPr>
                <w:rFonts w:hint="eastAsia" w:cstheme="minorBidi"/>
                <w:color w:val="auto"/>
                <w:sz w:val="21"/>
                <w:szCs w:val="21"/>
                <w:highlight w:val="none"/>
                <w:lang w:val="en-US" w:eastAsia="zh-CN"/>
              </w:rPr>
            </w:pPr>
            <w:r>
              <w:rPr>
                <w:rFonts w:hint="eastAsia" w:cstheme="minorBidi"/>
                <w:color w:val="auto"/>
                <w:sz w:val="21"/>
                <w:szCs w:val="21"/>
                <w:highlight w:val="none"/>
                <w:lang w:val="en-US" w:eastAsia="zh-CN"/>
              </w:rPr>
              <w:t>荧光法</w:t>
            </w:r>
          </w:p>
        </w:tc>
      </w:tr>
      <w:tr w14:paraId="7BEE351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78" w:type="pct"/>
            <w:vAlign w:val="center"/>
          </w:tcPr>
          <w:p w14:paraId="5A2B51FB">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蓝绿藻</w:t>
            </w:r>
          </w:p>
        </w:tc>
        <w:tc>
          <w:tcPr>
            <w:tcW w:w="1761" w:type="pct"/>
            <w:vAlign w:val="center"/>
          </w:tcPr>
          <w:p w14:paraId="77A576F9">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在线蓝绿藻传感器</w:t>
            </w:r>
          </w:p>
        </w:tc>
        <w:tc>
          <w:tcPr>
            <w:tcW w:w="1659" w:type="pct"/>
            <w:vAlign w:val="center"/>
          </w:tcPr>
          <w:p w14:paraId="620EFA79">
            <w:pPr>
              <w:spacing w:line="240" w:lineRule="auto"/>
              <w:ind w:firstLine="0" w:firstLineChars="0"/>
              <w:jc w:val="center"/>
              <w:rPr>
                <w:rFonts w:hint="eastAsia" w:cstheme="minorBidi"/>
                <w:color w:val="auto"/>
                <w:sz w:val="21"/>
                <w:szCs w:val="21"/>
                <w:highlight w:val="none"/>
                <w:lang w:val="en-US" w:eastAsia="zh-CN"/>
              </w:rPr>
            </w:pPr>
            <w:r>
              <w:rPr>
                <w:rFonts w:hint="eastAsia" w:cstheme="minorBidi"/>
                <w:color w:val="auto"/>
                <w:sz w:val="21"/>
                <w:szCs w:val="21"/>
                <w:highlight w:val="none"/>
                <w:lang w:val="en-US" w:eastAsia="zh-CN"/>
              </w:rPr>
              <w:t>荧光法</w:t>
            </w:r>
          </w:p>
        </w:tc>
      </w:tr>
      <w:tr w14:paraId="59A5AFB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78" w:type="pct"/>
            <w:vAlign w:val="center"/>
          </w:tcPr>
          <w:p w14:paraId="50FE6567">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流量</w:t>
            </w:r>
          </w:p>
        </w:tc>
        <w:tc>
          <w:tcPr>
            <w:tcW w:w="1761" w:type="pct"/>
            <w:vAlign w:val="center"/>
          </w:tcPr>
          <w:p w14:paraId="561144E3">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雷达流量计</w:t>
            </w:r>
          </w:p>
        </w:tc>
        <w:tc>
          <w:tcPr>
            <w:tcW w:w="1659" w:type="pct"/>
            <w:vAlign w:val="center"/>
          </w:tcPr>
          <w:p w14:paraId="0347698F">
            <w:pPr>
              <w:spacing w:line="240" w:lineRule="auto"/>
              <w:ind w:firstLine="0" w:firstLineChars="0"/>
              <w:jc w:val="center"/>
              <w:rPr>
                <w:rFonts w:hint="default" w:eastAsia="宋体" w:cstheme="minorBidi"/>
                <w:color w:val="auto"/>
                <w:sz w:val="21"/>
                <w:szCs w:val="21"/>
                <w:highlight w:val="none"/>
                <w:lang w:val="en-US" w:eastAsia="zh-CN"/>
              </w:rPr>
            </w:pPr>
            <w:r>
              <w:rPr>
                <w:rFonts w:hint="eastAsia" w:cstheme="minorBidi"/>
                <w:color w:val="auto"/>
                <w:sz w:val="21"/>
                <w:szCs w:val="21"/>
                <w:highlight w:val="none"/>
                <w:lang w:val="en-US" w:eastAsia="zh-CN"/>
              </w:rPr>
              <w:t>雷达</w:t>
            </w:r>
          </w:p>
        </w:tc>
      </w:tr>
      <w:tr w14:paraId="166477E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78" w:type="pct"/>
            <w:vAlign w:val="center"/>
          </w:tcPr>
          <w:p w14:paraId="7EDAD936">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液位</w:t>
            </w:r>
          </w:p>
        </w:tc>
        <w:tc>
          <w:tcPr>
            <w:tcW w:w="1761" w:type="pct"/>
            <w:vAlign w:val="center"/>
          </w:tcPr>
          <w:p w14:paraId="22247251">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雷达液位计</w:t>
            </w:r>
          </w:p>
        </w:tc>
        <w:tc>
          <w:tcPr>
            <w:tcW w:w="1659" w:type="pct"/>
            <w:vAlign w:val="center"/>
          </w:tcPr>
          <w:p w14:paraId="47AF738C">
            <w:pPr>
              <w:spacing w:line="240" w:lineRule="auto"/>
              <w:ind w:firstLine="0" w:firstLineChars="0"/>
              <w:jc w:val="center"/>
              <w:rPr>
                <w:rFonts w:hint="eastAsia" w:eastAsia="宋体" w:cstheme="minorBidi"/>
                <w:color w:val="auto"/>
                <w:sz w:val="21"/>
                <w:szCs w:val="21"/>
                <w:highlight w:val="none"/>
                <w:lang w:val="en-US" w:eastAsia="zh-CN"/>
              </w:rPr>
            </w:pPr>
            <w:r>
              <w:rPr>
                <w:rFonts w:hint="eastAsia" w:cstheme="minorBidi"/>
                <w:color w:val="auto"/>
                <w:sz w:val="21"/>
                <w:szCs w:val="21"/>
                <w:highlight w:val="none"/>
                <w:lang w:val="en-US" w:eastAsia="zh-CN"/>
              </w:rPr>
              <w:t>雷达</w:t>
            </w:r>
          </w:p>
        </w:tc>
      </w:tr>
      <w:tr w14:paraId="7F0523B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3"/>
            <w:vAlign w:val="center"/>
          </w:tcPr>
          <w:p w14:paraId="2181EC44">
            <w:pPr>
              <w:spacing w:line="240" w:lineRule="auto"/>
              <w:ind w:firstLine="0" w:firstLineChars="0"/>
              <w:jc w:val="center"/>
              <w:rPr>
                <w:rFonts w:hint="eastAsia" w:cstheme="minorBidi"/>
                <w:color w:val="auto"/>
                <w:sz w:val="21"/>
                <w:szCs w:val="21"/>
                <w:highlight w:val="none"/>
                <w:lang w:val="en-US" w:eastAsia="zh-CN"/>
              </w:rPr>
            </w:pPr>
            <w:r>
              <w:rPr>
                <w:rFonts w:hint="eastAsia"/>
                <w:b/>
                <w:bCs/>
                <w:color w:val="auto"/>
                <w:sz w:val="21"/>
                <w:szCs w:val="21"/>
                <w:highlight w:val="none"/>
                <w:vertAlign w:val="baseline"/>
                <w:lang w:val="en-US" w:eastAsia="zh-CN"/>
              </w:rPr>
              <w:t>便携式监测设备</w:t>
            </w:r>
          </w:p>
        </w:tc>
      </w:tr>
      <w:tr w14:paraId="0BB0B7E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1578" w:type="pct"/>
            <w:vAlign w:val="center"/>
          </w:tcPr>
          <w:p w14:paraId="40992BCC">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COD</w:t>
            </w:r>
          </w:p>
        </w:tc>
        <w:tc>
          <w:tcPr>
            <w:tcW w:w="1761" w:type="pct"/>
            <w:vMerge w:val="restart"/>
            <w:vAlign w:val="center"/>
          </w:tcPr>
          <w:p w14:paraId="68CA2563">
            <w:pPr>
              <w:spacing w:line="240" w:lineRule="auto"/>
              <w:ind w:firstLine="0" w:firstLineChars="0"/>
              <w:jc w:val="center"/>
              <w:rPr>
                <w:rFonts w:hint="eastAsia"/>
                <w:color w:val="auto"/>
                <w:sz w:val="21"/>
                <w:szCs w:val="21"/>
                <w:highlight w:val="none"/>
                <w:lang w:val="en-US" w:eastAsia="zh-CN"/>
              </w:rPr>
            </w:pPr>
            <w:r>
              <w:rPr>
                <w:rFonts w:hint="eastAsia"/>
                <w:color w:val="000000"/>
                <w:kern w:val="0"/>
                <w:sz w:val="21"/>
                <w:szCs w:val="21"/>
                <w:highlight w:val="none"/>
                <w:lang w:bidi="ar"/>
              </w:rPr>
              <w:t>便携式多参数分析仪</w:t>
            </w:r>
          </w:p>
        </w:tc>
        <w:tc>
          <w:tcPr>
            <w:tcW w:w="1659" w:type="pct"/>
            <w:vMerge w:val="restart"/>
            <w:vAlign w:val="center"/>
          </w:tcPr>
          <w:p w14:paraId="4FBCC315">
            <w:pPr>
              <w:spacing w:line="240" w:lineRule="auto"/>
              <w:ind w:firstLine="0" w:firstLineChars="0"/>
              <w:jc w:val="center"/>
              <w:rPr>
                <w:rFonts w:hint="eastAsia" w:cstheme="minorBidi"/>
                <w:color w:val="auto"/>
                <w:sz w:val="21"/>
                <w:szCs w:val="21"/>
                <w:highlight w:val="none"/>
                <w:lang w:val="en-US" w:eastAsia="zh-CN"/>
              </w:rPr>
            </w:pPr>
            <w:r>
              <w:rPr>
                <w:rFonts w:hint="eastAsia"/>
                <w:color w:val="000000"/>
                <w:kern w:val="0"/>
                <w:sz w:val="21"/>
                <w:szCs w:val="21"/>
                <w:highlight w:val="none"/>
                <w:lang w:bidi="ar"/>
              </w:rPr>
              <w:t>光电比色法</w:t>
            </w:r>
          </w:p>
        </w:tc>
      </w:tr>
      <w:tr w14:paraId="1A4FEC5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78" w:type="pct"/>
            <w:vAlign w:val="center"/>
          </w:tcPr>
          <w:p w14:paraId="3F2396AE">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氨氮</w:t>
            </w:r>
          </w:p>
        </w:tc>
        <w:tc>
          <w:tcPr>
            <w:tcW w:w="1761" w:type="pct"/>
            <w:vMerge w:val="continue"/>
            <w:vAlign w:val="center"/>
          </w:tcPr>
          <w:p w14:paraId="1CB2D90D">
            <w:pPr>
              <w:spacing w:line="240" w:lineRule="auto"/>
              <w:ind w:firstLine="0" w:firstLineChars="0"/>
              <w:jc w:val="center"/>
              <w:rPr>
                <w:rFonts w:hint="eastAsia"/>
                <w:color w:val="auto"/>
                <w:sz w:val="21"/>
                <w:szCs w:val="21"/>
                <w:highlight w:val="none"/>
                <w:lang w:val="en-US" w:eastAsia="zh-CN"/>
              </w:rPr>
            </w:pPr>
          </w:p>
        </w:tc>
        <w:tc>
          <w:tcPr>
            <w:tcW w:w="1659" w:type="pct"/>
            <w:vMerge w:val="continue"/>
            <w:vAlign w:val="center"/>
          </w:tcPr>
          <w:p w14:paraId="722318FC">
            <w:pPr>
              <w:spacing w:line="240" w:lineRule="auto"/>
              <w:ind w:firstLine="0" w:firstLineChars="0"/>
              <w:jc w:val="center"/>
              <w:rPr>
                <w:rFonts w:hint="eastAsia" w:cstheme="minorBidi"/>
                <w:color w:val="auto"/>
                <w:sz w:val="21"/>
                <w:szCs w:val="21"/>
                <w:highlight w:val="none"/>
                <w:lang w:val="en-US" w:eastAsia="zh-CN"/>
              </w:rPr>
            </w:pPr>
          </w:p>
        </w:tc>
      </w:tr>
      <w:tr w14:paraId="457D798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78" w:type="pct"/>
            <w:vAlign w:val="center"/>
          </w:tcPr>
          <w:p w14:paraId="59D2DD8E">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总磷</w:t>
            </w:r>
          </w:p>
        </w:tc>
        <w:tc>
          <w:tcPr>
            <w:tcW w:w="1761" w:type="pct"/>
            <w:vMerge w:val="continue"/>
            <w:vAlign w:val="center"/>
          </w:tcPr>
          <w:p w14:paraId="5B65F835">
            <w:pPr>
              <w:spacing w:line="240" w:lineRule="auto"/>
              <w:ind w:firstLine="0" w:firstLineChars="0"/>
              <w:jc w:val="center"/>
              <w:rPr>
                <w:rFonts w:hint="eastAsia"/>
                <w:color w:val="auto"/>
                <w:sz w:val="21"/>
                <w:szCs w:val="21"/>
                <w:highlight w:val="none"/>
                <w:lang w:val="en-US" w:eastAsia="zh-CN"/>
              </w:rPr>
            </w:pPr>
          </w:p>
        </w:tc>
        <w:tc>
          <w:tcPr>
            <w:tcW w:w="1659" w:type="pct"/>
            <w:vMerge w:val="continue"/>
            <w:vAlign w:val="center"/>
          </w:tcPr>
          <w:p w14:paraId="474BA243">
            <w:pPr>
              <w:spacing w:line="240" w:lineRule="auto"/>
              <w:ind w:firstLine="0" w:firstLineChars="0"/>
              <w:jc w:val="center"/>
              <w:rPr>
                <w:rFonts w:hint="eastAsia" w:cstheme="minorBidi"/>
                <w:color w:val="auto"/>
                <w:sz w:val="21"/>
                <w:szCs w:val="21"/>
                <w:highlight w:val="none"/>
                <w:lang w:val="en-US" w:eastAsia="zh-CN"/>
              </w:rPr>
            </w:pPr>
          </w:p>
        </w:tc>
      </w:tr>
      <w:tr w14:paraId="53F76A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78" w:type="pct"/>
            <w:vAlign w:val="center"/>
          </w:tcPr>
          <w:p w14:paraId="13A46B08">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总氮</w:t>
            </w:r>
          </w:p>
        </w:tc>
        <w:tc>
          <w:tcPr>
            <w:tcW w:w="1761" w:type="pct"/>
            <w:vMerge w:val="continue"/>
            <w:vAlign w:val="center"/>
          </w:tcPr>
          <w:p w14:paraId="171D8101">
            <w:pPr>
              <w:spacing w:line="240" w:lineRule="auto"/>
              <w:ind w:firstLine="0" w:firstLineChars="0"/>
              <w:jc w:val="center"/>
              <w:rPr>
                <w:rFonts w:hint="eastAsia"/>
                <w:color w:val="auto"/>
                <w:sz w:val="21"/>
                <w:szCs w:val="21"/>
                <w:highlight w:val="none"/>
                <w:lang w:val="en-US" w:eastAsia="zh-CN"/>
              </w:rPr>
            </w:pPr>
          </w:p>
        </w:tc>
        <w:tc>
          <w:tcPr>
            <w:tcW w:w="1659" w:type="pct"/>
            <w:vMerge w:val="continue"/>
            <w:vAlign w:val="center"/>
          </w:tcPr>
          <w:p w14:paraId="2C651059">
            <w:pPr>
              <w:spacing w:line="240" w:lineRule="auto"/>
              <w:ind w:firstLine="0" w:firstLineChars="0"/>
              <w:jc w:val="center"/>
              <w:rPr>
                <w:rFonts w:hint="eastAsia" w:cstheme="minorBidi"/>
                <w:color w:val="auto"/>
                <w:sz w:val="21"/>
                <w:szCs w:val="21"/>
                <w:highlight w:val="none"/>
                <w:lang w:val="en-US" w:eastAsia="zh-CN"/>
              </w:rPr>
            </w:pPr>
          </w:p>
        </w:tc>
      </w:tr>
    </w:tbl>
    <w:p w14:paraId="052EA2A3">
      <w:pPr>
        <w:widowControl w:val="0"/>
        <w:numPr>
          <w:ilvl w:val="0"/>
          <w:numId w:val="0"/>
        </w:numPr>
        <w:spacing w:line="360" w:lineRule="auto"/>
        <w:jc w:val="both"/>
        <w:rPr>
          <w:rFonts w:hint="eastAsia"/>
          <w:b/>
          <w:bCs/>
          <w:color w:val="auto"/>
          <w:highlight w:val="none"/>
          <w:lang w:val="en-US" w:eastAsia="zh-CN"/>
        </w:rPr>
      </w:pPr>
    </w:p>
    <w:p w14:paraId="7FAC930D">
      <w:pPr>
        <w:pStyle w:val="2"/>
        <w:bidi w:val="0"/>
        <w:rPr>
          <w:rFonts w:hint="eastAsia"/>
          <w:color w:val="auto"/>
          <w:highlight w:val="none"/>
          <w:lang w:val="en-US" w:eastAsia="zh-CN"/>
        </w:rPr>
      </w:pPr>
      <w:bookmarkStart w:id="12" w:name="_Toc15314"/>
      <w:r>
        <w:rPr>
          <w:rFonts w:hint="eastAsia"/>
          <w:color w:val="auto"/>
          <w:highlight w:val="none"/>
          <w:lang w:val="en-US" w:eastAsia="zh-CN"/>
        </w:rPr>
        <w:t>产品介绍</w:t>
      </w:r>
      <w:bookmarkEnd w:id="11"/>
      <w:bookmarkEnd w:id="12"/>
    </w:p>
    <w:p w14:paraId="5630B0FF">
      <w:pPr>
        <w:pStyle w:val="3"/>
        <w:bidi w:val="0"/>
        <w:rPr>
          <w:rFonts w:hint="eastAsia"/>
          <w:color w:val="auto"/>
          <w:highlight w:val="none"/>
          <w:lang w:val="en-US" w:eastAsia="zh-CN"/>
        </w:rPr>
      </w:pPr>
      <w:bookmarkStart w:id="13" w:name="_Toc14962"/>
      <w:r>
        <w:rPr>
          <w:rFonts w:hint="eastAsia"/>
          <w:color w:val="auto"/>
          <w:highlight w:val="none"/>
          <w:lang w:val="en-US" w:eastAsia="zh-CN"/>
        </w:rPr>
        <w:t>技术参数</w:t>
      </w:r>
      <w:bookmarkEnd w:id="13"/>
    </w:p>
    <w:tbl>
      <w:tblPr>
        <w:tblStyle w:val="19"/>
        <w:tblpPr w:leftFromText="180" w:rightFromText="180" w:vertAnchor="text" w:horzAnchor="page" w:tblpX="1768" w:tblpY="614"/>
        <w:tblOverlap w:val="never"/>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80"/>
        <w:gridCol w:w="4185"/>
        <w:gridCol w:w="2754"/>
      </w:tblGrid>
      <w:tr w14:paraId="4C4B2CC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927" w:type="pct"/>
            <w:vAlign w:val="center"/>
          </w:tcPr>
          <w:p w14:paraId="65DC507A">
            <w:pPr>
              <w:spacing w:line="240" w:lineRule="auto"/>
              <w:ind w:firstLine="0" w:firstLineChars="0"/>
              <w:jc w:val="center"/>
              <w:rPr>
                <w:rFonts w:hint="eastAsia"/>
                <w:b/>
                <w:bCs/>
                <w:sz w:val="21"/>
                <w:szCs w:val="21"/>
                <w:highlight w:val="none"/>
              </w:rPr>
            </w:pPr>
            <w:r>
              <w:rPr>
                <w:rFonts w:hint="eastAsia"/>
                <w:b/>
                <w:bCs/>
                <w:sz w:val="21"/>
                <w:szCs w:val="21"/>
                <w:highlight w:val="none"/>
              </w:rPr>
              <w:t>设备名称</w:t>
            </w:r>
          </w:p>
        </w:tc>
        <w:tc>
          <w:tcPr>
            <w:tcW w:w="2456" w:type="pct"/>
            <w:vAlign w:val="center"/>
          </w:tcPr>
          <w:p w14:paraId="7F7D5261">
            <w:pPr>
              <w:spacing w:line="240" w:lineRule="auto"/>
              <w:ind w:firstLine="0" w:firstLineChars="0"/>
              <w:jc w:val="center"/>
              <w:rPr>
                <w:rFonts w:hint="eastAsia"/>
                <w:b/>
                <w:bCs/>
                <w:sz w:val="21"/>
                <w:szCs w:val="21"/>
                <w:highlight w:val="none"/>
              </w:rPr>
            </w:pPr>
            <w:r>
              <w:rPr>
                <w:rFonts w:hint="eastAsia"/>
                <w:b/>
                <w:bCs/>
                <w:sz w:val="21"/>
                <w:szCs w:val="21"/>
                <w:highlight w:val="none"/>
              </w:rPr>
              <w:t>监测参数</w:t>
            </w:r>
          </w:p>
        </w:tc>
        <w:tc>
          <w:tcPr>
            <w:tcW w:w="1616" w:type="pct"/>
            <w:vAlign w:val="center"/>
          </w:tcPr>
          <w:p w14:paraId="489C29B0">
            <w:pPr>
              <w:spacing w:line="240" w:lineRule="auto"/>
              <w:ind w:firstLine="0" w:firstLineChars="0"/>
              <w:jc w:val="center"/>
              <w:rPr>
                <w:rFonts w:hint="eastAsia"/>
                <w:b/>
                <w:bCs/>
                <w:sz w:val="21"/>
                <w:szCs w:val="21"/>
                <w:highlight w:val="none"/>
              </w:rPr>
            </w:pPr>
            <w:r>
              <w:rPr>
                <w:rFonts w:hint="eastAsia"/>
                <w:b/>
                <w:bCs/>
                <w:sz w:val="21"/>
                <w:szCs w:val="21"/>
                <w:highlight w:val="none"/>
              </w:rPr>
              <w:t>图片示例</w:t>
            </w:r>
          </w:p>
        </w:tc>
      </w:tr>
      <w:tr w14:paraId="78E43C1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7" w:type="pct"/>
            <w:vMerge w:val="restart"/>
            <w:shd w:val="clear" w:color="auto" w:fill="auto"/>
            <w:vAlign w:val="center"/>
          </w:tcPr>
          <w:p w14:paraId="023DA9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color w:val="auto"/>
                <w:sz w:val="21"/>
                <w:szCs w:val="21"/>
                <w:highlight w:val="none"/>
                <w:vertAlign w:val="baseline"/>
                <w:lang w:val="en-US" w:eastAsia="zh-CN"/>
              </w:rPr>
              <w:t>岸边水质监测微站</w:t>
            </w:r>
          </w:p>
        </w:tc>
        <w:tc>
          <w:tcPr>
            <w:tcW w:w="2456" w:type="pct"/>
            <w:shd w:val="clear" w:color="auto" w:fill="auto"/>
            <w:vAlign w:val="center"/>
          </w:tcPr>
          <w:p w14:paraId="5D437FBC">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b/>
                <w:bCs/>
                <w:sz w:val="21"/>
                <w:szCs w:val="21"/>
                <w:highlight w:val="none"/>
                <w:lang w:val="en-US" w:eastAsia="zh-CN"/>
              </w:rPr>
            </w:pPr>
            <w:r>
              <w:rPr>
                <w:rFonts w:hint="eastAsia"/>
                <w:b/>
                <w:bCs/>
                <w:sz w:val="21"/>
                <w:szCs w:val="21"/>
                <w:highlight w:val="none"/>
                <w:lang w:val="en-US" w:eastAsia="zh-CN"/>
              </w:rPr>
              <w:t>传感器式水质监测微站</w:t>
            </w:r>
          </w:p>
          <w:p w14:paraId="29CD8430">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sz w:val="21"/>
                <w:szCs w:val="21"/>
                <w:highlight w:val="none"/>
                <w:lang w:val="en-US"/>
              </w:rPr>
            </w:pPr>
            <w:r>
              <w:rPr>
                <w:rFonts w:hint="eastAsia"/>
                <w:sz w:val="21"/>
                <w:szCs w:val="21"/>
                <w:highlight w:val="none"/>
                <w:lang w:val="en-US" w:eastAsia="zh-CN"/>
              </w:rPr>
              <w:t>在线传感器：PH、浊度、电导率、溶解氧、COD、氨氮、叶绿素、蓝绿藻</w:t>
            </w:r>
          </w:p>
        </w:tc>
        <w:tc>
          <w:tcPr>
            <w:tcW w:w="1616" w:type="pct"/>
            <w:shd w:val="clear" w:color="auto" w:fill="auto"/>
            <w:vAlign w:val="center"/>
          </w:tcPr>
          <w:p w14:paraId="0D4F88FC">
            <w:pPr>
              <w:spacing w:line="240" w:lineRule="auto"/>
              <w:ind w:firstLine="0" w:firstLineChars="0"/>
              <w:jc w:val="center"/>
              <w:rPr>
                <w:rFonts w:hint="eastAsia" w:ascii="Times New Roman" w:hAnsi="Times New Roman" w:eastAsia="宋体"/>
                <w:highlight w:val="none"/>
                <w:lang w:eastAsia="zh-CN"/>
              </w:rPr>
            </w:pPr>
            <w:r>
              <w:rPr>
                <w:highlight w:val="none"/>
              </w:rPr>
              <w:drawing>
                <wp:inline distT="0" distB="0" distL="114300" distR="114300">
                  <wp:extent cx="1426210" cy="1172845"/>
                  <wp:effectExtent l="0" t="0" r="6350" b="63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1"/>
                          <a:srcRect l="1549" t="2660" r="34188" b="11257"/>
                          <a:stretch>
                            <a:fillRect/>
                          </a:stretch>
                        </pic:blipFill>
                        <pic:spPr>
                          <a:xfrm>
                            <a:off x="0" y="0"/>
                            <a:ext cx="1426210" cy="1172845"/>
                          </a:xfrm>
                          <a:prstGeom prst="rect">
                            <a:avLst/>
                          </a:prstGeom>
                          <a:noFill/>
                          <a:ln>
                            <a:noFill/>
                          </a:ln>
                        </pic:spPr>
                      </pic:pic>
                    </a:graphicData>
                  </a:graphic>
                </wp:inline>
              </w:drawing>
            </w:r>
          </w:p>
        </w:tc>
      </w:tr>
      <w:tr w14:paraId="0F8FB0E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76" w:hRule="atLeast"/>
        </w:trPr>
        <w:tc>
          <w:tcPr>
            <w:tcW w:w="927" w:type="pct"/>
            <w:vMerge w:val="continue"/>
            <w:shd w:val="clear" w:color="auto" w:fill="auto"/>
            <w:vAlign w:val="center"/>
          </w:tcPr>
          <w:p w14:paraId="3C4678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vertAlign w:val="baseline"/>
                <w:lang w:val="en-US" w:eastAsia="zh-CN"/>
              </w:rPr>
            </w:pPr>
          </w:p>
        </w:tc>
        <w:tc>
          <w:tcPr>
            <w:tcW w:w="2456" w:type="pct"/>
            <w:shd w:val="clear" w:color="auto" w:fill="auto"/>
            <w:vAlign w:val="center"/>
          </w:tcPr>
          <w:p w14:paraId="2BA85BF9">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b/>
                <w:bCs/>
                <w:sz w:val="21"/>
                <w:szCs w:val="21"/>
                <w:highlight w:val="none"/>
                <w:lang w:val="en-US" w:eastAsia="zh-CN"/>
              </w:rPr>
            </w:pPr>
            <w:r>
              <w:rPr>
                <w:rFonts w:hint="eastAsia"/>
                <w:b/>
                <w:bCs/>
                <w:sz w:val="21"/>
                <w:szCs w:val="21"/>
                <w:highlight w:val="none"/>
                <w:lang w:val="en-US" w:eastAsia="zh-CN"/>
              </w:rPr>
              <w:t>传感器+分析仪式水质监测微站</w:t>
            </w:r>
          </w:p>
          <w:p w14:paraId="2C3B57E3">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sz w:val="21"/>
                <w:szCs w:val="21"/>
                <w:highlight w:val="none"/>
                <w:lang w:val="en-US" w:eastAsia="zh-CN"/>
              </w:rPr>
            </w:pPr>
            <w:r>
              <w:rPr>
                <w:rFonts w:hint="eastAsia"/>
                <w:sz w:val="21"/>
                <w:szCs w:val="21"/>
                <w:highlight w:val="none"/>
                <w:lang w:val="en-US" w:eastAsia="zh-CN"/>
              </w:rPr>
              <w:t>可搭载在线传感器及在线分析仪</w:t>
            </w:r>
          </w:p>
          <w:p w14:paraId="2754270A">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eastAsia="宋体"/>
                <w:sz w:val="21"/>
                <w:szCs w:val="21"/>
                <w:highlight w:val="none"/>
                <w:lang w:val="en-US" w:eastAsia="zh-CN"/>
              </w:rPr>
            </w:pPr>
            <w:r>
              <w:rPr>
                <w:rFonts w:hint="eastAsia"/>
                <w:sz w:val="21"/>
                <w:szCs w:val="21"/>
                <w:highlight w:val="none"/>
                <w:lang w:val="en-US" w:eastAsia="zh-CN"/>
              </w:rPr>
              <w:t>在线传感器：PH、浊度、电导率、溶解氧、叶绿素、蓝绿藻</w:t>
            </w:r>
          </w:p>
          <w:p w14:paraId="6177BEC2">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sz w:val="21"/>
                <w:szCs w:val="21"/>
                <w:highlight w:val="none"/>
                <w:lang w:val="en-US" w:eastAsia="zh-CN"/>
              </w:rPr>
            </w:pPr>
            <w:r>
              <w:rPr>
                <w:rFonts w:hint="eastAsia"/>
                <w:sz w:val="21"/>
                <w:szCs w:val="21"/>
                <w:highlight w:val="none"/>
                <w:lang w:val="en-US" w:eastAsia="zh-CN"/>
              </w:rPr>
              <w:t>在线COD分析仪：</w:t>
            </w:r>
          </w:p>
          <w:p w14:paraId="3FAEA11B">
            <w:pPr>
              <w:spacing w:line="240" w:lineRule="auto"/>
              <w:ind w:firstLine="0" w:firstLineChars="0"/>
              <w:rPr>
                <w:rFonts w:hint="eastAsia"/>
                <w:sz w:val="21"/>
                <w:szCs w:val="21"/>
                <w:highlight w:val="none"/>
              </w:rPr>
            </w:pPr>
            <w:r>
              <w:rPr>
                <w:sz w:val="21"/>
                <w:szCs w:val="21"/>
                <w:highlight w:val="none"/>
              </w:rPr>
              <w:t>原理</w:t>
            </w:r>
            <w:r>
              <w:rPr>
                <w:rFonts w:hint="eastAsia"/>
                <w:sz w:val="21"/>
                <w:szCs w:val="21"/>
                <w:highlight w:val="none"/>
              </w:rPr>
              <w:t>：重铬酸盐法</w:t>
            </w:r>
          </w:p>
          <w:p w14:paraId="2C7B02E6">
            <w:pPr>
              <w:spacing w:line="240" w:lineRule="auto"/>
              <w:ind w:firstLine="0" w:firstLineChars="0"/>
              <w:rPr>
                <w:rFonts w:hint="eastAsia"/>
                <w:sz w:val="21"/>
                <w:szCs w:val="21"/>
                <w:highlight w:val="none"/>
              </w:rPr>
            </w:pPr>
            <w:r>
              <w:rPr>
                <w:sz w:val="21"/>
                <w:szCs w:val="21"/>
                <w:highlight w:val="none"/>
              </w:rPr>
              <w:t>量程</w:t>
            </w:r>
            <w:r>
              <w:rPr>
                <w:rFonts w:hint="eastAsia"/>
                <w:sz w:val="21"/>
                <w:szCs w:val="21"/>
                <w:highlight w:val="none"/>
              </w:rPr>
              <w:t>：0.0～2000.00mg/L</w:t>
            </w:r>
          </w:p>
          <w:p w14:paraId="383ACB56">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sz w:val="21"/>
                <w:szCs w:val="21"/>
                <w:highlight w:val="none"/>
              </w:rPr>
            </w:pPr>
            <w:r>
              <w:rPr>
                <w:sz w:val="21"/>
                <w:szCs w:val="21"/>
                <w:highlight w:val="none"/>
              </w:rPr>
              <w:t>精度</w:t>
            </w:r>
            <w:r>
              <w:rPr>
                <w:rFonts w:hint="eastAsia"/>
                <w:sz w:val="21"/>
                <w:szCs w:val="21"/>
                <w:highlight w:val="none"/>
              </w:rPr>
              <w:t>： 水样浓度≥50mg/L，10%；水样浓度＜50mg/L，5mg/L</w:t>
            </w:r>
          </w:p>
          <w:p w14:paraId="1B9B4D6F">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sz w:val="21"/>
                <w:szCs w:val="21"/>
                <w:highlight w:val="none"/>
                <w:lang w:val="en-US" w:eastAsia="zh-CN"/>
              </w:rPr>
            </w:pPr>
            <w:r>
              <w:rPr>
                <w:rFonts w:hint="eastAsia"/>
                <w:sz w:val="21"/>
                <w:szCs w:val="21"/>
                <w:highlight w:val="none"/>
                <w:lang w:val="en-US" w:eastAsia="zh-CN"/>
              </w:rPr>
              <w:t>在线氨氮分析仪：</w:t>
            </w:r>
          </w:p>
          <w:p w14:paraId="300DB45D">
            <w:pPr>
              <w:spacing w:line="240" w:lineRule="auto"/>
              <w:ind w:firstLine="0" w:firstLineChars="0"/>
              <w:rPr>
                <w:rFonts w:hint="eastAsia"/>
                <w:sz w:val="21"/>
                <w:szCs w:val="21"/>
                <w:highlight w:val="none"/>
              </w:rPr>
            </w:pPr>
            <w:r>
              <w:rPr>
                <w:sz w:val="21"/>
                <w:szCs w:val="21"/>
                <w:highlight w:val="none"/>
              </w:rPr>
              <w:t>原理</w:t>
            </w:r>
            <w:r>
              <w:rPr>
                <w:rFonts w:hint="eastAsia"/>
                <w:sz w:val="21"/>
                <w:szCs w:val="21"/>
                <w:highlight w:val="none"/>
              </w:rPr>
              <w:t>：水杨酸分光光度法</w:t>
            </w:r>
          </w:p>
          <w:p w14:paraId="16A90A16">
            <w:pPr>
              <w:spacing w:line="240" w:lineRule="auto"/>
              <w:ind w:firstLine="0" w:firstLineChars="0"/>
              <w:rPr>
                <w:rFonts w:hint="eastAsia"/>
                <w:sz w:val="21"/>
                <w:szCs w:val="21"/>
                <w:highlight w:val="none"/>
              </w:rPr>
            </w:pPr>
            <w:r>
              <w:rPr>
                <w:sz w:val="21"/>
                <w:szCs w:val="21"/>
                <w:highlight w:val="none"/>
              </w:rPr>
              <w:t>量程</w:t>
            </w:r>
            <w:r>
              <w:rPr>
                <w:rFonts w:hint="eastAsia"/>
                <w:sz w:val="21"/>
                <w:szCs w:val="21"/>
                <w:highlight w:val="none"/>
              </w:rPr>
              <w:t>：0～150.00mg/L</w:t>
            </w:r>
          </w:p>
          <w:p w14:paraId="2DF3FE68">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sz w:val="21"/>
                <w:szCs w:val="21"/>
                <w:highlight w:val="none"/>
                <w:lang w:val="en-US" w:eastAsia="zh-CN"/>
              </w:rPr>
            </w:pPr>
            <w:r>
              <w:rPr>
                <w:sz w:val="21"/>
                <w:szCs w:val="21"/>
                <w:highlight w:val="none"/>
              </w:rPr>
              <w:t>精度</w:t>
            </w:r>
            <w:r>
              <w:rPr>
                <w:rFonts w:hint="eastAsia"/>
                <w:sz w:val="21"/>
                <w:szCs w:val="21"/>
                <w:highlight w:val="none"/>
              </w:rPr>
              <w:t>： 浓度＜2mg/L，±0.2mg/L；浓度≥2mg/L，≤10%</w:t>
            </w:r>
          </w:p>
          <w:p w14:paraId="1A871D37">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sz w:val="21"/>
                <w:szCs w:val="21"/>
                <w:highlight w:val="none"/>
                <w:lang w:val="en-US" w:eastAsia="zh-CN"/>
              </w:rPr>
            </w:pPr>
            <w:r>
              <w:rPr>
                <w:rFonts w:hint="eastAsia"/>
                <w:sz w:val="21"/>
                <w:szCs w:val="21"/>
                <w:highlight w:val="none"/>
                <w:lang w:val="en-US" w:eastAsia="zh-CN"/>
              </w:rPr>
              <w:t>在线总磷分析仪：</w:t>
            </w:r>
          </w:p>
          <w:p w14:paraId="370885E4">
            <w:pPr>
              <w:spacing w:line="240" w:lineRule="auto"/>
              <w:ind w:firstLine="0" w:firstLineChars="0"/>
              <w:rPr>
                <w:rFonts w:hint="eastAsia"/>
                <w:sz w:val="21"/>
                <w:szCs w:val="21"/>
                <w:highlight w:val="none"/>
              </w:rPr>
            </w:pPr>
            <w:r>
              <w:rPr>
                <w:sz w:val="21"/>
                <w:szCs w:val="21"/>
                <w:highlight w:val="none"/>
              </w:rPr>
              <w:t>原理</w:t>
            </w:r>
            <w:r>
              <w:rPr>
                <w:rFonts w:hint="eastAsia"/>
                <w:sz w:val="21"/>
                <w:szCs w:val="21"/>
                <w:highlight w:val="none"/>
              </w:rPr>
              <w:t>：钼酸铵分光光度法</w:t>
            </w:r>
          </w:p>
          <w:p w14:paraId="471800BE">
            <w:pPr>
              <w:spacing w:line="240" w:lineRule="auto"/>
              <w:ind w:firstLine="0" w:firstLineChars="0"/>
              <w:rPr>
                <w:rFonts w:hint="eastAsia"/>
                <w:sz w:val="21"/>
                <w:szCs w:val="21"/>
                <w:highlight w:val="none"/>
              </w:rPr>
            </w:pPr>
            <w:r>
              <w:rPr>
                <w:sz w:val="21"/>
                <w:szCs w:val="21"/>
                <w:highlight w:val="none"/>
              </w:rPr>
              <w:t>量程</w:t>
            </w:r>
            <w:r>
              <w:rPr>
                <w:rFonts w:hint="eastAsia"/>
                <w:sz w:val="21"/>
                <w:szCs w:val="21"/>
                <w:highlight w:val="none"/>
              </w:rPr>
              <w:t>：.0～10.0/20.0mg/L</w:t>
            </w:r>
          </w:p>
          <w:p w14:paraId="230630F3">
            <w:pPr>
              <w:spacing w:line="240" w:lineRule="auto"/>
              <w:ind w:firstLine="0" w:firstLineChars="0"/>
              <w:jc w:val="left"/>
              <w:rPr>
                <w:rFonts w:hint="eastAsia"/>
                <w:sz w:val="21"/>
                <w:szCs w:val="21"/>
                <w:highlight w:val="none"/>
              </w:rPr>
            </w:pPr>
            <w:r>
              <w:rPr>
                <w:sz w:val="21"/>
                <w:szCs w:val="21"/>
                <w:highlight w:val="none"/>
              </w:rPr>
              <w:t>精度</w:t>
            </w:r>
            <w:r>
              <w:rPr>
                <w:rFonts w:hint="eastAsia"/>
                <w:sz w:val="21"/>
                <w:szCs w:val="21"/>
                <w:highlight w:val="none"/>
              </w:rPr>
              <w:t>：±10%</w:t>
            </w:r>
          </w:p>
          <w:p w14:paraId="689F640C">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sz w:val="21"/>
                <w:szCs w:val="21"/>
                <w:highlight w:val="none"/>
                <w:lang w:val="en-US" w:eastAsia="zh-CN"/>
              </w:rPr>
            </w:pPr>
            <w:r>
              <w:rPr>
                <w:rFonts w:hint="eastAsia"/>
                <w:sz w:val="21"/>
                <w:szCs w:val="21"/>
                <w:highlight w:val="none"/>
                <w:lang w:val="en-US" w:eastAsia="zh-CN"/>
              </w:rPr>
              <w:t>在线总氮分析仪：</w:t>
            </w:r>
          </w:p>
          <w:p w14:paraId="3D02CF1F">
            <w:pPr>
              <w:spacing w:line="240" w:lineRule="auto"/>
              <w:ind w:firstLine="0" w:firstLineChars="0"/>
              <w:rPr>
                <w:rFonts w:hint="eastAsia"/>
                <w:sz w:val="21"/>
                <w:szCs w:val="21"/>
                <w:highlight w:val="none"/>
              </w:rPr>
            </w:pPr>
            <w:r>
              <w:rPr>
                <w:sz w:val="21"/>
                <w:szCs w:val="21"/>
                <w:highlight w:val="none"/>
              </w:rPr>
              <w:t>原理</w:t>
            </w:r>
            <w:r>
              <w:rPr>
                <w:rFonts w:hint="eastAsia"/>
                <w:sz w:val="21"/>
                <w:szCs w:val="21"/>
                <w:highlight w:val="none"/>
              </w:rPr>
              <w:t>：过硫酸钾消解-紫外分光光度法</w:t>
            </w:r>
          </w:p>
          <w:p w14:paraId="532E5BF5">
            <w:pPr>
              <w:spacing w:line="240" w:lineRule="auto"/>
              <w:ind w:firstLine="0" w:firstLineChars="0"/>
              <w:rPr>
                <w:rFonts w:hint="eastAsia"/>
                <w:sz w:val="21"/>
                <w:szCs w:val="21"/>
                <w:highlight w:val="none"/>
              </w:rPr>
            </w:pPr>
            <w:r>
              <w:rPr>
                <w:sz w:val="21"/>
                <w:szCs w:val="21"/>
                <w:highlight w:val="none"/>
              </w:rPr>
              <w:t>量程</w:t>
            </w:r>
            <w:r>
              <w:rPr>
                <w:rFonts w:hint="eastAsia"/>
                <w:sz w:val="21"/>
                <w:szCs w:val="21"/>
                <w:highlight w:val="none"/>
              </w:rPr>
              <w:t>：0.0～50.0/200.0mg/L</w:t>
            </w:r>
          </w:p>
          <w:p w14:paraId="3B0D54BE">
            <w:pPr>
              <w:spacing w:line="240" w:lineRule="auto"/>
              <w:ind w:firstLine="0" w:firstLineChars="0"/>
              <w:jc w:val="left"/>
              <w:rPr>
                <w:rFonts w:hint="eastAsia"/>
                <w:color w:val="auto"/>
                <w:sz w:val="21"/>
                <w:szCs w:val="21"/>
                <w:highlight w:val="none"/>
                <w:vertAlign w:val="baseline"/>
                <w:lang w:val="en-US" w:eastAsia="zh-CN"/>
              </w:rPr>
            </w:pPr>
            <w:r>
              <w:rPr>
                <w:sz w:val="21"/>
                <w:szCs w:val="21"/>
                <w:highlight w:val="none"/>
              </w:rPr>
              <w:t>精度</w:t>
            </w:r>
            <w:r>
              <w:rPr>
                <w:rFonts w:hint="eastAsia"/>
                <w:sz w:val="21"/>
                <w:szCs w:val="21"/>
                <w:highlight w:val="none"/>
              </w:rPr>
              <w:t>：</w:t>
            </w:r>
            <w:r>
              <w:rPr>
                <w:rFonts w:hint="eastAsia"/>
                <w:sz w:val="21"/>
                <w:szCs w:val="21"/>
                <w:highlight w:val="none"/>
                <w:lang w:val="en-US" w:eastAsia="zh-CN"/>
              </w:rPr>
              <w:t>±</w:t>
            </w:r>
            <w:r>
              <w:rPr>
                <w:rFonts w:hint="eastAsia"/>
                <w:sz w:val="21"/>
                <w:szCs w:val="21"/>
                <w:highlight w:val="none"/>
              </w:rPr>
              <w:t>10%</w:t>
            </w:r>
          </w:p>
        </w:tc>
        <w:tc>
          <w:tcPr>
            <w:tcW w:w="1616" w:type="pct"/>
            <w:shd w:val="clear" w:color="auto" w:fill="auto"/>
            <w:vAlign w:val="center"/>
          </w:tcPr>
          <w:p w14:paraId="50AE2D40">
            <w:pPr>
              <w:spacing w:line="240" w:lineRule="auto"/>
              <w:ind w:firstLine="0" w:firstLineChars="0"/>
              <w:jc w:val="center"/>
              <w:rPr>
                <w:highlight w:val="none"/>
              </w:rPr>
            </w:pPr>
            <w:r>
              <w:rPr>
                <w:highlight w:val="none"/>
              </w:rPr>
              <w:drawing>
                <wp:inline distT="0" distB="0" distL="114300" distR="114300">
                  <wp:extent cx="1134745" cy="2200275"/>
                  <wp:effectExtent l="0" t="0" r="825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rcRect l="68336"/>
                          <a:stretch>
                            <a:fillRect/>
                          </a:stretch>
                        </pic:blipFill>
                        <pic:spPr>
                          <a:xfrm>
                            <a:off x="0" y="0"/>
                            <a:ext cx="1134745" cy="2200275"/>
                          </a:xfrm>
                          <a:prstGeom prst="rect">
                            <a:avLst/>
                          </a:prstGeom>
                          <a:noFill/>
                          <a:ln>
                            <a:noFill/>
                          </a:ln>
                        </pic:spPr>
                      </pic:pic>
                    </a:graphicData>
                  </a:graphic>
                </wp:inline>
              </w:drawing>
            </w:r>
          </w:p>
        </w:tc>
      </w:tr>
      <w:tr w14:paraId="133D9AB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7" w:type="pct"/>
            <w:shd w:val="clear" w:color="auto" w:fill="auto"/>
            <w:vAlign w:val="center"/>
          </w:tcPr>
          <w:p w14:paraId="3CF485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color w:val="auto"/>
                <w:sz w:val="21"/>
                <w:szCs w:val="21"/>
                <w:highlight w:val="none"/>
                <w:vertAlign w:val="baseline"/>
                <w:lang w:val="en-US" w:eastAsia="zh-CN"/>
              </w:rPr>
              <w:t>水质监测浮标站</w:t>
            </w:r>
          </w:p>
        </w:tc>
        <w:tc>
          <w:tcPr>
            <w:tcW w:w="2456" w:type="pct"/>
            <w:shd w:val="clear" w:color="auto" w:fill="auto"/>
            <w:vAlign w:val="center"/>
          </w:tcPr>
          <w:p w14:paraId="4CF396CF">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sz w:val="21"/>
                <w:szCs w:val="21"/>
                <w:highlight w:val="none"/>
              </w:rPr>
            </w:pPr>
            <w:r>
              <w:rPr>
                <w:rFonts w:hint="eastAsia"/>
                <w:sz w:val="21"/>
                <w:szCs w:val="21"/>
                <w:highlight w:val="none"/>
                <w:lang w:val="en-US" w:eastAsia="zh-CN"/>
              </w:rPr>
              <w:t>在线传感器：PH、浊度、电导率、溶解氧、COD、氨氮、叶绿素、蓝绿藻</w:t>
            </w:r>
          </w:p>
        </w:tc>
        <w:tc>
          <w:tcPr>
            <w:tcW w:w="1616" w:type="pct"/>
            <w:shd w:val="clear" w:color="auto" w:fill="auto"/>
            <w:vAlign w:val="center"/>
          </w:tcPr>
          <w:p w14:paraId="4F95DB1A">
            <w:pPr>
              <w:spacing w:line="240" w:lineRule="auto"/>
              <w:ind w:firstLine="0" w:firstLineChars="0"/>
              <w:jc w:val="center"/>
              <w:rPr>
                <w:rFonts w:hint="eastAsia" w:ascii="Times New Roman" w:hAnsi="Times New Roman" w:eastAsia="宋体"/>
                <w:highlight w:val="none"/>
                <w:lang w:eastAsia="zh-CN"/>
              </w:rPr>
            </w:pPr>
            <w:r>
              <w:rPr>
                <w:rFonts w:hint="eastAsia"/>
                <w:b w:val="0"/>
                <w:bCs w:val="0"/>
                <w:color w:val="FF0000"/>
                <w:sz w:val="21"/>
                <w:szCs w:val="21"/>
                <w:highlight w:val="none"/>
                <w:vertAlign w:val="baseline"/>
                <w:lang w:val="en-US" w:eastAsia="zh-CN"/>
              </w:rPr>
              <w:drawing>
                <wp:inline distT="0" distB="0" distL="114300" distR="114300">
                  <wp:extent cx="588645" cy="915035"/>
                  <wp:effectExtent l="0" t="0" r="5715" b="14605"/>
                  <wp:docPr id="1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IMG_256"/>
                          <pic:cNvPicPr>
                            <a:picLocks noChangeAspect="1"/>
                          </pic:cNvPicPr>
                        </pic:nvPicPr>
                        <pic:blipFill>
                          <a:blip r:embed="rId12"/>
                          <a:stretch>
                            <a:fillRect/>
                          </a:stretch>
                        </pic:blipFill>
                        <pic:spPr>
                          <a:xfrm>
                            <a:off x="0" y="0"/>
                            <a:ext cx="588645" cy="915035"/>
                          </a:xfrm>
                          <a:prstGeom prst="rect">
                            <a:avLst/>
                          </a:prstGeom>
                          <a:noFill/>
                          <a:ln w="9525">
                            <a:noFill/>
                          </a:ln>
                        </pic:spPr>
                      </pic:pic>
                    </a:graphicData>
                  </a:graphic>
                </wp:inline>
              </w:drawing>
            </w:r>
            <w:r>
              <w:rPr>
                <w:rFonts w:ascii="Times New Roman" w:hAnsi="Times New Roman" w:eastAsia="宋体" w:cs="Times New Roman"/>
                <w:sz w:val="28"/>
                <w:szCs w:val="28"/>
                <w:highlight w:val="none"/>
              </w:rPr>
              <w:drawing>
                <wp:inline distT="0" distB="0" distL="0" distR="0">
                  <wp:extent cx="873125" cy="1464310"/>
                  <wp:effectExtent l="0" t="0" r="3175"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873125" cy="1464310"/>
                          </a:xfrm>
                          <a:prstGeom prst="rect">
                            <a:avLst/>
                          </a:prstGeom>
                        </pic:spPr>
                      </pic:pic>
                    </a:graphicData>
                  </a:graphic>
                </wp:inline>
              </w:drawing>
            </w:r>
          </w:p>
        </w:tc>
      </w:tr>
      <w:tr w14:paraId="1846BC6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05" w:hRule="atLeast"/>
        </w:trPr>
        <w:tc>
          <w:tcPr>
            <w:tcW w:w="927" w:type="pct"/>
            <w:shd w:val="clear" w:color="auto" w:fill="auto"/>
            <w:vAlign w:val="center"/>
          </w:tcPr>
          <w:p w14:paraId="2BBA2615">
            <w:pPr>
              <w:spacing w:line="240" w:lineRule="auto"/>
              <w:ind w:firstLine="0" w:firstLineChars="0"/>
              <w:jc w:val="center"/>
              <w:rPr>
                <w:rFonts w:hint="eastAsia"/>
                <w:sz w:val="21"/>
                <w:szCs w:val="21"/>
                <w:highlight w:val="none"/>
                <w:lang w:val="en-US" w:eastAsia="zh-CN"/>
              </w:rPr>
            </w:pPr>
            <w:r>
              <w:rPr>
                <w:rFonts w:hint="eastAsia"/>
                <w:sz w:val="21"/>
                <w:szCs w:val="21"/>
                <w:highlight w:val="none"/>
              </w:rPr>
              <w:t>在线全光谱多参数传感器</w:t>
            </w:r>
          </w:p>
        </w:tc>
        <w:tc>
          <w:tcPr>
            <w:tcW w:w="2456" w:type="pct"/>
            <w:shd w:val="clear" w:color="auto" w:fill="auto"/>
            <w:vAlign w:val="center"/>
          </w:tcPr>
          <w:p w14:paraId="4E5D4B9E">
            <w:pPr>
              <w:spacing w:line="240" w:lineRule="auto"/>
              <w:ind w:firstLine="0" w:firstLineChars="0"/>
              <w:jc w:val="left"/>
              <w:rPr>
                <w:rFonts w:hint="eastAsia"/>
                <w:sz w:val="21"/>
                <w:szCs w:val="21"/>
                <w:highlight w:val="none"/>
              </w:rPr>
            </w:pPr>
            <w:r>
              <w:rPr>
                <w:sz w:val="21"/>
                <w:szCs w:val="21"/>
                <w:highlight w:val="none"/>
              </w:rPr>
              <w:t>原理</w:t>
            </w:r>
            <w:r>
              <w:rPr>
                <w:rFonts w:hint="eastAsia"/>
                <w:sz w:val="21"/>
                <w:szCs w:val="21"/>
                <w:highlight w:val="none"/>
              </w:rPr>
              <w:t>：全光谱吸收法</w:t>
            </w:r>
          </w:p>
          <w:p w14:paraId="184F0034">
            <w:pPr>
              <w:spacing w:line="240" w:lineRule="auto"/>
              <w:ind w:firstLine="0" w:firstLineChars="0"/>
              <w:jc w:val="left"/>
              <w:rPr>
                <w:rFonts w:hint="eastAsia"/>
                <w:sz w:val="21"/>
                <w:szCs w:val="21"/>
                <w:highlight w:val="none"/>
              </w:rPr>
            </w:pPr>
            <w:r>
              <w:rPr>
                <w:sz w:val="21"/>
                <w:szCs w:val="21"/>
                <w:highlight w:val="none"/>
              </w:rPr>
              <w:t>量程</w:t>
            </w:r>
            <w:r>
              <w:rPr>
                <w:rFonts w:hint="eastAsia"/>
                <w:sz w:val="21"/>
                <w:szCs w:val="21"/>
                <w:highlight w:val="none"/>
              </w:rPr>
              <w:t>：</w:t>
            </w:r>
          </w:p>
          <w:p w14:paraId="6C9D27C4">
            <w:pPr>
              <w:spacing w:line="240" w:lineRule="auto"/>
              <w:ind w:firstLine="0" w:firstLineChars="0"/>
              <w:jc w:val="left"/>
              <w:rPr>
                <w:rFonts w:hint="eastAsia"/>
                <w:sz w:val="21"/>
                <w:szCs w:val="21"/>
                <w:highlight w:val="none"/>
              </w:rPr>
            </w:pPr>
            <w:r>
              <w:rPr>
                <w:rFonts w:hint="eastAsia"/>
                <w:sz w:val="21"/>
                <w:szCs w:val="21"/>
                <w:highlight w:val="none"/>
              </w:rPr>
              <w:t>COD：0～200mg/Lequiv. KHP；色度：0～500Hazen；TOC：0～150mg/L；浊度：0～400NTU；BOD：0～150mg/L；UV254：0～1.5AU；TP：0～15mg/L；TN：0～100mg/L；NHN：0～80mg/L；硝酸盐：0～15mg/L；亚硝酸盐：0～10mg/L；CODMn：0～100mg/L</w:t>
            </w:r>
          </w:p>
          <w:p w14:paraId="1752D3D7">
            <w:pPr>
              <w:spacing w:line="240" w:lineRule="auto"/>
              <w:ind w:firstLine="0" w:firstLineChars="0"/>
              <w:jc w:val="left"/>
              <w:rPr>
                <w:sz w:val="21"/>
                <w:szCs w:val="21"/>
                <w:highlight w:val="none"/>
              </w:rPr>
            </w:pPr>
            <w:r>
              <w:rPr>
                <w:sz w:val="21"/>
                <w:szCs w:val="21"/>
                <w:highlight w:val="none"/>
              </w:rPr>
              <w:t>精度</w:t>
            </w:r>
            <w:r>
              <w:rPr>
                <w:rFonts w:hint="eastAsia"/>
                <w:sz w:val="21"/>
                <w:szCs w:val="21"/>
                <w:highlight w:val="none"/>
              </w:rPr>
              <w:t>：±5%F.S.</w:t>
            </w:r>
          </w:p>
        </w:tc>
        <w:tc>
          <w:tcPr>
            <w:tcW w:w="1616" w:type="pct"/>
            <w:shd w:val="clear" w:color="auto" w:fill="auto"/>
            <w:vAlign w:val="center"/>
          </w:tcPr>
          <w:p w14:paraId="7714A63E">
            <w:pPr>
              <w:autoSpaceDE w:val="0"/>
              <w:spacing w:beforeAutospacing="1" w:afterAutospacing="1"/>
              <w:ind w:firstLine="0" w:firstLineChars="0"/>
              <w:jc w:val="center"/>
              <w:rPr>
                <w:rFonts w:ascii="Times New Roman" w:hAnsi="Times New Roman" w:cs="Times New Roman"/>
                <w:b/>
                <w:sz w:val="32"/>
                <w:szCs w:val="32"/>
                <w:highlight w:val="none"/>
              </w:rPr>
            </w:pPr>
            <w:r>
              <w:rPr>
                <w:rFonts w:hint="default" w:ascii="Times New Roman" w:hAnsi="Times New Roman" w:eastAsia="宋体" w:cs="Times New Roman"/>
                <w:highlight w:val="none"/>
                <w:lang w:val="en-US" w:eastAsia="zh-CN"/>
              </w:rPr>
              <w:drawing>
                <wp:inline distT="0" distB="0" distL="114300" distR="114300">
                  <wp:extent cx="426085" cy="1622425"/>
                  <wp:effectExtent l="0" t="0" r="0" b="0"/>
                  <wp:docPr id="13" name="图片 7" descr="C:/Users/lina/Desktop/FUV-408-.pngFUV-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descr="C:/Users/lina/Desktop/FUV-408-.pngFUV-408-"/>
                          <pic:cNvPicPr>
                            <a:picLocks noChangeAspect="1"/>
                          </pic:cNvPicPr>
                        </pic:nvPicPr>
                        <pic:blipFill>
                          <a:blip r:embed="rId14"/>
                          <a:srcRect l="29555" r="30036"/>
                          <a:stretch>
                            <a:fillRect/>
                          </a:stretch>
                        </pic:blipFill>
                        <pic:spPr>
                          <a:xfrm>
                            <a:off x="0" y="0"/>
                            <a:ext cx="426085" cy="1622425"/>
                          </a:xfrm>
                          <a:prstGeom prst="rect">
                            <a:avLst/>
                          </a:prstGeom>
                          <a:noFill/>
                          <a:ln>
                            <a:noFill/>
                          </a:ln>
                        </pic:spPr>
                      </pic:pic>
                    </a:graphicData>
                  </a:graphic>
                </wp:inline>
              </w:drawing>
            </w:r>
          </w:p>
        </w:tc>
      </w:tr>
      <w:tr w14:paraId="4A632AE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927" w:type="pct"/>
            <w:shd w:val="clear" w:color="auto" w:fill="auto"/>
            <w:vAlign w:val="center"/>
          </w:tcPr>
          <w:p w14:paraId="3ED59D3B">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在线PH传感器</w:t>
            </w:r>
          </w:p>
        </w:tc>
        <w:tc>
          <w:tcPr>
            <w:tcW w:w="2456" w:type="pct"/>
            <w:shd w:val="clear" w:color="auto" w:fill="auto"/>
            <w:vAlign w:val="center"/>
          </w:tcPr>
          <w:p w14:paraId="52FB3DC6">
            <w:pPr>
              <w:spacing w:line="240" w:lineRule="auto"/>
              <w:ind w:firstLine="0" w:firstLineChars="0"/>
              <w:rPr>
                <w:rFonts w:hint="eastAsia"/>
                <w:sz w:val="21"/>
                <w:szCs w:val="21"/>
                <w:highlight w:val="none"/>
              </w:rPr>
            </w:pPr>
            <w:r>
              <w:rPr>
                <w:sz w:val="21"/>
                <w:szCs w:val="21"/>
                <w:highlight w:val="none"/>
              </w:rPr>
              <w:t>原理：玻璃电极法</w:t>
            </w:r>
          </w:p>
          <w:p w14:paraId="1F27B685">
            <w:pPr>
              <w:spacing w:line="240" w:lineRule="auto"/>
              <w:ind w:firstLine="0" w:firstLineChars="0"/>
              <w:rPr>
                <w:rFonts w:hint="eastAsia"/>
                <w:sz w:val="21"/>
                <w:szCs w:val="21"/>
                <w:highlight w:val="none"/>
              </w:rPr>
            </w:pPr>
            <w:r>
              <w:rPr>
                <w:sz w:val="21"/>
                <w:szCs w:val="21"/>
                <w:highlight w:val="none"/>
              </w:rPr>
              <w:t>量程：0-14 pH</w:t>
            </w:r>
          </w:p>
          <w:p w14:paraId="378C614F">
            <w:pPr>
              <w:spacing w:line="240" w:lineRule="auto"/>
              <w:ind w:firstLine="0" w:firstLineChars="0"/>
              <w:rPr>
                <w:sz w:val="21"/>
                <w:szCs w:val="21"/>
                <w:highlight w:val="none"/>
              </w:rPr>
            </w:pPr>
            <w:r>
              <w:rPr>
                <w:sz w:val="21"/>
                <w:szCs w:val="21"/>
                <w:highlight w:val="none"/>
              </w:rPr>
              <w:t>精度：±0.1 pH</w:t>
            </w:r>
          </w:p>
        </w:tc>
        <w:tc>
          <w:tcPr>
            <w:tcW w:w="1616" w:type="pct"/>
            <w:shd w:val="clear" w:color="auto" w:fill="auto"/>
            <w:vAlign w:val="center"/>
          </w:tcPr>
          <w:p w14:paraId="619C3E35">
            <w:pPr>
              <w:spacing w:line="240" w:lineRule="auto"/>
              <w:ind w:firstLine="0" w:firstLineChars="0"/>
              <w:jc w:val="center"/>
              <w:rPr>
                <w:highlight w:val="none"/>
              </w:rPr>
            </w:pPr>
            <w:r>
              <w:rPr>
                <w:rFonts w:ascii="Times New Roman" w:hAnsi="Times New Roman" w:cs="Times New Roman"/>
                <w:b/>
                <w:sz w:val="32"/>
                <w:szCs w:val="32"/>
                <w:highlight w:val="none"/>
              </w:rPr>
              <w:drawing>
                <wp:inline distT="0" distB="0" distL="114300" distR="114300">
                  <wp:extent cx="326390" cy="1350645"/>
                  <wp:effectExtent l="635" t="288925" r="5080" b="29908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5" cstate="print"/>
                          <a:stretch>
                            <a:fillRect/>
                          </a:stretch>
                        </pic:blipFill>
                        <pic:spPr>
                          <a:xfrm rot="3780000">
                            <a:off x="0" y="0"/>
                            <a:ext cx="328911" cy="1359777"/>
                          </a:xfrm>
                          <a:prstGeom prst="rect">
                            <a:avLst/>
                          </a:prstGeom>
                          <a:noFill/>
                          <a:ln>
                            <a:noFill/>
                          </a:ln>
                        </pic:spPr>
                      </pic:pic>
                    </a:graphicData>
                  </a:graphic>
                </wp:inline>
              </w:drawing>
            </w:r>
          </w:p>
        </w:tc>
      </w:tr>
      <w:tr w14:paraId="359D613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927" w:type="pct"/>
            <w:shd w:val="clear" w:color="auto" w:fill="auto"/>
            <w:vAlign w:val="center"/>
          </w:tcPr>
          <w:p w14:paraId="744E0B25">
            <w:pPr>
              <w:spacing w:line="240" w:lineRule="auto"/>
              <w:ind w:firstLine="0" w:firstLineChars="0"/>
              <w:jc w:val="center"/>
              <w:rPr>
                <w:rFonts w:hint="eastAsia" w:ascii="宋体" w:hAnsi="宋体" w:eastAsia="宋体" w:cs="宋体"/>
                <w:kern w:val="2"/>
                <w:sz w:val="21"/>
                <w:szCs w:val="21"/>
                <w:highlight w:val="none"/>
                <w:lang w:val="en-US" w:eastAsia="zh-CN" w:bidi="ar-SA"/>
              </w:rPr>
            </w:pPr>
            <w:r>
              <w:rPr>
                <w:rFonts w:hint="eastAsia"/>
                <w:sz w:val="21"/>
                <w:szCs w:val="21"/>
                <w:highlight w:val="none"/>
                <w:lang w:val="en-US" w:eastAsia="zh-CN"/>
              </w:rPr>
              <w:t>在线浊度传感器</w:t>
            </w:r>
          </w:p>
        </w:tc>
        <w:tc>
          <w:tcPr>
            <w:tcW w:w="2456" w:type="pct"/>
            <w:shd w:val="clear" w:color="auto" w:fill="auto"/>
            <w:vAlign w:val="center"/>
          </w:tcPr>
          <w:p w14:paraId="663AE960">
            <w:pPr>
              <w:spacing w:line="240" w:lineRule="auto"/>
              <w:ind w:firstLine="0" w:firstLineChars="0"/>
              <w:rPr>
                <w:rFonts w:hint="eastAsia"/>
                <w:sz w:val="21"/>
                <w:szCs w:val="21"/>
                <w:highlight w:val="none"/>
              </w:rPr>
            </w:pPr>
            <w:r>
              <w:rPr>
                <w:sz w:val="21"/>
                <w:szCs w:val="21"/>
                <w:highlight w:val="none"/>
              </w:rPr>
              <w:t>原理：光散射</w:t>
            </w:r>
          </w:p>
          <w:p w14:paraId="5F04E574">
            <w:pPr>
              <w:spacing w:line="240" w:lineRule="auto"/>
              <w:ind w:firstLine="0" w:firstLineChars="0"/>
              <w:rPr>
                <w:rFonts w:hint="eastAsia"/>
                <w:sz w:val="21"/>
                <w:szCs w:val="21"/>
                <w:highlight w:val="none"/>
              </w:rPr>
            </w:pPr>
            <w:r>
              <w:rPr>
                <w:sz w:val="21"/>
                <w:szCs w:val="21"/>
                <w:highlight w:val="none"/>
              </w:rPr>
              <w:t>量程：</w:t>
            </w:r>
            <w:r>
              <w:rPr>
                <w:rFonts w:hint="eastAsia"/>
                <w:sz w:val="21"/>
                <w:szCs w:val="21"/>
                <w:highlight w:val="none"/>
              </w:rPr>
              <w:t>0~1000.0 NTU</w:t>
            </w:r>
          </w:p>
          <w:p w14:paraId="7464B482">
            <w:pPr>
              <w:spacing w:line="240" w:lineRule="auto"/>
              <w:ind w:firstLine="0" w:firstLineChars="0"/>
              <w:rPr>
                <w:rFonts w:hint="eastAsia" w:ascii="宋体" w:hAnsi="宋体" w:eastAsia="宋体" w:cs="宋体"/>
                <w:kern w:val="2"/>
                <w:sz w:val="21"/>
                <w:szCs w:val="21"/>
                <w:highlight w:val="none"/>
                <w:lang w:val="en-US" w:eastAsia="zh-CN" w:bidi="ar-SA"/>
              </w:rPr>
            </w:pPr>
            <w:r>
              <w:rPr>
                <w:sz w:val="21"/>
                <w:szCs w:val="21"/>
                <w:highlight w:val="none"/>
              </w:rPr>
              <w:t>精度：</w:t>
            </w:r>
            <w:r>
              <w:rPr>
                <w:rFonts w:hint="eastAsia"/>
                <w:sz w:val="21"/>
                <w:szCs w:val="21"/>
                <w:highlight w:val="none"/>
              </w:rPr>
              <w:t>±5%或±3 NTU以大者为准</w:t>
            </w:r>
          </w:p>
        </w:tc>
        <w:tc>
          <w:tcPr>
            <w:tcW w:w="1616" w:type="pct"/>
            <w:shd w:val="clear" w:color="auto" w:fill="auto"/>
            <w:vAlign w:val="center"/>
          </w:tcPr>
          <w:p w14:paraId="4778FFB3">
            <w:pPr>
              <w:spacing w:line="240" w:lineRule="auto"/>
              <w:ind w:firstLine="0" w:firstLineChars="0"/>
              <w:jc w:val="center"/>
              <w:rPr>
                <w:rFonts w:hint="eastAsia" w:ascii="宋体" w:hAnsi="宋体" w:eastAsia="宋体" w:cs="宋体"/>
                <w:kern w:val="2"/>
                <w:sz w:val="24"/>
                <w:szCs w:val="24"/>
                <w:highlight w:val="none"/>
                <w:lang w:val="en-US" w:eastAsia="zh-CN" w:bidi="ar-SA"/>
              </w:rPr>
            </w:pPr>
            <w:r>
              <w:rPr>
                <w:highlight w:val="none"/>
              </w:rPr>
              <w:drawing>
                <wp:inline distT="0" distB="0" distL="114300" distR="114300">
                  <wp:extent cx="377825" cy="1384300"/>
                  <wp:effectExtent l="19050" t="255905" r="29210" b="265430"/>
                  <wp:docPr id="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
                          <pic:cNvPicPr>
                            <a:picLocks noChangeAspect="1"/>
                          </pic:cNvPicPr>
                        </pic:nvPicPr>
                        <pic:blipFill>
                          <a:blip r:embed="rId16"/>
                          <a:stretch>
                            <a:fillRect/>
                          </a:stretch>
                        </pic:blipFill>
                        <pic:spPr>
                          <a:xfrm rot="4020000">
                            <a:off x="0" y="0"/>
                            <a:ext cx="377825" cy="1384300"/>
                          </a:xfrm>
                          <a:prstGeom prst="rect">
                            <a:avLst/>
                          </a:prstGeom>
                          <a:noFill/>
                          <a:ln>
                            <a:noFill/>
                          </a:ln>
                        </pic:spPr>
                      </pic:pic>
                    </a:graphicData>
                  </a:graphic>
                </wp:inline>
              </w:drawing>
            </w:r>
          </w:p>
        </w:tc>
      </w:tr>
      <w:tr w14:paraId="161D307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927" w:type="pct"/>
            <w:shd w:val="clear" w:color="auto" w:fill="auto"/>
            <w:vAlign w:val="center"/>
          </w:tcPr>
          <w:p w14:paraId="514DBEE6">
            <w:pPr>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在线电导率传感器</w:t>
            </w:r>
          </w:p>
        </w:tc>
        <w:tc>
          <w:tcPr>
            <w:tcW w:w="2456" w:type="pct"/>
            <w:shd w:val="clear" w:color="auto" w:fill="auto"/>
            <w:vAlign w:val="center"/>
          </w:tcPr>
          <w:p w14:paraId="5652241D">
            <w:pPr>
              <w:spacing w:line="240" w:lineRule="auto"/>
              <w:ind w:firstLine="0" w:firstLineChars="0"/>
              <w:rPr>
                <w:rFonts w:hint="eastAsia"/>
                <w:sz w:val="21"/>
                <w:szCs w:val="21"/>
                <w:highlight w:val="none"/>
              </w:rPr>
            </w:pPr>
            <w:r>
              <w:rPr>
                <w:sz w:val="21"/>
                <w:szCs w:val="21"/>
                <w:highlight w:val="none"/>
              </w:rPr>
              <w:t>原理</w:t>
            </w:r>
            <w:r>
              <w:rPr>
                <w:rFonts w:hint="eastAsia"/>
                <w:sz w:val="21"/>
                <w:szCs w:val="21"/>
                <w:highlight w:val="none"/>
              </w:rPr>
              <w:t>：接触式电极法</w:t>
            </w:r>
          </w:p>
          <w:p w14:paraId="1B000ADC">
            <w:pPr>
              <w:spacing w:line="240" w:lineRule="auto"/>
              <w:ind w:firstLine="0" w:firstLineChars="0"/>
              <w:rPr>
                <w:rFonts w:hint="eastAsia"/>
                <w:sz w:val="21"/>
                <w:szCs w:val="21"/>
                <w:highlight w:val="none"/>
              </w:rPr>
            </w:pPr>
            <w:r>
              <w:rPr>
                <w:sz w:val="21"/>
                <w:szCs w:val="21"/>
                <w:highlight w:val="none"/>
              </w:rPr>
              <w:t>量程</w:t>
            </w:r>
            <w:r>
              <w:rPr>
                <w:rFonts w:hint="eastAsia"/>
                <w:sz w:val="21"/>
                <w:szCs w:val="21"/>
                <w:highlight w:val="none"/>
              </w:rPr>
              <w:t>：0～5000 μS/cm</w:t>
            </w:r>
          </w:p>
          <w:p w14:paraId="27FC162F">
            <w:pPr>
              <w:spacing w:line="240" w:lineRule="auto"/>
              <w:ind w:firstLine="0" w:firstLineChars="0"/>
              <w:rPr>
                <w:sz w:val="21"/>
                <w:szCs w:val="21"/>
                <w:highlight w:val="none"/>
              </w:rPr>
            </w:pPr>
            <w:r>
              <w:rPr>
                <w:sz w:val="21"/>
                <w:szCs w:val="21"/>
                <w:highlight w:val="none"/>
              </w:rPr>
              <w:t>精度</w:t>
            </w:r>
            <w:r>
              <w:rPr>
                <w:rFonts w:hint="eastAsia"/>
                <w:sz w:val="21"/>
                <w:szCs w:val="21"/>
                <w:highlight w:val="none"/>
              </w:rPr>
              <w:t>：读数的±1%</w:t>
            </w:r>
          </w:p>
        </w:tc>
        <w:tc>
          <w:tcPr>
            <w:tcW w:w="1616" w:type="pct"/>
            <w:shd w:val="clear" w:color="auto" w:fill="auto"/>
            <w:vAlign w:val="center"/>
          </w:tcPr>
          <w:p w14:paraId="196E8130">
            <w:pPr>
              <w:spacing w:line="240" w:lineRule="auto"/>
              <w:ind w:firstLine="0" w:firstLineChars="0"/>
              <w:jc w:val="center"/>
              <w:rPr>
                <w:rFonts w:hint="eastAsia" w:ascii="Times New Roman" w:hAnsi="Times New Roman" w:eastAsia="宋体"/>
                <w:highlight w:val="none"/>
                <w:lang w:eastAsia="zh-CN"/>
              </w:rPr>
            </w:pPr>
            <w:r>
              <w:rPr>
                <w:rFonts w:ascii="Times New Roman" w:hAnsi="Times New Roman" w:cs="Times New Roman"/>
                <w:b/>
                <w:sz w:val="32"/>
                <w:szCs w:val="32"/>
                <w:highlight w:val="none"/>
              </w:rPr>
              <w:drawing>
                <wp:inline distT="0" distB="0" distL="114300" distR="114300">
                  <wp:extent cx="302260" cy="1303020"/>
                  <wp:effectExtent l="2540" t="260985" r="5080" b="274955"/>
                  <wp:docPr id="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
                          <pic:cNvPicPr>
                            <a:picLocks noChangeAspect="1"/>
                          </pic:cNvPicPr>
                        </pic:nvPicPr>
                        <pic:blipFill>
                          <a:blip r:embed="rId17" cstate="print"/>
                          <a:stretch>
                            <a:fillRect/>
                          </a:stretch>
                        </pic:blipFill>
                        <pic:spPr>
                          <a:xfrm rot="3900000">
                            <a:off x="0" y="0"/>
                            <a:ext cx="306471" cy="1319474"/>
                          </a:xfrm>
                          <a:prstGeom prst="rect">
                            <a:avLst/>
                          </a:prstGeom>
                          <a:noFill/>
                          <a:ln>
                            <a:noFill/>
                          </a:ln>
                        </pic:spPr>
                      </pic:pic>
                    </a:graphicData>
                  </a:graphic>
                </wp:inline>
              </w:drawing>
            </w:r>
          </w:p>
        </w:tc>
      </w:tr>
      <w:tr w14:paraId="4908C24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7" w:type="pct"/>
            <w:vAlign w:val="center"/>
          </w:tcPr>
          <w:p w14:paraId="495C5AC5">
            <w:pPr>
              <w:spacing w:line="240" w:lineRule="auto"/>
              <w:ind w:firstLine="0" w:firstLineChars="0"/>
              <w:jc w:val="center"/>
              <w:rPr>
                <w:rFonts w:hint="default"/>
                <w:sz w:val="21"/>
                <w:szCs w:val="21"/>
                <w:highlight w:val="none"/>
                <w:lang w:val="en-US" w:eastAsia="zh-CN"/>
              </w:rPr>
            </w:pPr>
            <w:r>
              <w:rPr>
                <w:rFonts w:hint="eastAsia"/>
                <w:sz w:val="21"/>
                <w:szCs w:val="21"/>
                <w:highlight w:val="none"/>
                <w:lang w:val="en-US" w:eastAsia="zh-CN"/>
              </w:rPr>
              <w:t>在线溶解氧传感器</w:t>
            </w:r>
          </w:p>
        </w:tc>
        <w:tc>
          <w:tcPr>
            <w:tcW w:w="2456" w:type="pct"/>
            <w:shd w:val="clear" w:color="auto" w:fill="auto"/>
            <w:vAlign w:val="center"/>
          </w:tcPr>
          <w:p w14:paraId="0E787E4E">
            <w:pPr>
              <w:spacing w:line="240" w:lineRule="auto"/>
              <w:ind w:firstLine="0" w:firstLineChars="0"/>
              <w:jc w:val="both"/>
              <w:rPr>
                <w:rFonts w:hint="eastAsia"/>
                <w:sz w:val="21"/>
                <w:szCs w:val="21"/>
                <w:highlight w:val="none"/>
                <w:lang w:val="en-US" w:eastAsia="zh-CN"/>
              </w:rPr>
            </w:pPr>
            <w:r>
              <w:rPr>
                <w:rFonts w:hint="eastAsia"/>
                <w:sz w:val="21"/>
                <w:szCs w:val="21"/>
                <w:highlight w:val="none"/>
                <w:lang w:val="en-US" w:eastAsia="zh-CN"/>
              </w:rPr>
              <w:t>原理：荧光法</w:t>
            </w:r>
          </w:p>
          <w:p w14:paraId="677D747F">
            <w:pPr>
              <w:spacing w:line="240" w:lineRule="auto"/>
              <w:ind w:firstLine="0" w:firstLineChars="0"/>
              <w:jc w:val="both"/>
              <w:rPr>
                <w:rFonts w:hint="eastAsia"/>
                <w:sz w:val="21"/>
                <w:szCs w:val="21"/>
                <w:highlight w:val="none"/>
                <w:lang w:val="en-US" w:eastAsia="zh-CN"/>
              </w:rPr>
            </w:pPr>
            <w:r>
              <w:rPr>
                <w:rFonts w:hint="eastAsia"/>
                <w:sz w:val="21"/>
                <w:szCs w:val="21"/>
                <w:highlight w:val="none"/>
                <w:lang w:val="en-US" w:eastAsia="zh-CN"/>
              </w:rPr>
              <w:t>量程：0～20.00 mg/L</w:t>
            </w:r>
          </w:p>
          <w:p w14:paraId="72D787DA">
            <w:pPr>
              <w:spacing w:line="240" w:lineRule="auto"/>
              <w:ind w:firstLine="0" w:firstLineChars="0"/>
              <w:rPr>
                <w:rFonts w:hint="eastAsia" w:ascii="宋体" w:hAnsi="宋体" w:eastAsia="宋体" w:cs="宋体"/>
                <w:kern w:val="2"/>
                <w:sz w:val="21"/>
                <w:szCs w:val="21"/>
                <w:highlight w:val="none"/>
                <w:lang w:val="en-US" w:eastAsia="zh-CN" w:bidi="ar-SA"/>
              </w:rPr>
            </w:pPr>
            <w:r>
              <w:rPr>
                <w:rFonts w:hint="eastAsia"/>
                <w:sz w:val="21"/>
                <w:szCs w:val="21"/>
                <w:highlight w:val="none"/>
                <w:lang w:val="en-US" w:eastAsia="zh-CN"/>
              </w:rPr>
              <w:t>精度：±2%</w:t>
            </w:r>
          </w:p>
        </w:tc>
        <w:tc>
          <w:tcPr>
            <w:tcW w:w="1616" w:type="pct"/>
            <w:shd w:val="clear" w:color="auto" w:fill="auto"/>
            <w:vAlign w:val="center"/>
          </w:tcPr>
          <w:p w14:paraId="57FDD68C">
            <w:pPr>
              <w:spacing w:line="240" w:lineRule="auto"/>
              <w:ind w:firstLine="0" w:firstLineChars="0"/>
              <w:jc w:val="center"/>
              <w:rPr>
                <w:rFonts w:hint="eastAsia" w:ascii="宋体" w:hAnsi="宋体" w:eastAsia="宋体" w:cs="宋体"/>
                <w:kern w:val="2"/>
                <w:sz w:val="24"/>
                <w:szCs w:val="24"/>
                <w:highlight w:val="none"/>
                <w:lang w:val="en-US" w:eastAsia="zh-CN" w:bidi="ar-SA"/>
              </w:rPr>
            </w:pPr>
            <w:r>
              <w:rPr>
                <w:highlight w:val="none"/>
              </w:rPr>
              <w:drawing>
                <wp:inline distT="0" distB="0" distL="114300" distR="114300">
                  <wp:extent cx="382905" cy="1276350"/>
                  <wp:effectExtent l="21590" t="252095" r="27940" b="264160"/>
                  <wp:docPr id="8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
                          <pic:cNvPicPr>
                            <a:picLocks noChangeAspect="1"/>
                          </pic:cNvPicPr>
                        </pic:nvPicPr>
                        <pic:blipFill>
                          <a:blip r:embed="rId18"/>
                          <a:srcRect l="8217" b="3108"/>
                          <a:stretch>
                            <a:fillRect/>
                          </a:stretch>
                        </pic:blipFill>
                        <pic:spPr>
                          <a:xfrm rot="3900000">
                            <a:off x="0" y="0"/>
                            <a:ext cx="382905" cy="1276350"/>
                          </a:xfrm>
                          <a:prstGeom prst="rect">
                            <a:avLst/>
                          </a:prstGeom>
                          <a:noFill/>
                          <a:ln>
                            <a:noFill/>
                          </a:ln>
                        </pic:spPr>
                      </pic:pic>
                    </a:graphicData>
                  </a:graphic>
                </wp:inline>
              </w:drawing>
            </w:r>
          </w:p>
        </w:tc>
      </w:tr>
      <w:tr w14:paraId="63AB96D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7" w:type="pct"/>
            <w:shd w:val="clear" w:color="auto" w:fill="auto"/>
            <w:vAlign w:val="center"/>
          </w:tcPr>
          <w:p w14:paraId="67B99806">
            <w:pPr>
              <w:spacing w:line="240" w:lineRule="auto"/>
              <w:ind w:firstLine="0" w:firstLineChars="0"/>
              <w:jc w:val="center"/>
              <w:rPr>
                <w:rFonts w:hint="eastAsia"/>
                <w:color w:val="auto"/>
                <w:sz w:val="21"/>
                <w:szCs w:val="21"/>
                <w:highlight w:val="none"/>
                <w:vertAlign w:val="baseline"/>
                <w:lang w:val="en-US" w:eastAsia="zh-CN"/>
              </w:rPr>
            </w:pPr>
            <w:r>
              <w:rPr>
                <w:rFonts w:hint="eastAsia"/>
                <w:sz w:val="21"/>
                <w:szCs w:val="21"/>
                <w:highlight w:val="none"/>
              </w:rPr>
              <w:t>在线COD传感器</w:t>
            </w:r>
          </w:p>
        </w:tc>
        <w:tc>
          <w:tcPr>
            <w:tcW w:w="2456" w:type="pct"/>
            <w:shd w:val="clear" w:color="auto" w:fill="auto"/>
            <w:vAlign w:val="center"/>
          </w:tcPr>
          <w:p w14:paraId="3833D3E5">
            <w:pPr>
              <w:spacing w:line="240" w:lineRule="auto"/>
              <w:ind w:firstLine="0" w:firstLineChars="0"/>
              <w:rPr>
                <w:rFonts w:hint="eastAsia"/>
                <w:sz w:val="21"/>
                <w:szCs w:val="21"/>
                <w:highlight w:val="none"/>
              </w:rPr>
            </w:pPr>
            <w:r>
              <w:rPr>
                <w:sz w:val="21"/>
                <w:szCs w:val="21"/>
                <w:highlight w:val="none"/>
              </w:rPr>
              <w:t>原理：</w:t>
            </w:r>
            <w:r>
              <w:rPr>
                <w:rFonts w:hint="eastAsia"/>
                <w:sz w:val="21"/>
                <w:szCs w:val="21"/>
                <w:highlight w:val="none"/>
              </w:rPr>
              <w:t>双波长紫外吸收法</w:t>
            </w:r>
          </w:p>
          <w:p w14:paraId="5FB3154D">
            <w:pPr>
              <w:spacing w:line="240" w:lineRule="auto"/>
              <w:ind w:firstLine="0" w:firstLineChars="0"/>
              <w:rPr>
                <w:rFonts w:hint="eastAsia"/>
                <w:sz w:val="21"/>
                <w:szCs w:val="21"/>
                <w:highlight w:val="none"/>
              </w:rPr>
            </w:pPr>
            <w:r>
              <w:rPr>
                <w:sz w:val="21"/>
                <w:szCs w:val="21"/>
                <w:highlight w:val="none"/>
              </w:rPr>
              <w:t>量程：</w:t>
            </w:r>
            <w:r>
              <w:rPr>
                <w:rFonts w:hint="eastAsia"/>
                <w:sz w:val="21"/>
                <w:szCs w:val="21"/>
                <w:highlight w:val="none"/>
              </w:rPr>
              <w:t>0～500.0 mg/L</w:t>
            </w:r>
          </w:p>
          <w:p w14:paraId="03E3B70F">
            <w:pPr>
              <w:spacing w:line="240" w:lineRule="auto"/>
              <w:ind w:firstLine="0" w:firstLineChars="0"/>
              <w:rPr>
                <w:rFonts w:hint="default"/>
                <w:color w:val="auto"/>
                <w:sz w:val="21"/>
                <w:szCs w:val="21"/>
                <w:highlight w:val="none"/>
                <w:vertAlign w:val="baseline"/>
                <w:lang w:val="en-US" w:eastAsia="zh-CN"/>
              </w:rPr>
            </w:pPr>
            <w:r>
              <w:rPr>
                <w:sz w:val="21"/>
                <w:szCs w:val="21"/>
                <w:highlight w:val="none"/>
              </w:rPr>
              <w:t>精度：</w:t>
            </w:r>
            <w:r>
              <w:rPr>
                <w:rFonts w:hint="eastAsia"/>
                <w:sz w:val="21"/>
                <w:szCs w:val="21"/>
                <w:highlight w:val="none"/>
              </w:rPr>
              <w:t>读数的±5%</w:t>
            </w:r>
          </w:p>
        </w:tc>
        <w:tc>
          <w:tcPr>
            <w:tcW w:w="1616" w:type="pct"/>
            <w:shd w:val="clear" w:color="auto" w:fill="auto"/>
            <w:vAlign w:val="center"/>
          </w:tcPr>
          <w:p w14:paraId="2C01EF8B">
            <w:pPr>
              <w:spacing w:line="240" w:lineRule="auto"/>
              <w:ind w:firstLine="0" w:firstLineChars="0"/>
              <w:jc w:val="center"/>
              <w:rPr>
                <w:highlight w:val="none"/>
              </w:rPr>
            </w:pPr>
            <w:r>
              <w:rPr>
                <w:rFonts w:hint="eastAsia" w:ascii="Times New Roman" w:hAnsi="Times New Roman"/>
                <w:highlight w:val="none"/>
              </w:rPr>
              <w:drawing>
                <wp:inline distT="0" distB="0" distL="114300" distR="114300">
                  <wp:extent cx="211455" cy="1327150"/>
                  <wp:effectExtent l="0" t="238760" r="0" b="311785"/>
                  <wp:docPr id="18" name="图片 1" descr="COD-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COD-408"/>
                          <pic:cNvPicPr>
                            <a:picLocks noChangeAspect="1"/>
                          </pic:cNvPicPr>
                        </pic:nvPicPr>
                        <pic:blipFill>
                          <a:blip r:embed="rId19"/>
                          <a:stretch>
                            <a:fillRect/>
                          </a:stretch>
                        </pic:blipFill>
                        <pic:spPr>
                          <a:xfrm rot="3720000" flipH="1">
                            <a:off x="0" y="0"/>
                            <a:ext cx="211455" cy="1327150"/>
                          </a:xfrm>
                          <a:prstGeom prst="rect">
                            <a:avLst/>
                          </a:prstGeom>
                          <a:noFill/>
                          <a:ln>
                            <a:noFill/>
                          </a:ln>
                        </pic:spPr>
                      </pic:pic>
                    </a:graphicData>
                  </a:graphic>
                </wp:inline>
              </w:drawing>
            </w:r>
          </w:p>
        </w:tc>
      </w:tr>
      <w:tr w14:paraId="1B705E7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56" w:hRule="atLeast"/>
        </w:trPr>
        <w:tc>
          <w:tcPr>
            <w:tcW w:w="927" w:type="pct"/>
            <w:shd w:val="clear" w:color="auto" w:fill="auto"/>
            <w:vAlign w:val="center"/>
          </w:tcPr>
          <w:p w14:paraId="04E2B252">
            <w:pPr>
              <w:spacing w:line="240" w:lineRule="auto"/>
              <w:ind w:firstLine="0" w:firstLineChars="0"/>
              <w:jc w:val="center"/>
              <w:rPr>
                <w:rFonts w:hint="eastAsia"/>
                <w:color w:val="auto"/>
                <w:sz w:val="21"/>
                <w:szCs w:val="21"/>
                <w:highlight w:val="none"/>
                <w:vertAlign w:val="baseline"/>
                <w:lang w:val="en-US" w:eastAsia="zh-CN"/>
              </w:rPr>
            </w:pPr>
            <w:r>
              <w:rPr>
                <w:rFonts w:hint="eastAsia"/>
                <w:sz w:val="21"/>
                <w:szCs w:val="21"/>
                <w:highlight w:val="none"/>
              </w:rPr>
              <w:t>在线氨氮传感器</w:t>
            </w:r>
          </w:p>
        </w:tc>
        <w:tc>
          <w:tcPr>
            <w:tcW w:w="2456" w:type="pct"/>
            <w:shd w:val="clear" w:color="auto" w:fill="auto"/>
            <w:vAlign w:val="center"/>
          </w:tcPr>
          <w:p w14:paraId="791971C4">
            <w:pPr>
              <w:spacing w:line="240" w:lineRule="auto"/>
              <w:ind w:firstLine="0" w:firstLineChars="0"/>
              <w:rPr>
                <w:rFonts w:hint="eastAsia"/>
                <w:sz w:val="21"/>
                <w:szCs w:val="21"/>
                <w:highlight w:val="none"/>
              </w:rPr>
            </w:pPr>
            <w:r>
              <w:rPr>
                <w:sz w:val="21"/>
                <w:szCs w:val="21"/>
                <w:highlight w:val="none"/>
              </w:rPr>
              <w:t>原理</w:t>
            </w:r>
            <w:r>
              <w:rPr>
                <w:rFonts w:hint="eastAsia"/>
                <w:sz w:val="21"/>
                <w:szCs w:val="21"/>
                <w:highlight w:val="none"/>
              </w:rPr>
              <w:t>：离子选择电极法</w:t>
            </w:r>
          </w:p>
          <w:p w14:paraId="12DD0A78">
            <w:pPr>
              <w:spacing w:line="240" w:lineRule="auto"/>
              <w:ind w:firstLine="0" w:firstLineChars="0"/>
              <w:rPr>
                <w:rFonts w:hint="eastAsia"/>
                <w:sz w:val="21"/>
                <w:szCs w:val="21"/>
                <w:highlight w:val="none"/>
              </w:rPr>
            </w:pPr>
            <w:r>
              <w:rPr>
                <w:sz w:val="21"/>
                <w:szCs w:val="21"/>
                <w:highlight w:val="none"/>
              </w:rPr>
              <w:t>量程</w:t>
            </w:r>
            <w:r>
              <w:rPr>
                <w:rFonts w:hint="eastAsia"/>
                <w:sz w:val="21"/>
                <w:szCs w:val="21"/>
                <w:highlight w:val="none"/>
              </w:rPr>
              <w:t>：0～100.00 mg/L</w:t>
            </w:r>
          </w:p>
          <w:p w14:paraId="0A2719E8">
            <w:pPr>
              <w:spacing w:line="240" w:lineRule="auto"/>
              <w:ind w:firstLine="0" w:firstLineChars="0"/>
              <w:rPr>
                <w:rFonts w:hint="default"/>
                <w:color w:val="auto"/>
                <w:sz w:val="21"/>
                <w:szCs w:val="21"/>
                <w:highlight w:val="none"/>
                <w:vertAlign w:val="baseline"/>
                <w:lang w:val="en-US" w:eastAsia="zh-CN"/>
              </w:rPr>
            </w:pPr>
            <w:r>
              <w:rPr>
                <w:sz w:val="21"/>
                <w:szCs w:val="21"/>
                <w:highlight w:val="none"/>
              </w:rPr>
              <w:t>精度</w:t>
            </w:r>
            <w:r>
              <w:rPr>
                <w:rFonts w:hint="eastAsia"/>
                <w:sz w:val="21"/>
                <w:szCs w:val="21"/>
                <w:highlight w:val="none"/>
              </w:rPr>
              <w:t>：读数的±10%或±1 mg/L 以大者为准</w:t>
            </w:r>
          </w:p>
        </w:tc>
        <w:tc>
          <w:tcPr>
            <w:tcW w:w="1616" w:type="pct"/>
            <w:shd w:val="clear" w:color="auto" w:fill="auto"/>
            <w:vAlign w:val="center"/>
          </w:tcPr>
          <w:p w14:paraId="7462081C">
            <w:pPr>
              <w:spacing w:line="240" w:lineRule="auto"/>
              <w:ind w:firstLine="0" w:firstLineChars="0"/>
              <w:jc w:val="center"/>
              <w:rPr>
                <w:highlight w:val="none"/>
              </w:rPr>
            </w:pPr>
            <w:r>
              <w:rPr>
                <w:rFonts w:hint="eastAsia" w:eastAsiaTheme="minorEastAsia"/>
                <w:highlight w:val="none"/>
                <w:lang w:eastAsia="zh-CN"/>
              </w:rPr>
              <w:drawing>
                <wp:inline distT="0" distB="0" distL="114300" distR="114300">
                  <wp:extent cx="392430" cy="1581785"/>
                  <wp:effectExtent l="0" t="102235" r="0" b="206375"/>
                  <wp:docPr id="16" name="图片 16" descr="E:/新建文件夹 (9)/mmexport1716363568522.pngmmexport1716363568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新建文件夹 (9)/mmexport1716363568522.pngmmexport1716363568522"/>
                          <pic:cNvPicPr>
                            <a:picLocks noChangeAspect="1"/>
                          </pic:cNvPicPr>
                        </pic:nvPicPr>
                        <pic:blipFill>
                          <a:blip r:embed="rId20"/>
                          <a:srcRect l="33411" r="33411"/>
                          <a:stretch>
                            <a:fillRect/>
                          </a:stretch>
                        </pic:blipFill>
                        <pic:spPr>
                          <a:xfrm rot="3900000">
                            <a:off x="0" y="0"/>
                            <a:ext cx="392430" cy="1581785"/>
                          </a:xfrm>
                          <a:prstGeom prst="rect">
                            <a:avLst/>
                          </a:prstGeom>
                        </pic:spPr>
                      </pic:pic>
                    </a:graphicData>
                  </a:graphic>
                </wp:inline>
              </w:drawing>
            </w:r>
          </w:p>
        </w:tc>
      </w:tr>
      <w:tr w14:paraId="4FE5F7B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78" w:hRule="atLeast"/>
        </w:trPr>
        <w:tc>
          <w:tcPr>
            <w:tcW w:w="927" w:type="pct"/>
            <w:shd w:val="clear" w:color="auto" w:fill="auto"/>
            <w:vAlign w:val="center"/>
          </w:tcPr>
          <w:p w14:paraId="12A6FE52">
            <w:pPr>
              <w:spacing w:line="240" w:lineRule="auto"/>
              <w:ind w:firstLine="0" w:firstLineChars="0"/>
              <w:jc w:val="center"/>
              <w:rPr>
                <w:rFonts w:hint="eastAsia"/>
                <w:color w:val="auto"/>
                <w:sz w:val="21"/>
                <w:szCs w:val="21"/>
                <w:highlight w:val="none"/>
                <w:vertAlign w:val="baseline"/>
                <w:lang w:val="en-US" w:eastAsia="zh-CN"/>
              </w:rPr>
            </w:pPr>
            <w:r>
              <w:rPr>
                <w:rFonts w:hint="eastAsia"/>
                <w:color w:val="auto"/>
                <w:sz w:val="21"/>
                <w:szCs w:val="21"/>
                <w:highlight w:val="none"/>
                <w:lang w:val="en-US" w:eastAsia="zh-CN"/>
              </w:rPr>
              <w:t>在线叶绿素传感器</w:t>
            </w:r>
          </w:p>
        </w:tc>
        <w:tc>
          <w:tcPr>
            <w:tcW w:w="2456" w:type="pct"/>
            <w:shd w:val="clear" w:color="auto" w:fill="auto"/>
            <w:vAlign w:val="center"/>
          </w:tcPr>
          <w:p w14:paraId="4FAAFF39">
            <w:pPr>
              <w:spacing w:line="240" w:lineRule="auto"/>
              <w:ind w:firstLine="0" w:firstLineChars="0"/>
              <w:rPr>
                <w:rFonts w:hint="eastAsia"/>
                <w:sz w:val="21"/>
                <w:szCs w:val="21"/>
                <w:highlight w:val="none"/>
              </w:rPr>
            </w:pPr>
            <w:r>
              <w:rPr>
                <w:sz w:val="21"/>
                <w:szCs w:val="21"/>
                <w:highlight w:val="none"/>
              </w:rPr>
              <w:t>原理</w:t>
            </w:r>
            <w:r>
              <w:rPr>
                <w:rFonts w:hint="eastAsia"/>
                <w:sz w:val="21"/>
                <w:szCs w:val="21"/>
                <w:highlight w:val="none"/>
              </w:rPr>
              <w:t>：</w:t>
            </w:r>
            <w:r>
              <w:rPr>
                <w:rFonts w:hint="eastAsia"/>
                <w:sz w:val="21"/>
                <w:szCs w:val="21"/>
                <w:highlight w:val="none"/>
                <w:lang w:val="en-US" w:eastAsia="zh-CN"/>
              </w:rPr>
              <w:t>荧光法</w:t>
            </w:r>
          </w:p>
          <w:p w14:paraId="3292B624">
            <w:pPr>
              <w:spacing w:line="240" w:lineRule="auto"/>
              <w:ind w:firstLine="0" w:firstLineChars="0"/>
              <w:rPr>
                <w:rFonts w:hint="eastAsia"/>
                <w:sz w:val="21"/>
                <w:szCs w:val="21"/>
                <w:highlight w:val="none"/>
              </w:rPr>
            </w:pPr>
            <w:r>
              <w:rPr>
                <w:sz w:val="21"/>
                <w:szCs w:val="21"/>
                <w:highlight w:val="none"/>
              </w:rPr>
              <w:t>量程</w:t>
            </w:r>
            <w:r>
              <w:rPr>
                <w:rFonts w:hint="eastAsia"/>
                <w:sz w:val="21"/>
                <w:szCs w:val="21"/>
                <w:highlight w:val="none"/>
              </w:rPr>
              <w:t>：0～400.0 ug/L</w:t>
            </w:r>
          </w:p>
          <w:p w14:paraId="5857E7DE">
            <w:pPr>
              <w:spacing w:line="240" w:lineRule="auto"/>
              <w:ind w:firstLine="0" w:firstLineChars="0"/>
              <w:rPr>
                <w:rFonts w:hint="default" w:ascii="宋体" w:hAnsi="宋体" w:eastAsia="宋体" w:cs="宋体"/>
                <w:color w:val="auto"/>
                <w:kern w:val="2"/>
                <w:sz w:val="21"/>
                <w:szCs w:val="21"/>
                <w:highlight w:val="none"/>
                <w:vertAlign w:val="baseline"/>
                <w:lang w:val="en-US" w:eastAsia="zh-CN" w:bidi="ar-SA"/>
              </w:rPr>
            </w:pPr>
            <w:r>
              <w:rPr>
                <w:sz w:val="21"/>
                <w:szCs w:val="21"/>
                <w:highlight w:val="none"/>
              </w:rPr>
              <w:t>精度</w:t>
            </w:r>
            <w:r>
              <w:rPr>
                <w:rFonts w:hint="eastAsia"/>
                <w:sz w:val="21"/>
                <w:szCs w:val="21"/>
                <w:highlight w:val="none"/>
              </w:rPr>
              <w:t>：读数的±3%，±0.3℃，线性0.999R2</w:t>
            </w:r>
          </w:p>
        </w:tc>
        <w:tc>
          <w:tcPr>
            <w:tcW w:w="1616" w:type="pct"/>
            <w:shd w:val="clear" w:color="auto" w:fill="auto"/>
            <w:vAlign w:val="center"/>
          </w:tcPr>
          <w:p w14:paraId="11F30B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highlight w:val="none"/>
              </w:rPr>
            </w:pPr>
            <w:r>
              <w:rPr>
                <w:highlight w:val="none"/>
              </w:rPr>
              <w:drawing>
                <wp:inline distT="0" distB="0" distL="114300" distR="114300">
                  <wp:extent cx="375920" cy="1379855"/>
                  <wp:effectExtent l="19050" t="254635" r="18415" b="26860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6"/>
                          <a:stretch>
                            <a:fillRect/>
                          </a:stretch>
                        </pic:blipFill>
                        <pic:spPr>
                          <a:xfrm rot="4020000">
                            <a:off x="0" y="0"/>
                            <a:ext cx="375920" cy="1379855"/>
                          </a:xfrm>
                          <a:prstGeom prst="rect">
                            <a:avLst/>
                          </a:prstGeom>
                          <a:noFill/>
                          <a:ln>
                            <a:noFill/>
                          </a:ln>
                        </pic:spPr>
                      </pic:pic>
                    </a:graphicData>
                  </a:graphic>
                </wp:inline>
              </w:drawing>
            </w:r>
          </w:p>
        </w:tc>
      </w:tr>
      <w:tr w14:paraId="0BC1688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78" w:hRule="atLeast"/>
        </w:trPr>
        <w:tc>
          <w:tcPr>
            <w:tcW w:w="927" w:type="pct"/>
            <w:shd w:val="clear" w:color="auto" w:fill="auto"/>
            <w:vAlign w:val="center"/>
          </w:tcPr>
          <w:p w14:paraId="5D0D5D71">
            <w:pPr>
              <w:spacing w:line="240" w:lineRule="auto"/>
              <w:ind w:firstLine="0" w:firstLineChars="0"/>
              <w:jc w:val="center"/>
              <w:rPr>
                <w:rFonts w:hint="eastAsia"/>
                <w:color w:val="auto"/>
                <w:sz w:val="21"/>
                <w:szCs w:val="21"/>
                <w:highlight w:val="none"/>
                <w:vertAlign w:val="baseline"/>
                <w:lang w:val="en-US" w:eastAsia="zh-CN"/>
              </w:rPr>
            </w:pPr>
            <w:r>
              <w:rPr>
                <w:rFonts w:hint="eastAsia"/>
                <w:color w:val="auto"/>
                <w:sz w:val="21"/>
                <w:szCs w:val="21"/>
                <w:highlight w:val="none"/>
                <w:lang w:val="en-US" w:eastAsia="zh-CN"/>
              </w:rPr>
              <w:t>在线蓝绿藻传感器</w:t>
            </w:r>
          </w:p>
        </w:tc>
        <w:tc>
          <w:tcPr>
            <w:tcW w:w="2456" w:type="pct"/>
            <w:shd w:val="clear" w:color="auto" w:fill="auto"/>
            <w:vAlign w:val="center"/>
          </w:tcPr>
          <w:p w14:paraId="46BC8D45">
            <w:pPr>
              <w:spacing w:line="240" w:lineRule="auto"/>
              <w:ind w:firstLine="0" w:firstLineChars="0"/>
              <w:rPr>
                <w:rFonts w:hint="eastAsia"/>
                <w:sz w:val="21"/>
                <w:szCs w:val="21"/>
                <w:highlight w:val="none"/>
              </w:rPr>
            </w:pPr>
            <w:r>
              <w:rPr>
                <w:sz w:val="21"/>
                <w:szCs w:val="21"/>
                <w:highlight w:val="none"/>
              </w:rPr>
              <w:t>原理</w:t>
            </w:r>
            <w:r>
              <w:rPr>
                <w:rFonts w:hint="eastAsia"/>
                <w:sz w:val="21"/>
                <w:szCs w:val="21"/>
                <w:highlight w:val="none"/>
              </w:rPr>
              <w:t>：</w:t>
            </w:r>
            <w:r>
              <w:rPr>
                <w:rFonts w:hint="eastAsia"/>
                <w:sz w:val="21"/>
                <w:szCs w:val="21"/>
                <w:highlight w:val="none"/>
                <w:lang w:val="en-US" w:eastAsia="zh-CN"/>
              </w:rPr>
              <w:t>荧光法</w:t>
            </w:r>
          </w:p>
          <w:p w14:paraId="79B276AD">
            <w:pPr>
              <w:spacing w:line="240" w:lineRule="auto"/>
              <w:ind w:firstLine="0" w:firstLineChars="0"/>
              <w:rPr>
                <w:rFonts w:hint="eastAsia"/>
                <w:sz w:val="21"/>
                <w:szCs w:val="21"/>
                <w:highlight w:val="none"/>
              </w:rPr>
            </w:pPr>
            <w:r>
              <w:rPr>
                <w:sz w:val="21"/>
                <w:szCs w:val="21"/>
                <w:highlight w:val="none"/>
              </w:rPr>
              <w:t>量程</w:t>
            </w:r>
            <w:r>
              <w:rPr>
                <w:rFonts w:hint="eastAsia"/>
                <w:sz w:val="21"/>
                <w:szCs w:val="21"/>
                <w:highlight w:val="none"/>
              </w:rPr>
              <w:t>：0～300.0 Kcells/mL</w:t>
            </w:r>
          </w:p>
          <w:p w14:paraId="14D40C30">
            <w:pPr>
              <w:spacing w:line="240" w:lineRule="auto"/>
              <w:ind w:firstLine="0" w:firstLineChars="0"/>
              <w:rPr>
                <w:rFonts w:hint="default" w:ascii="宋体" w:hAnsi="宋体" w:eastAsia="宋体" w:cs="宋体"/>
                <w:color w:val="auto"/>
                <w:kern w:val="2"/>
                <w:sz w:val="21"/>
                <w:szCs w:val="21"/>
                <w:highlight w:val="none"/>
                <w:vertAlign w:val="baseline"/>
                <w:lang w:val="en-US" w:eastAsia="zh-CN" w:bidi="ar-SA"/>
              </w:rPr>
            </w:pPr>
            <w:r>
              <w:rPr>
                <w:sz w:val="21"/>
                <w:szCs w:val="21"/>
                <w:highlight w:val="none"/>
              </w:rPr>
              <w:t>精度</w:t>
            </w:r>
            <w:r>
              <w:rPr>
                <w:rFonts w:hint="eastAsia"/>
                <w:sz w:val="21"/>
                <w:szCs w:val="21"/>
                <w:highlight w:val="none"/>
              </w:rPr>
              <w:t>：读数的±3%，±0.3℃，线性：0.999R2</w:t>
            </w:r>
          </w:p>
        </w:tc>
        <w:tc>
          <w:tcPr>
            <w:tcW w:w="1616" w:type="pct"/>
            <w:shd w:val="clear" w:color="auto" w:fill="auto"/>
            <w:vAlign w:val="center"/>
          </w:tcPr>
          <w:p w14:paraId="0E2D0D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highlight w:val="none"/>
              </w:rPr>
            </w:pPr>
            <w:r>
              <w:rPr>
                <w:highlight w:val="none"/>
              </w:rPr>
              <w:drawing>
                <wp:inline distT="0" distB="0" distL="114300" distR="114300">
                  <wp:extent cx="375285" cy="1377315"/>
                  <wp:effectExtent l="18415" t="254000" r="21590" b="25463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6"/>
                          <a:stretch>
                            <a:fillRect/>
                          </a:stretch>
                        </pic:blipFill>
                        <pic:spPr>
                          <a:xfrm rot="4020000">
                            <a:off x="0" y="0"/>
                            <a:ext cx="375285" cy="1377315"/>
                          </a:xfrm>
                          <a:prstGeom prst="rect">
                            <a:avLst/>
                          </a:prstGeom>
                          <a:noFill/>
                          <a:ln>
                            <a:noFill/>
                          </a:ln>
                        </pic:spPr>
                      </pic:pic>
                    </a:graphicData>
                  </a:graphic>
                </wp:inline>
              </w:drawing>
            </w:r>
          </w:p>
        </w:tc>
      </w:tr>
      <w:tr w14:paraId="22B2EEE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78" w:hRule="atLeast"/>
        </w:trPr>
        <w:tc>
          <w:tcPr>
            <w:tcW w:w="927" w:type="pct"/>
            <w:shd w:val="clear" w:color="auto" w:fill="auto"/>
            <w:vAlign w:val="center"/>
          </w:tcPr>
          <w:p w14:paraId="395F25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雷达流量计</w:t>
            </w:r>
          </w:p>
        </w:tc>
        <w:tc>
          <w:tcPr>
            <w:tcW w:w="2456" w:type="pct"/>
            <w:shd w:val="clear" w:color="auto" w:fill="auto"/>
            <w:vAlign w:val="center"/>
          </w:tcPr>
          <w:p w14:paraId="39158B13">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color w:val="auto"/>
                <w:sz w:val="21"/>
                <w:szCs w:val="21"/>
                <w:highlight w:val="none"/>
                <w:vertAlign w:val="baseline"/>
                <w:lang w:val="en-US" w:eastAsia="zh-CN"/>
              </w:rPr>
            </w:pPr>
            <w:r>
              <w:rPr>
                <w:rFonts w:hint="default"/>
                <w:color w:val="auto"/>
                <w:sz w:val="21"/>
                <w:szCs w:val="21"/>
                <w:highlight w:val="none"/>
                <w:vertAlign w:val="baseline"/>
                <w:lang w:val="en-US" w:eastAsia="zh-CN"/>
              </w:rPr>
              <w:t>测速范围</w:t>
            </w:r>
            <w:r>
              <w:rPr>
                <w:rFonts w:hint="eastAsia"/>
                <w:color w:val="auto"/>
                <w:sz w:val="21"/>
                <w:szCs w:val="21"/>
                <w:highlight w:val="none"/>
                <w:vertAlign w:val="baseline"/>
                <w:lang w:val="en-US" w:eastAsia="zh-CN"/>
              </w:rPr>
              <w:t>：</w:t>
            </w:r>
            <w:r>
              <w:rPr>
                <w:rFonts w:hint="default"/>
                <w:color w:val="auto"/>
                <w:sz w:val="21"/>
                <w:szCs w:val="21"/>
                <w:highlight w:val="none"/>
                <w:vertAlign w:val="baseline"/>
                <w:lang w:val="en-US" w:eastAsia="zh-CN"/>
              </w:rPr>
              <w:t>0.1～15m/s</w:t>
            </w:r>
          </w:p>
          <w:p w14:paraId="79A556C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color w:val="auto"/>
                <w:sz w:val="21"/>
                <w:szCs w:val="21"/>
                <w:highlight w:val="none"/>
                <w:vertAlign w:val="baseline"/>
                <w:lang w:val="en-US" w:eastAsia="zh-CN"/>
              </w:rPr>
            </w:pPr>
            <w:r>
              <w:rPr>
                <w:rFonts w:hint="default"/>
                <w:color w:val="auto"/>
                <w:sz w:val="21"/>
                <w:szCs w:val="21"/>
                <w:highlight w:val="none"/>
                <w:vertAlign w:val="baseline"/>
                <w:lang w:val="en-US" w:eastAsia="zh-CN"/>
              </w:rPr>
              <w:t>测距量程</w:t>
            </w:r>
            <w:r>
              <w:rPr>
                <w:rFonts w:hint="eastAsia"/>
                <w:color w:val="auto"/>
                <w:sz w:val="21"/>
                <w:szCs w:val="21"/>
                <w:highlight w:val="none"/>
                <w:vertAlign w:val="baseline"/>
                <w:lang w:val="en-US" w:eastAsia="zh-CN"/>
              </w:rPr>
              <w:t>：</w:t>
            </w:r>
            <w:r>
              <w:rPr>
                <w:rFonts w:hint="default"/>
                <w:color w:val="auto"/>
                <w:sz w:val="21"/>
                <w:szCs w:val="21"/>
                <w:highlight w:val="none"/>
                <w:vertAlign w:val="baseline"/>
                <w:lang w:val="en-US" w:eastAsia="zh-CN"/>
              </w:rPr>
              <w:t>0.1～50m</w:t>
            </w:r>
          </w:p>
          <w:p w14:paraId="1F990AA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color w:val="auto"/>
                <w:kern w:val="2"/>
                <w:sz w:val="21"/>
                <w:szCs w:val="21"/>
                <w:highlight w:val="none"/>
                <w:vertAlign w:val="baseline"/>
                <w:lang w:val="en-US" w:eastAsia="zh-CN" w:bidi="ar-SA"/>
              </w:rPr>
            </w:pPr>
            <w:r>
              <w:rPr>
                <w:rFonts w:hint="default"/>
                <w:color w:val="auto"/>
                <w:sz w:val="21"/>
                <w:szCs w:val="21"/>
                <w:highlight w:val="none"/>
                <w:vertAlign w:val="baseline"/>
                <w:lang w:val="en-US" w:eastAsia="zh-CN"/>
              </w:rPr>
              <w:t>测距天线波束角</w:t>
            </w:r>
            <w:r>
              <w:rPr>
                <w:rFonts w:hint="eastAsia"/>
                <w:color w:val="auto"/>
                <w:sz w:val="21"/>
                <w:szCs w:val="21"/>
                <w:highlight w:val="none"/>
                <w:vertAlign w:val="baseline"/>
                <w:lang w:val="en-US" w:eastAsia="zh-CN"/>
              </w:rPr>
              <w:t>：</w:t>
            </w:r>
            <w:r>
              <w:rPr>
                <w:rFonts w:hint="default"/>
                <w:color w:val="auto"/>
                <w:sz w:val="21"/>
                <w:szCs w:val="21"/>
                <w:highlight w:val="none"/>
                <w:vertAlign w:val="baseline"/>
                <w:lang w:val="en-US" w:eastAsia="zh-CN"/>
              </w:rPr>
              <w:t>水平角±8 ° ; 俯仰角±10 °</w:t>
            </w:r>
          </w:p>
        </w:tc>
        <w:tc>
          <w:tcPr>
            <w:tcW w:w="1616" w:type="pct"/>
            <w:shd w:val="clear" w:color="auto" w:fill="auto"/>
            <w:vAlign w:val="center"/>
          </w:tcPr>
          <w:p w14:paraId="4A4317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2"/>
                <w:sz w:val="24"/>
                <w:szCs w:val="24"/>
                <w:highlight w:val="none"/>
                <w:lang w:val="en-US" w:eastAsia="zh-CN" w:bidi="ar-SA"/>
              </w:rPr>
            </w:pPr>
            <w:r>
              <w:rPr>
                <w:highlight w:val="none"/>
              </w:rPr>
              <w:drawing>
                <wp:inline distT="0" distB="0" distL="114300" distR="114300">
                  <wp:extent cx="1047115" cy="732155"/>
                  <wp:effectExtent l="0" t="0" r="4445" b="14605"/>
                  <wp:docPr id="77" name="图片 14" descr="微信图片_2024083009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4" descr="微信图片_20240830091444"/>
                          <pic:cNvPicPr>
                            <a:picLocks noChangeAspect="1"/>
                          </pic:cNvPicPr>
                        </pic:nvPicPr>
                        <pic:blipFill>
                          <a:blip r:embed="rId21"/>
                          <a:stretch>
                            <a:fillRect/>
                          </a:stretch>
                        </pic:blipFill>
                        <pic:spPr>
                          <a:xfrm>
                            <a:off x="0" y="0"/>
                            <a:ext cx="1047115" cy="732155"/>
                          </a:xfrm>
                          <a:prstGeom prst="rect">
                            <a:avLst/>
                          </a:prstGeom>
                          <a:noFill/>
                          <a:ln>
                            <a:noFill/>
                          </a:ln>
                        </pic:spPr>
                      </pic:pic>
                    </a:graphicData>
                  </a:graphic>
                </wp:inline>
              </w:drawing>
            </w:r>
          </w:p>
        </w:tc>
      </w:tr>
      <w:tr w14:paraId="64E5580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8" w:hRule="atLeast"/>
        </w:trPr>
        <w:tc>
          <w:tcPr>
            <w:tcW w:w="927" w:type="pct"/>
            <w:shd w:val="clear" w:color="auto" w:fill="auto"/>
            <w:vAlign w:val="center"/>
          </w:tcPr>
          <w:p w14:paraId="35AB6C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雷达水位计</w:t>
            </w:r>
          </w:p>
        </w:tc>
        <w:tc>
          <w:tcPr>
            <w:tcW w:w="2456" w:type="pct"/>
            <w:shd w:val="clear" w:color="auto" w:fill="auto"/>
            <w:vAlign w:val="center"/>
          </w:tcPr>
          <w:p w14:paraId="53837AB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color w:val="auto"/>
                <w:sz w:val="21"/>
                <w:szCs w:val="21"/>
                <w:highlight w:val="none"/>
                <w:vertAlign w:val="baseline"/>
                <w:lang w:val="en-US" w:eastAsia="zh-CN"/>
              </w:rPr>
            </w:pPr>
            <w:r>
              <w:rPr>
                <w:rFonts w:hint="default"/>
                <w:color w:val="auto"/>
                <w:sz w:val="21"/>
                <w:szCs w:val="21"/>
                <w:highlight w:val="none"/>
                <w:vertAlign w:val="baseline"/>
                <w:lang w:val="en-US" w:eastAsia="zh-CN"/>
              </w:rPr>
              <w:t>测量范围：0.1m～65m</w:t>
            </w:r>
          </w:p>
          <w:p w14:paraId="3C12BF3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color w:val="auto"/>
                <w:sz w:val="21"/>
                <w:szCs w:val="21"/>
                <w:highlight w:val="none"/>
                <w:vertAlign w:val="baseline"/>
                <w:lang w:val="en-US" w:eastAsia="zh-CN"/>
              </w:rPr>
            </w:pPr>
            <w:r>
              <w:rPr>
                <w:rFonts w:hint="default"/>
                <w:color w:val="auto"/>
                <w:sz w:val="21"/>
                <w:szCs w:val="21"/>
                <w:highlight w:val="none"/>
                <w:vertAlign w:val="baseline"/>
                <w:lang w:val="en-US" w:eastAsia="zh-CN"/>
              </w:rPr>
              <w:t>测量精度：±1mm</w:t>
            </w:r>
          </w:p>
          <w:p w14:paraId="5A3FAA4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color w:val="auto"/>
                <w:kern w:val="2"/>
                <w:sz w:val="21"/>
                <w:szCs w:val="21"/>
                <w:highlight w:val="none"/>
                <w:vertAlign w:val="baseline"/>
                <w:lang w:val="en-US" w:eastAsia="zh-CN" w:bidi="ar-SA"/>
              </w:rPr>
            </w:pPr>
            <w:r>
              <w:rPr>
                <w:rFonts w:hint="default"/>
                <w:color w:val="auto"/>
                <w:sz w:val="21"/>
                <w:szCs w:val="21"/>
                <w:highlight w:val="none"/>
                <w:vertAlign w:val="baseline"/>
                <w:lang w:val="en-US" w:eastAsia="zh-CN"/>
              </w:rPr>
              <w:t>波束角度：6°</w:t>
            </w:r>
          </w:p>
        </w:tc>
        <w:tc>
          <w:tcPr>
            <w:tcW w:w="1616" w:type="pct"/>
            <w:shd w:val="clear" w:color="auto" w:fill="auto"/>
            <w:vAlign w:val="center"/>
          </w:tcPr>
          <w:p w14:paraId="1C9DC1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b/>
                <w:kern w:val="2"/>
                <w:sz w:val="28"/>
                <w:szCs w:val="28"/>
                <w:highlight w:val="none"/>
                <w:lang w:val="en-US" w:eastAsia="zh-CN" w:bidi="ar-SA"/>
              </w:rPr>
            </w:pPr>
            <w:r>
              <w:rPr>
                <w:rFonts w:hint="eastAsia" w:ascii="Times New Roman" w:hAnsi="Times New Roman" w:eastAsia="宋体"/>
                <w:highlight w:val="none"/>
                <w:lang w:eastAsia="zh-CN"/>
              </w:rPr>
              <w:drawing>
                <wp:inline distT="0" distB="0" distL="114300" distR="114300">
                  <wp:extent cx="586105" cy="593725"/>
                  <wp:effectExtent l="0" t="0" r="8255" b="635"/>
                  <wp:docPr id="78" name="图片 15" descr="微信图片_20240817103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5" descr="微信图片_20240817103716"/>
                          <pic:cNvPicPr>
                            <a:picLocks noChangeAspect="1"/>
                          </pic:cNvPicPr>
                        </pic:nvPicPr>
                        <pic:blipFill>
                          <a:blip r:embed="rId22"/>
                          <a:stretch>
                            <a:fillRect/>
                          </a:stretch>
                        </pic:blipFill>
                        <pic:spPr>
                          <a:xfrm>
                            <a:off x="0" y="0"/>
                            <a:ext cx="586105" cy="593725"/>
                          </a:xfrm>
                          <a:prstGeom prst="rect">
                            <a:avLst/>
                          </a:prstGeom>
                          <a:noFill/>
                          <a:ln>
                            <a:noFill/>
                          </a:ln>
                        </pic:spPr>
                      </pic:pic>
                    </a:graphicData>
                  </a:graphic>
                </wp:inline>
              </w:drawing>
            </w:r>
          </w:p>
        </w:tc>
      </w:tr>
      <w:tr w14:paraId="6B3F955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8" w:hRule="atLeast"/>
        </w:trPr>
        <w:tc>
          <w:tcPr>
            <w:tcW w:w="927" w:type="pct"/>
            <w:shd w:val="clear" w:color="auto" w:fill="auto"/>
            <w:vAlign w:val="center"/>
          </w:tcPr>
          <w:p w14:paraId="3CAA7686">
            <w:pPr>
              <w:spacing w:line="240" w:lineRule="auto"/>
              <w:ind w:firstLine="0" w:firstLineChars="0"/>
              <w:jc w:val="center"/>
              <w:rPr>
                <w:rFonts w:hint="eastAsia"/>
                <w:color w:val="auto"/>
                <w:sz w:val="21"/>
                <w:szCs w:val="21"/>
                <w:highlight w:val="none"/>
                <w:vertAlign w:val="baseline"/>
                <w:lang w:val="en-US" w:eastAsia="zh-CN"/>
              </w:rPr>
            </w:pPr>
            <w:r>
              <w:rPr>
                <w:rFonts w:hint="eastAsia"/>
                <w:sz w:val="21"/>
                <w:szCs w:val="21"/>
                <w:highlight w:val="none"/>
              </w:rPr>
              <w:t>便携式多参数分析仪</w:t>
            </w:r>
          </w:p>
        </w:tc>
        <w:tc>
          <w:tcPr>
            <w:tcW w:w="2456" w:type="pct"/>
            <w:shd w:val="clear" w:color="auto" w:fill="auto"/>
            <w:vAlign w:val="center"/>
          </w:tcPr>
          <w:p w14:paraId="0BBA2567">
            <w:pPr>
              <w:spacing w:line="240" w:lineRule="auto"/>
              <w:ind w:firstLine="0" w:firstLineChars="0"/>
              <w:rPr>
                <w:rFonts w:hint="eastAsia"/>
                <w:sz w:val="21"/>
                <w:szCs w:val="21"/>
                <w:highlight w:val="none"/>
              </w:rPr>
            </w:pPr>
            <w:r>
              <w:rPr>
                <w:rFonts w:hint="eastAsia"/>
                <w:sz w:val="21"/>
                <w:szCs w:val="21"/>
                <w:highlight w:val="none"/>
              </w:rPr>
              <w:t>检测参数：COD、 高锰酸盐指数、氨氮、总磷、总氮、硝酸盐氮、亚硝酸盐氮、磷酸盐、硫酸盐、亚硫酸盐、硫化物、余氯、重金属（铜镍锌锰）等</w:t>
            </w:r>
          </w:p>
          <w:p w14:paraId="09E83512">
            <w:pPr>
              <w:spacing w:line="240" w:lineRule="auto"/>
              <w:ind w:firstLine="0" w:firstLineChars="0"/>
              <w:jc w:val="left"/>
              <w:rPr>
                <w:rFonts w:hint="eastAsia"/>
                <w:sz w:val="21"/>
                <w:szCs w:val="21"/>
                <w:highlight w:val="none"/>
              </w:rPr>
            </w:pPr>
            <w:r>
              <w:rPr>
                <w:rFonts w:hint="eastAsia"/>
                <w:sz w:val="21"/>
                <w:szCs w:val="21"/>
                <w:highlight w:val="none"/>
              </w:rPr>
              <w:t>工作波长范围：420nm 520nm，580nm，610nm；波长半宽度：5±2（nm）；</w:t>
            </w:r>
          </w:p>
          <w:p w14:paraId="3A3F858E">
            <w:pPr>
              <w:spacing w:line="240" w:lineRule="auto"/>
              <w:ind w:firstLine="0" w:firstLineChars="0"/>
              <w:jc w:val="left"/>
              <w:rPr>
                <w:rFonts w:hint="eastAsia"/>
                <w:sz w:val="21"/>
                <w:szCs w:val="21"/>
                <w:highlight w:val="none"/>
              </w:rPr>
            </w:pPr>
            <w:r>
              <w:rPr>
                <w:rFonts w:hint="eastAsia"/>
                <w:sz w:val="21"/>
                <w:szCs w:val="21"/>
                <w:highlight w:val="none"/>
              </w:rPr>
              <w:t>仪器的检测范围：吸光度值0.000-3.000；</w:t>
            </w:r>
          </w:p>
          <w:p w14:paraId="27861F71">
            <w:pPr>
              <w:spacing w:line="240" w:lineRule="auto"/>
              <w:ind w:firstLine="0" w:firstLineChars="0"/>
              <w:jc w:val="left"/>
              <w:rPr>
                <w:rFonts w:hint="eastAsia"/>
                <w:sz w:val="21"/>
                <w:szCs w:val="21"/>
                <w:highlight w:val="none"/>
              </w:rPr>
            </w:pPr>
            <w:r>
              <w:rPr>
                <w:rFonts w:hint="eastAsia"/>
                <w:sz w:val="21"/>
                <w:szCs w:val="21"/>
                <w:highlight w:val="none"/>
              </w:rPr>
              <w:t>光源灯：冷光源；</w:t>
            </w:r>
          </w:p>
          <w:p w14:paraId="350FF66B">
            <w:pPr>
              <w:spacing w:line="240" w:lineRule="auto"/>
              <w:ind w:firstLine="0" w:firstLineChars="0"/>
              <w:jc w:val="left"/>
              <w:rPr>
                <w:rFonts w:hint="default"/>
                <w:color w:val="auto"/>
                <w:sz w:val="21"/>
                <w:szCs w:val="21"/>
                <w:highlight w:val="none"/>
                <w:vertAlign w:val="baseline"/>
                <w:lang w:val="en-US" w:eastAsia="zh-CN"/>
              </w:rPr>
            </w:pPr>
            <w:r>
              <w:rPr>
                <w:rFonts w:hint="eastAsia"/>
                <w:sz w:val="21"/>
                <w:szCs w:val="21"/>
                <w:highlight w:val="none"/>
              </w:rPr>
              <w:t>分辨率：0.001；</w:t>
            </w:r>
          </w:p>
        </w:tc>
        <w:tc>
          <w:tcPr>
            <w:tcW w:w="1616" w:type="pct"/>
            <w:shd w:val="clear" w:color="auto" w:fill="auto"/>
            <w:vAlign w:val="center"/>
          </w:tcPr>
          <w:p w14:paraId="254D6517">
            <w:pPr>
              <w:autoSpaceDE w:val="0"/>
              <w:spacing w:beforeAutospacing="1" w:afterAutospacing="1"/>
              <w:ind w:firstLine="0" w:firstLineChars="0"/>
              <w:jc w:val="center"/>
              <w:rPr>
                <w:rFonts w:hint="eastAsia" w:ascii="Times New Roman" w:hAnsi="Times New Roman" w:eastAsia="宋体"/>
                <w:highlight w:val="none"/>
                <w:lang w:eastAsia="zh-CN"/>
              </w:rPr>
            </w:pPr>
            <w:r>
              <w:rPr>
                <w:rFonts w:hint="eastAsia"/>
                <w:sz w:val="28"/>
                <w:szCs w:val="28"/>
                <w:highlight w:val="none"/>
                <w:lang w:bidi="ar"/>
              </w:rPr>
              <w:drawing>
                <wp:inline distT="0" distB="0" distL="114300" distR="114300">
                  <wp:extent cx="828675" cy="1152525"/>
                  <wp:effectExtent l="0" t="0" r="9525" b="5715"/>
                  <wp:docPr id="1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IMG_256"/>
                          <pic:cNvPicPr>
                            <a:picLocks noChangeAspect="1"/>
                          </pic:cNvPicPr>
                        </pic:nvPicPr>
                        <pic:blipFill>
                          <a:blip r:embed="rId23"/>
                          <a:stretch>
                            <a:fillRect/>
                          </a:stretch>
                        </pic:blipFill>
                        <pic:spPr>
                          <a:xfrm>
                            <a:off x="0" y="0"/>
                            <a:ext cx="828675" cy="1152525"/>
                          </a:xfrm>
                          <a:prstGeom prst="rect">
                            <a:avLst/>
                          </a:prstGeom>
                          <a:noFill/>
                          <a:ln w="9525">
                            <a:noFill/>
                          </a:ln>
                        </pic:spPr>
                      </pic:pic>
                    </a:graphicData>
                  </a:graphic>
                </wp:inline>
              </w:drawing>
            </w:r>
          </w:p>
        </w:tc>
      </w:tr>
      <w:tr w14:paraId="61C135D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8" w:hRule="atLeast"/>
        </w:trPr>
        <w:tc>
          <w:tcPr>
            <w:tcW w:w="927" w:type="pct"/>
            <w:shd w:val="clear" w:color="auto" w:fill="auto"/>
            <w:vAlign w:val="center"/>
          </w:tcPr>
          <w:p w14:paraId="3DFE0589">
            <w:pPr>
              <w:spacing w:line="240" w:lineRule="auto"/>
              <w:ind w:firstLine="0" w:firstLineChars="0"/>
              <w:jc w:val="center"/>
              <w:rPr>
                <w:rFonts w:hint="eastAsia"/>
                <w:sz w:val="21"/>
                <w:szCs w:val="21"/>
                <w:highlight w:val="none"/>
              </w:rPr>
            </w:pPr>
            <w:r>
              <w:rPr>
                <w:rFonts w:hint="eastAsia"/>
                <w:sz w:val="21"/>
                <w:szCs w:val="21"/>
                <w:highlight w:val="none"/>
                <w:lang w:val="en-US" w:eastAsia="zh-CN"/>
              </w:rPr>
              <w:t>手持</w:t>
            </w:r>
            <w:r>
              <w:rPr>
                <w:rFonts w:hint="eastAsia"/>
                <w:sz w:val="21"/>
                <w:szCs w:val="21"/>
                <w:highlight w:val="none"/>
              </w:rPr>
              <w:t>式多参数检测仪</w:t>
            </w:r>
          </w:p>
        </w:tc>
        <w:tc>
          <w:tcPr>
            <w:tcW w:w="2456" w:type="pct"/>
            <w:shd w:val="clear" w:color="auto" w:fill="auto"/>
            <w:vAlign w:val="center"/>
          </w:tcPr>
          <w:p w14:paraId="3DA4B2F3">
            <w:pPr>
              <w:spacing w:line="240" w:lineRule="auto"/>
              <w:ind w:firstLine="0" w:firstLineChars="0"/>
              <w:jc w:val="left"/>
              <w:rPr>
                <w:rFonts w:hint="eastAsia"/>
                <w:sz w:val="21"/>
                <w:szCs w:val="21"/>
                <w:highlight w:val="none"/>
              </w:rPr>
            </w:pPr>
            <w:r>
              <w:rPr>
                <w:rFonts w:hint="eastAsia"/>
                <w:sz w:val="21"/>
                <w:szCs w:val="21"/>
                <w:highlight w:val="none"/>
              </w:rPr>
              <w:t>显示：3.3 英寸单色液晶显示屏</w:t>
            </w:r>
          </w:p>
          <w:p w14:paraId="01C07629">
            <w:pPr>
              <w:spacing w:line="240" w:lineRule="auto"/>
              <w:ind w:firstLine="0" w:firstLineChars="0"/>
              <w:jc w:val="left"/>
              <w:rPr>
                <w:rFonts w:hint="eastAsia"/>
                <w:sz w:val="21"/>
                <w:szCs w:val="21"/>
                <w:highlight w:val="none"/>
              </w:rPr>
            </w:pPr>
            <w:r>
              <w:rPr>
                <w:rFonts w:hint="eastAsia"/>
                <w:sz w:val="21"/>
                <w:szCs w:val="21"/>
                <w:highlight w:val="none"/>
              </w:rPr>
              <w:t>外形尺寸：200mm*101mm*36mm</w:t>
            </w:r>
          </w:p>
          <w:p w14:paraId="614D9EFE">
            <w:pPr>
              <w:spacing w:line="240" w:lineRule="auto"/>
              <w:ind w:firstLine="0" w:firstLineChars="0"/>
              <w:jc w:val="left"/>
              <w:rPr>
                <w:rFonts w:hint="eastAsia"/>
                <w:sz w:val="21"/>
                <w:szCs w:val="21"/>
                <w:highlight w:val="none"/>
              </w:rPr>
            </w:pPr>
            <w:r>
              <w:rPr>
                <w:rFonts w:hint="eastAsia"/>
                <w:sz w:val="21"/>
                <w:szCs w:val="21"/>
                <w:highlight w:val="none"/>
              </w:rPr>
              <w:t>防护等级：IP67</w:t>
            </w:r>
          </w:p>
          <w:p w14:paraId="013D73D8">
            <w:pPr>
              <w:spacing w:line="240" w:lineRule="auto"/>
              <w:ind w:firstLine="0" w:firstLineChars="0"/>
              <w:jc w:val="left"/>
              <w:rPr>
                <w:rFonts w:hint="eastAsia"/>
                <w:sz w:val="21"/>
                <w:szCs w:val="21"/>
                <w:highlight w:val="none"/>
              </w:rPr>
            </w:pPr>
            <w:r>
              <w:rPr>
                <w:rFonts w:hint="eastAsia"/>
                <w:sz w:val="21"/>
                <w:szCs w:val="21"/>
                <w:highlight w:val="none"/>
                <w:lang w:val="en-US" w:eastAsia="zh-CN"/>
              </w:rPr>
              <w:t>连接设备：全系传感器式设备</w:t>
            </w:r>
          </w:p>
        </w:tc>
        <w:tc>
          <w:tcPr>
            <w:tcW w:w="1616" w:type="pct"/>
            <w:shd w:val="clear" w:color="auto" w:fill="auto"/>
            <w:vAlign w:val="center"/>
          </w:tcPr>
          <w:p w14:paraId="1C7E9605">
            <w:pPr>
              <w:autoSpaceDE w:val="0"/>
              <w:spacing w:beforeAutospacing="1" w:afterAutospacing="1"/>
              <w:ind w:firstLine="0" w:firstLineChars="0"/>
              <w:jc w:val="center"/>
              <w:rPr>
                <w:rFonts w:hint="eastAsia"/>
                <w:sz w:val="28"/>
                <w:szCs w:val="28"/>
                <w:highlight w:val="none"/>
                <w:lang w:bidi="ar"/>
              </w:rPr>
            </w:pPr>
            <w:r>
              <w:rPr>
                <w:rFonts w:hint="eastAsia"/>
                <w:sz w:val="28"/>
                <w:szCs w:val="28"/>
                <w:highlight w:val="none"/>
                <w:lang w:bidi="ar"/>
              </w:rPr>
              <w:drawing>
                <wp:inline distT="0" distB="0" distL="114300" distR="114300">
                  <wp:extent cx="613410" cy="1115695"/>
                  <wp:effectExtent l="0" t="0" r="11430" b="12065"/>
                  <wp:docPr id="15" name="图片 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descr="IMG_257"/>
                          <pic:cNvPicPr>
                            <a:picLocks noChangeAspect="1"/>
                          </pic:cNvPicPr>
                        </pic:nvPicPr>
                        <pic:blipFill>
                          <a:blip r:embed="rId24"/>
                          <a:stretch>
                            <a:fillRect/>
                          </a:stretch>
                        </pic:blipFill>
                        <pic:spPr>
                          <a:xfrm>
                            <a:off x="0" y="0"/>
                            <a:ext cx="613410" cy="1115695"/>
                          </a:xfrm>
                          <a:prstGeom prst="rect">
                            <a:avLst/>
                          </a:prstGeom>
                          <a:noFill/>
                          <a:ln w="9525">
                            <a:noFill/>
                          </a:ln>
                        </pic:spPr>
                      </pic:pic>
                    </a:graphicData>
                  </a:graphic>
                </wp:inline>
              </w:drawing>
            </w:r>
          </w:p>
        </w:tc>
      </w:tr>
    </w:tbl>
    <w:p w14:paraId="2A74DB10">
      <w:pPr>
        <w:pStyle w:val="3"/>
        <w:bidi w:val="0"/>
        <w:rPr>
          <w:rFonts w:hint="eastAsia"/>
          <w:color w:val="auto"/>
          <w:highlight w:val="none"/>
          <w:lang w:val="en-US" w:eastAsia="zh-CN"/>
        </w:rPr>
      </w:pPr>
      <w:bookmarkStart w:id="14" w:name="_Toc21015"/>
      <w:bookmarkStart w:id="15" w:name="_Toc7590"/>
      <w:bookmarkStart w:id="16" w:name="_Toc7785"/>
      <w:r>
        <w:rPr>
          <w:rFonts w:hint="eastAsia"/>
          <w:color w:val="auto"/>
          <w:highlight w:val="none"/>
          <w:lang w:val="en-US" w:eastAsia="zh-CN"/>
        </w:rPr>
        <w:t>场景适配性</w:t>
      </w:r>
      <w:bookmarkEnd w:id="14"/>
      <w:bookmarkEnd w:id="15"/>
      <w:bookmarkEnd w:id="16"/>
    </w:p>
    <w:p w14:paraId="3CFB9E1D">
      <w:pPr>
        <w:bidi w:val="0"/>
        <w:rPr>
          <w:rFonts w:hint="eastAsia"/>
          <w:highlight w:val="none"/>
          <w:lang w:val="en-US" w:eastAsia="zh-CN"/>
        </w:rPr>
      </w:pPr>
      <w:r>
        <w:rPr>
          <w:rFonts w:hint="eastAsia"/>
          <w:highlight w:val="none"/>
          <w:lang w:val="en-US" w:eastAsia="zh-CN"/>
        </w:rPr>
        <w:t>本方案围绕水生态监测的系统性、动态性与多学科融合需求，构建多维度监测体系。设备集成生物参数传感器（如叶绿素、蓝绿藻）与水文监测设备（雷达流量计、液位计），支持水质-生态-水文多要素协同监测，满足《水生态监测技术指南》要求的生物完整性指数（B-IBI）评估需求。</w:t>
      </w:r>
    </w:p>
    <w:p w14:paraId="5F67B439">
      <w:pPr>
        <w:bidi w:val="0"/>
        <w:rPr>
          <w:rFonts w:hint="eastAsia"/>
          <w:highlight w:val="none"/>
          <w:lang w:val="en-US" w:eastAsia="zh-CN"/>
        </w:rPr>
      </w:pPr>
      <w:r>
        <w:rPr>
          <w:rFonts w:hint="eastAsia"/>
          <w:highlight w:val="none"/>
          <w:lang w:val="en-US" w:eastAsia="zh-CN"/>
        </w:rPr>
        <w:t>系统采用浮标站、岸边微站等灵活部署方式，适应湖泊、河流、水库等不同水体类型，可实时感知浮游生物群落变化与藻类水华动态。在线监测设备具备抗生物附着、防腐蚀设计，确保在复杂水域环境中长期稳定运行。通过云平台整合生物毒性、底栖动物图像等多源数据，结合生态模型实现蓝藻水华预警、鱼类洄游路径分析等功能，为流域生态修复提供科学依据。</w:t>
      </w:r>
    </w:p>
    <w:p w14:paraId="309EB925">
      <w:pPr>
        <w:bidi w:val="0"/>
        <w:rPr>
          <w:rFonts w:hint="eastAsia"/>
          <w:highlight w:val="none"/>
          <w:lang w:val="en-US" w:eastAsia="zh-CN"/>
        </w:rPr>
      </w:pPr>
      <w:r>
        <w:rPr>
          <w:rFonts w:hint="eastAsia"/>
          <w:highlight w:val="none"/>
          <w:lang w:val="en-US" w:eastAsia="zh-CN"/>
        </w:rPr>
        <w:t>针对水生态响应滞后性特点，方案支持高频次数据采集与历史数据比对，结合AI算法预测生态系统演变趋势。便携式设备可快速开展水生生物多样性调查，补充在线监测盲区。系统还强化跨部门数据共享能力，通过“水质+生态”双指标体系支撑流域生态补偿机制落地，助力实现从污染治理向生态保护的战略转型。</w:t>
      </w:r>
    </w:p>
    <w:p w14:paraId="3AF50DE0">
      <w:pPr>
        <w:bidi w:val="0"/>
        <w:rPr>
          <w:rFonts w:hint="default"/>
          <w:color w:val="auto"/>
          <w:highlight w:val="none"/>
          <w:lang w:val="en-US" w:eastAsia="zh-CN"/>
        </w:rPr>
      </w:pPr>
    </w:p>
    <w:p w14:paraId="7A6B9756">
      <w:pPr>
        <w:pStyle w:val="2"/>
        <w:bidi w:val="0"/>
        <w:rPr>
          <w:rFonts w:hint="eastAsia"/>
          <w:color w:val="auto"/>
          <w:highlight w:val="none"/>
          <w:lang w:val="en-US" w:eastAsia="zh-CN"/>
        </w:rPr>
      </w:pPr>
      <w:bookmarkStart w:id="17" w:name="_Toc27010"/>
      <w:bookmarkStart w:id="18" w:name="_Toc7021"/>
      <w:r>
        <w:rPr>
          <w:rFonts w:hint="eastAsia"/>
          <w:color w:val="auto"/>
          <w:highlight w:val="none"/>
          <w:lang w:val="en-US" w:eastAsia="zh-CN"/>
        </w:rPr>
        <w:t>设备寿命及维护</w:t>
      </w:r>
      <w:bookmarkEnd w:id="17"/>
      <w:bookmarkEnd w:id="18"/>
    </w:p>
    <w:p w14:paraId="31BBC612">
      <w:pPr>
        <w:pStyle w:val="3"/>
        <w:rPr>
          <w:rFonts w:hint="eastAsia"/>
          <w:color w:val="auto"/>
          <w:highlight w:val="none"/>
        </w:rPr>
      </w:pPr>
      <w:bookmarkStart w:id="19" w:name="_Toc26955"/>
      <w:bookmarkStart w:id="20" w:name="_Toc4181"/>
      <w:r>
        <w:rPr>
          <w:rFonts w:hint="eastAsia"/>
          <w:color w:val="auto"/>
          <w:highlight w:val="none"/>
        </w:rPr>
        <w:t>设备寿命周期与维护周期表</w:t>
      </w:r>
      <w:bookmarkEnd w:id="19"/>
      <w:bookmarkEnd w:id="20"/>
    </w:p>
    <w:tbl>
      <w:tblPr>
        <w:tblStyle w:val="19"/>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839"/>
        <w:gridCol w:w="2839"/>
        <w:gridCol w:w="2841"/>
      </w:tblGrid>
      <w:tr w14:paraId="70A4E36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14:paraId="52C899E4">
            <w:pPr>
              <w:spacing w:line="240" w:lineRule="auto"/>
              <w:ind w:firstLine="0" w:firstLineChars="0"/>
              <w:jc w:val="center"/>
              <w:rPr>
                <w:rFonts w:hint="eastAsia"/>
                <w:b/>
                <w:bCs/>
                <w:sz w:val="21"/>
                <w:szCs w:val="21"/>
                <w:highlight w:val="none"/>
              </w:rPr>
            </w:pPr>
            <w:r>
              <w:rPr>
                <w:rFonts w:hint="eastAsia"/>
                <w:b/>
                <w:bCs/>
                <w:sz w:val="21"/>
                <w:szCs w:val="21"/>
                <w:highlight w:val="none"/>
              </w:rPr>
              <w:t>设备名称</w:t>
            </w:r>
          </w:p>
        </w:tc>
        <w:tc>
          <w:tcPr>
            <w:tcW w:w="1666" w:type="pct"/>
            <w:vAlign w:val="center"/>
          </w:tcPr>
          <w:p w14:paraId="2B6525E5">
            <w:pPr>
              <w:spacing w:line="240" w:lineRule="auto"/>
              <w:ind w:firstLine="0" w:firstLineChars="0"/>
              <w:jc w:val="center"/>
              <w:rPr>
                <w:rFonts w:hint="eastAsia"/>
                <w:b/>
                <w:bCs/>
                <w:sz w:val="21"/>
                <w:szCs w:val="21"/>
                <w:highlight w:val="none"/>
              </w:rPr>
            </w:pPr>
            <w:r>
              <w:rPr>
                <w:rFonts w:hint="eastAsia"/>
                <w:b/>
                <w:bCs/>
                <w:sz w:val="21"/>
                <w:szCs w:val="21"/>
                <w:highlight w:val="none"/>
              </w:rPr>
              <w:t>维护周期</w:t>
            </w:r>
          </w:p>
        </w:tc>
        <w:tc>
          <w:tcPr>
            <w:tcW w:w="1667" w:type="pct"/>
            <w:vAlign w:val="center"/>
          </w:tcPr>
          <w:p w14:paraId="4EB2007C">
            <w:pPr>
              <w:spacing w:line="240" w:lineRule="auto"/>
              <w:ind w:firstLine="0" w:firstLineChars="0"/>
              <w:jc w:val="center"/>
              <w:rPr>
                <w:rFonts w:hint="eastAsia"/>
                <w:b/>
                <w:bCs/>
                <w:sz w:val="21"/>
                <w:szCs w:val="21"/>
                <w:highlight w:val="none"/>
              </w:rPr>
            </w:pPr>
            <w:r>
              <w:rPr>
                <w:rFonts w:hint="eastAsia"/>
                <w:b/>
                <w:bCs/>
                <w:sz w:val="21"/>
                <w:szCs w:val="21"/>
                <w:highlight w:val="none"/>
              </w:rPr>
              <w:t>使用寿命</w:t>
            </w:r>
          </w:p>
        </w:tc>
      </w:tr>
      <w:tr w14:paraId="0024CE6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6" w:type="pct"/>
            <w:shd w:val="clear" w:color="auto" w:fill="auto"/>
            <w:vAlign w:val="center"/>
          </w:tcPr>
          <w:p w14:paraId="62C6FBA4">
            <w:pPr>
              <w:widowControl/>
              <w:spacing w:line="240" w:lineRule="auto"/>
              <w:ind w:firstLine="0" w:firstLineChars="0"/>
              <w:jc w:val="center"/>
              <w:textAlignment w:val="center"/>
              <w:rPr>
                <w:rFonts w:hint="eastAsia"/>
                <w:sz w:val="22"/>
                <w:szCs w:val="22"/>
                <w:highlight w:val="none"/>
              </w:rPr>
            </w:pPr>
            <w:r>
              <w:rPr>
                <w:rFonts w:hint="eastAsia"/>
                <w:sz w:val="21"/>
                <w:szCs w:val="21"/>
                <w:highlight w:val="none"/>
              </w:rPr>
              <w:t>在线全光谱多参数传感器</w:t>
            </w:r>
          </w:p>
        </w:tc>
        <w:tc>
          <w:tcPr>
            <w:tcW w:w="1666" w:type="pct"/>
            <w:shd w:val="clear" w:color="auto" w:fill="auto"/>
            <w:vAlign w:val="center"/>
          </w:tcPr>
          <w:p w14:paraId="5A297198">
            <w:pPr>
              <w:widowControl/>
              <w:spacing w:line="240" w:lineRule="auto"/>
              <w:ind w:firstLine="0" w:firstLineChars="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color w:val="000000"/>
                <w:kern w:val="0"/>
                <w:sz w:val="22"/>
                <w:szCs w:val="22"/>
                <w:highlight w:val="none"/>
                <w:lang w:bidi="ar"/>
              </w:rPr>
              <w:t>3-4个月/次</w:t>
            </w:r>
          </w:p>
        </w:tc>
        <w:tc>
          <w:tcPr>
            <w:tcW w:w="1667" w:type="pct"/>
            <w:shd w:val="clear" w:color="auto" w:fill="auto"/>
            <w:vAlign w:val="center"/>
          </w:tcPr>
          <w:p w14:paraId="0BB0DEC0">
            <w:pPr>
              <w:widowControl/>
              <w:spacing w:line="240" w:lineRule="auto"/>
              <w:ind w:firstLine="0" w:firstLineChars="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color w:val="000000"/>
                <w:kern w:val="0"/>
                <w:sz w:val="22"/>
                <w:szCs w:val="22"/>
                <w:highlight w:val="none"/>
                <w:lang w:bidi="ar"/>
              </w:rPr>
              <w:t>2-3年</w:t>
            </w:r>
          </w:p>
        </w:tc>
      </w:tr>
      <w:tr w14:paraId="2D92624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6" w:type="pct"/>
            <w:shd w:val="clear" w:color="auto" w:fill="auto"/>
            <w:vAlign w:val="center"/>
          </w:tcPr>
          <w:p w14:paraId="17FD32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2"/>
                <w:szCs w:val="22"/>
                <w:highlight w:val="none"/>
                <w:lang w:val="en-US" w:eastAsia="zh-CN" w:bidi="ar-SA"/>
              </w:rPr>
            </w:pPr>
            <w:r>
              <w:rPr>
                <w:rFonts w:hint="eastAsia"/>
                <w:sz w:val="22"/>
                <w:szCs w:val="22"/>
                <w:highlight w:val="none"/>
              </w:rPr>
              <w:t>在线PH传感器</w:t>
            </w:r>
          </w:p>
        </w:tc>
        <w:tc>
          <w:tcPr>
            <w:tcW w:w="1666" w:type="pct"/>
            <w:shd w:val="clear" w:color="auto" w:fill="auto"/>
            <w:vAlign w:val="center"/>
          </w:tcPr>
          <w:p w14:paraId="606501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kern w:val="2"/>
                <w:sz w:val="24"/>
                <w:szCs w:val="24"/>
                <w:highlight w:val="none"/>
                <w:lang w:val="en-US" w:eastAsia="zh-CN" w:bidi="ar-SA"/>
              </w:rPr>
            </w:pPr>
            <w:r>
              <w:rPr>
                <w:rFonts w:hint="eastAsia" w:ascii="宋体" w:hAnsi="宋体" w:eastAsia="宋体" w:cs="宋体"/>
                <w:i w:val="0"/>
                <w:iCs w:val="0"/>
                <w:color w:val="000000"/>
                <w:kern w:val="0"/>
                <w:sz w:val="22"/>
                <w:szCs w:val="22"/>
                <w:highlight w:val="none"/>
                <w:u w:val="none"/>
                <w:lang w:val="en-US" w:eastAsia="zh-CN" w:bidi="ar"/>
              </w:rPr>
              <w:t>3-4个月/次</w:t>
            </w:r>
          </w:p>
        </w:tc>
        <w:tc>
          <w:tcPr>
            <w:tcW w:w="1667" w:type="pct"/>
            <w:shd w:val="clear" w:color="auto" w:fill="auto"/>
            <w:vAlign w:val="center"/>
          </w:tcPr>
          <w:p w14:paraId="1EFAB6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kern w:val="2"/>
                <w:sz w:val="24"/>
                <w:szCs w:val="24"/>
                <w:highlight w:val="none"/>
                <w:lang w:val="en-US" w:eastAsia="zh-CN" w:bidi="ar-SA"/>
              </w:rPr>
            </w:pPr>
            <w:r>
              <w:rPr>
                <w:rFonts w:hint="eastAsia" w:ascii="宋体" w:hAnsi="宋体" w:eastAsia="宋体" w:cs="宋体"/>
                <w:i w:val="0"/>
                <w:iCs w:val="0"/>
                <w:color w:val="000000"/>
                <w:kern w:val="0"/>
                <w:sz w:val="22"/>
                <w:szCs w:val="22"/>
                <w:highlight w:val="none"/>
                <w:u w:val="none"/>
                <w:lang w:val="en-US" w:eastAsia="zh-CN" w:bidi="ar"/>
              </w:rPr>
              <w:t>1年</w:t>
            </w:r>
          </w:p>
        </w:tc>
      </w:tr>
      <w:tr w14:paraId="464E2B2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14:paraId="54C2BC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2"/>
                <w:szCs w:val="22"/>
                <w:highlight w:val="none"/>
              </w:rPr>
            </w:pPr>
            <w:r>
              <w:rPr>
                <w:rFonts w:hint="eastAsia"/>
                <w:sz w:val="22"/>
                <w:szCs w:val="22"/>
                <w:highlight w:val="none"/>
              </w:rPr>
              <w:t>在线浊度传感器</w:t>
            </w:r>
          </w:p>
        </w:tc>
        <w:tc>
          <w:tcPr>
            <w:tcW w:w="1666" w:type="pct"/>
            <w:vAlign w:val="center"/>
          </w:tcPr>
          <w:p w14:paraId="1190EB9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1"/>
                <w:szCs w:val="21"/>
                <w:highlight w:val="none"/>
              </w:rPr>
            </w:pPr>
            <w:r>
              <w:rPr>
                <w:rFonts w:hint="eastAsia" w:ascii="宋体" w:hAnsi="宋体" w:eastAsia="宋体" w:cs="宋体"/>
                <w:i w:val="0"/>
                <w:iCs w:val="0"/>
                <w:color w:val="000000"/>
                <w:kern w:val="0"/>
                <w:sz w:val="22"/>
                <w:szCs w:val="22"/>
                <w:highlight w:val="none"/>
                <w:u w:val="none"/>
                <w:lang w:val="en-US" w:eastAsia="zh-CN" w:bidi="ar"/>
              </w:rPr>
              <w:t>3-4个月/次</w:t>
            </w:r>
          </w:p>
        </w:tc>
        <w:tc>
          <w:tcPr>
            <w:tcW w:w="1667" w:type="pct"/>
            <w:vAlign w:val="center"/>
          </w:tcPr>
          <w:p w14:paraId="331EBF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1"/>
                <w:szCs w:val="21"/>
                <w:highlight w:val="none"/>
              </w:rPr>
            </w:pPr>
            <w:r>
              <w:rPr>
                <w:rFonts w:hint="eastAsia" w:ascii="宋体" w:hAnsi="宋体" w:eastAsia="宋体" w:cs="宋体"/>
                <w:i w:val="0"/>
                <w:iCs w:val="0"/>
                <w:color w:val="000000"/>
                <w:kern w:val="0"/>
                <w:sz w:val="22"/>
                <w:szCs w:val="22"/>
                <w:highlight w:val="none"/>
                <w:u w:val="none"/>
                <w:lang w:val="en-US" w:eastAsia="zh-CN" w:bidi="ar"/>
              </w:rPr>
              <w:t>2-3年</w:t>
            </w:r>
          </w:p>
        </w:tc>
      </w:tr>
      <w:tr w14:paraId="1D8C431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shd w:val="clear" w:color="auto" w:fill="auto"/>
            <w:vAlign w:val="center"/>
          </w:tcPr>
          <w:p w14:paraId="21B2CC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2"/>
                <w:szCs w:val="22"/>
                <w:highlight w:val="none"/>
                <w:lang w:val="en-US" w:eastAsia="zh-CN" w:bidi="ar-SA"/>
              </w:rPr>
            </w:pPr>
            <w:r>
              <w:rPr>
                <w:rFonts w:hint="eastAsia"/>
                <w:sz w:val="22"/>
                <w:szCs w:val="22"/>
                <w:highlight w:val="none"/>
              </w:rPr>
              <w:t>在线电导率传感器</w:t>
            </w:r>
          </w:p>
        </w:tc>
        <w:tc>
          <w:tcPr>
            <w:tcW w:w="1666" w:type="pct"/>
            <w:shd w:val="clear" w:color="auto" w:fill="auto"/>
            <w:vAlign w:val="center"/>
          </w:tcPr>
          <w:p w14:paraId="636268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kern w:val="2"/>
                <w:sz w:val="24"/>
                <w:szCs w:val="24"/>
                <w:highlight w:val="none"/>
                <w:lang w:val="en-US" w:eastAsia="zh-CN" w:bidi="ar-SA"/>
              </w:rPr>
            </w:pPr>
            <w:r>
              <w:rPr>
                <w:rFonts w:hint="eastAsia" w:ascii="宋体" w:hAnsi="宋体" w:eastAsia="宋体" w:cs="宋体"/>
                <w:i w:val="0"/>
                <w:iCs w:val="0"/>
                <w:color w:val="000000"/>
                <w:kern w:val="0"/>
                <w:sz w:val="22"/>
                <w:szCs w:val="22"/>
                <w:highlight w:val="none"/>
                <w:u w:val="none"/>
                <w:lang w:val="en-US" w:eastAsia="zh-CN" w:bidi="ar"/>
              </w:rPr>
              <w:t>3-4个月/次</w:t>
            </w:r>
          </w:p>
        </w:tc>
        <w:tc>
          <w:tcPr>
            <w:tcW w:w="1667" w:type="pct"/>
            <w:shd w:val="clear" w:color="auto" w:fill="auto"/>
            <w:vAlign w:val="center"/>
          </w:tcPr>
          <w:p w14:paraId="6A2F74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kern w:val="2"/>
                <w:sz w:val="24"/>
                <w:szCs w:val="24"/>
                <w:highlight w:val="none"/>
                <w:lang w:val="en-US" w:eastAsia="zh-CN" w:bidi="ar-SA"/>
              </w:rPr>
            </w:pPr>
            <w:r>
              <w:rPr>
                <w:rFonts w:hint="eastAsia" w:ascii="宋体" w:hAnsi="宋体" w:eastAsia="宋体" w:cs="宋体"/>
                <w:i w:val="0"/>
                <w:iCs w:val="0"/>
                <w:color w:val="000000"/>
                <w:kern w:val="0"/>
                <w:sz w:val="22"/>
                <w:szCs w:val="22"/>
                <w:highlight w:val="none"/>
                <w:u w:val="none"/>
                <w:lang w:val="en-US" w:eastAsia="zh-CN" w:bidi="ar"/>
              </w:rPr>
              <w:t>2-3年</w:t>
            </w:r>
          </w:p>
        </w:tc>
      </w:tr>
      <w:tr w14:paraId="2CC7DDE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14:paraId="6DF241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2"/>
                <w:szCs w:val="22"/>
                <w:highlight w:val="none"/>
              </w:rPr>
            </w:pPr>
            <w:r>
              <w:rPr>
                <w:rFonts w:hint="eastAsia"/>
                <w:sz w:val="22"/>
                <w:szCs w:val="22"/>
                <w:highlight w:val="none"/>
              </w:rPr>
              <w:t>在线溶解氧传感器</w:t>
            </w:r>
          </w:p>
        </w:tc>
        <w:tc>
          <w:tcPr>
            <w:tcW w:w="1666" w:type="pct"/>
            <w:vAlign w:val="center"/>
          </w:tcPr>
          <w:p w14:paraId="475EB3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1"/>
                <w:szCs w:val="21"/>
                <w:highlight w:val="none"/>
              </w:rPr>
            </w:pPr>
            <w:r>
              <w:rPr>
                <w:rFonts w:hint="eastAsia" w:ascii="宋体" w:hAnsi="宋体" w:eastAsia="宋体" w:cs="宋体"/>
                <w:i w:val="0"/>
                <w:iCs w:val="0"/>
                <w:color w:val="000000"/>
                <w:kern w:val="0"/>
                <w:sz w:val="22"/>
                <w:szCs w:val="22"/>
                <w:highlight w:val="none"/>
                <w:u w:val="none"/>
                <w:lang w:val="en-US" w:eastAsia="zh-CN" w:bidi="ar"/>
              </w:rPr>
              <w:t>3-4个月/次</w:t>
            </w:r>
          </w:p>
        </w:tc>
        <w:tc>
          <w:tcPr>
            <w:tcW w:w="1667" w:type="pct"/>
            <w:vAlign w:val="center"/>
          </w:tcPr>
          <w:p w14:paraId="050036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1"/>
                <w:szCs w:val="21"/>
                <w:highlight w:val="none"/>
              </w:rPr>
            </w:pPr>
            <w:r>
              <w:rPr>
                <w:rFonts w:hint="eastAsia" w:ascii="宋体" w:hAnsi="宋体" w:eastAsia="宋体" w:cs="宋体"/>
                <w:i w:val="0"/>
                <w:iCs w:val="0"/>
                <w:color w:val="000000"/>
                <w:kern w:val="0"/>
                <w:sz w:val="22"/>
                <w:szCs w:val="22"/>
                <w:highlight w:val="none"/>
                <w:u w:val="none"/>
                <w:lang w:val="en-US" w:eastAsia="zh-CN" w:bidi="ar"/>
              </w:rPr>
              <w:t>2-3年</w:t>
            </w:r>
          </w:p>
        </w:tc>
      </w:tr>
      <w:tr w14:paraId="12E9E9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14:paraId="5FC5EEB3">
            <w:pPr>
              <w:spacing w:line="240" w:lineRule="auto"/>
              <w:ind w:firstLine="0" w:firstLineChars="0"/>
              <w:jc w:val="center"/>
              <w:rPr>
                <w:rFonts w:hint="eastAsia"/>
                <w:sz w:val="22"/>
                <w:szCs w:val="22"/>
                <w:highlight w:val="none"/>
              </w:rPr>
            </w:pPr>
            <w:r>
              <w:rPr>
                <w:rFonts w:hint="eastAsia"/>
                <w:sz w:val="22"/>
                <w:szCs w:val="22"/>
                <w:highlight w:val="none"/>
              </w:rPr>
              <w:t>在线COD传感器</w:t>
            </w:r>
          </w:p>
        </w:tc>
        <w:tc>
          <w:tcPr>
            <w:tcW w:w="1666" w:type="pct"/>
            <w:shd w:val="clear" w:color="auto" w:fill="auto"/>
            <w:vAlign w:val="center"/>
          </w:tcPr>
          <w:p w14:paraId="52B081F6">
            <w:pPr>
              <w:widowControl/>
              <w:spacing w:line="240" w:lineRule="auto"/>
              <w:ind w:firstLine="0" w:firstLineChars="0"/>
              <w:jc w:val="center"/>
              <w:textAlignment w:val="center"/>
              <w:rPr>
                <w:rFonts w:hint="eastAsia" w:ascii="宋体" w:hAnsi="宋体" w:eastAsia="宋体" w:cs="宋体"/>
                <w:kern w:val="2"/>
                <w:sz w:val="24"/>
                <w:szCs w:val="24"/>
                <w:highlight w:val="none"/>
                <w:lang w:val="en-US" w:eastAsia="zh-CN" w:bidi="ar-SA"/>
              </w:rPr>
            </w:pPr>
            <w:r>
              <w:rPr>
                <w:rFonts w:hint="eastAsia"/>
                <w:color w:val="000000"/>
                <w:kern w:val="0"/>
                <w:sz w:val="22"/>
                <w:szCs w:val="22"/>
                <w:highlight w:val="none"/>
                <w:lang w:bidi="ar"/>
              </w:rPr>
              <w:t>3-4个月/次</w:t>
            </w:r>
          </w:p>
        </w:tc>
        <w:tc>
          <w:tcPr>
            <w:tcW w:w="1667" w:type="pct"/>
            <w:shd w:val="clear" w:color="auto" w:fill="auto"/>
            <w:vAlign w:val="center"/>
          </w:tcPr>
          <w:p w14:paraId="32A7CEC9">
            <w:pPr>
              <w:widowControl/>
              <w:spacing w:line="240" w:lineRule="auto"/>
              <w:ind w:firstLine="0" w:firstLineChars="0"/>
              <w:jc w:val="center"/>
              <w:textAlignment w:val="center"/>
              <w:rPr>
                <w:rFonts w:hint="eastAsia" w:ascii="宋体" w:hAnsi="宋体" w:eastAsia="宋体" w:cs="宋体"/>
                <w:kern w:val="2"/>
                <w:sz w:val="24"/>
                <w:szCs w:val="24"/>
                <w:highlight w:val="none"/>
                <w:lang w:val="en-US" w:eastAsia="zh-CN" w:bidi="ar-SA"/>
              </w:rPr>
            </w:pPr>
            <w:r>
              <w:rPr>
                <w:rFonts w:hint="eastAsia"/>
                <w:color w:val="000000"/>
                <w:kern w:val="0"/>
                <w:sz w:val="22"/>
                <w:szCs w:val="22"/>
                <w:highlight w:val="none"/>
                <w:lang w:bidi="ar"/>
              </w:rPr>
              <w:t>2-3年</w:t>
            </w:r>
          </w:p>
        </w:tc>
      </w:tr>
      <w:tr w14:paraId="2482CF1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14:paraId="2845D5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2"/>
                <w:szCs w:val="22"/>
                <w:highlight w:val="none"/>
              </w:rPr>
            </w:pPr>
            <w:r>
              <w:rPr>
                <w:rFonts w:hint="eastAsia"/>
                <w:sz w:val="22"/>
                <w:szCs w:val="22"/>
                <w:highlight w:val="none"/>
              </w:rPr>
              <w:t>在线氨氮传感器</w:t>
            </w:r>
          </w:p>
        </w:tc>
        <w:tc>
          <w:tcPr>
            <w:tcW w:w="1666" w:type="pct"/>
            <w:shd w:val="clear" w:color="auto" w:fill="auto"/>
            <w:vAlign w:val="center"/>
          </w:tcPr>
          <w:p w14:paraId="3E0DFE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kern w:val="2"/>
                <w:sz w:val="24"/>
                <w:szCs w:val="24"/>
                <w:highlight w:val="none"/>
                <w:lang w:val="en-US" w:eastAsia="zh-CN" w:bidi="ar-SA"/>
              </w:rPr>
            </w:pPr>
            <w:r>
              <w:rPr>
                <w:rFonts w:hint="eastAsia" w:ascii="宋体" w:hAnsi="宋体" w:eastAsia="宋体" w:cs="宋体"/>
                <w:i w:val="0"/>
                <w:iCs w:val="0"/>
                <w:color w:val="000000"/>
                <w:kern w:val="0"/>
                <w:sz w:val="22"/>
                <w:szCs w:val="22"/>
                <w:highlight w:val="none"/>
                <w:u w:val="none"/>
                <w:lang w:val="en-US" w:eastAsia="zh-CN" w:bidi="ar"/>
              </w:rPr>
              <w:t>3-4个月/次</w:t>
            </w:r>
          </w:p>
        </w:tc>
        <w:tc>
          <w:tcPr>
            <w:tcW w:w="1667" w:type="pct"/>
            <w:shd w:val="clear" w:color="auto" w:fill="auto"/>
            <w:vAlign w:val="center"/>
          </w:tcPr>
          <w:p w14:paraId="5BAB5F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kern w:val="2"/>
                <w:sz w:val="24"/>
                <w:szCs w:val="24"/>
                <w:highlight w:val="none"/>
                <w:lang w:val="en-US" w:eastAsia="zh-CN" w:bidi="ar-SA"/>
              </w:rPr>
            </w:pPr>
            <w:r>
              <w:rPr>
                <w:rFonts w:hint="eastAsia" w:ascii="宋体" w:hAnsi="宋体" w:eastAsia="宋体" w:cs="宋体"/>
                <w:i w:val="0"/>
                <w:iCs w:val="0"/>
                <w:color w:val="000000"/>
                <w:kern w:val="0"/>
                <w:sz w:val="22"/>
                <w:szCs w:val="22"/>
                <w:highlight w:val="none"/>
                <w:u w:val="none"/>
                <w:lang w:val="en-US" w:eastAsia="zh-CN" w:bidi="ar"/>
              </w:rPr>
              <w:t>半年</w:t>
            </w:r>
          </w:p>
        </w:tc>
      </w:tr>
      <w:tr w14:paraId="578E618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14:paraId="7EE9148F">
            <w:pPr>
              <w:spacing w:line="240" w:lineRule="auto"/>
              <w:ind w:firstLine="0" w:firstLineChars="0"/>
              <w:jc w:val="center"/>
              <w:rPr>
                <w:rFonts w:hint="eastAsia"/>
                <w:sz w:val="22"/>
                <w:szCs w:val="22"/>
                <w:highlight w:val="none"/>
              </w:rPr>
            </w:pPr>
            <w:r>
              <w:rPr>
                <w:rFonts w:hint="eastAsia"/>
                <w:sz w:val="22"/>
                <w:szCs w:val="22"/>
                <w:highlight w:val="none"/>
              </w:rPr>
              <w:t>在线COD分析仪</w:t>
            </w:r>
          </w:p>
        </w:tc>
        <w:tc>
          <w:tcPr>
            <w:tcW w:w="1666" w:type="pct"/>
            <w:shd w:val="clear" w:color="auto" w:fill="auto"/>
            <w:vAlign w:val="center"/>
          </w:tcPr>
          <w:p w14:paraId="36BEE091">
            <w:pPr>
              <w:widowControl/>
              <w:spacing w:line="240" w:lineRule="auto"/>
              <w:ind w:firstLine="0" w:firstLineChars="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color w:val="000000"/>
                <w:kern w:val="0"/>
                <w:sz w:val="22"/>
                <w:szCs w:val="22"/>
                <w:highlight w:val="none"/>
                <w:lang w:bidi="ar"/>
              </w:rPr>
              <w:t>1个月/次</w:t>
            </w:r>
          </w:p>
        </w:tc>
        <w:tc>
          <w:tcPr>
            <w:tcW w:w="1667" w:type="pct"/>
            <w:shd w:val="clear" w:color="auto" w:fill="auto"/>
            <w:vAlign w:val="center"/>
          </w:tcPr>
          <w:p w14:paraId="3349BA8E">
            <w:pPr>
              <w:widowControl/>
              <w:spacing w:line="240" w:lineRule="auto"/>
              <w:ind w:firstLine="0" w:firstLineChars="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color w:val="000000"/>
                <w:kern w:val="0"/>
                <w:sz w:val="22"/>
                <w:szCs w:val="22"/>
                <w:highlight w:val="none"/>
                <w:lang w:bidi="ar"/>
              </w:rPr>
              <w:t>3-5年</w:t>
            </w:r>
          </w:p>
        </w:tc>
      </w:tr>
      <w:tr w14:paraId="5B5DF61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14:paraId="11BE46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2"/>
                <w:szCs w:val="22"/>
                <w:highlight w:val="none"/>
              </w:rPr>
            </w:pPr>
            <w:r>
              <w:rPr>
                <w:rFonts w:hint="eastAsia"/>
                <w:sz w:val="22"/>
                <w:szCs w:val="22"/>
                <w:highlight w:val="none"/>
              </w:rPr>
              <w:t>在线氨氮分析仪</w:t>
            </w:r>
          </w:p>
        </w:tc>
        <w:tc>
          <w:tcPr>
            <w:tcW w:w="1666" w:type="pct"/>
            <w:shd w:val="clear" w:color="auto" w:fill="auto"/>
            <w:vAlign w:val="center"/>
          </w:tcPr>
          <w:p w14:paraId="59D4CF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kern w:val="2"/>
                <w:sz w:val="24"/>
                <w:szCs w:val="24"/>
                <w:highlight w:val="none"/>
                <w:lang w:val="en-US" w:eastAsia="zh-CN" w:bidi="ar-SA"/>
              </w:rPr>
            </w:pPr>
            <w:r>
              <w:rPr>
                <w:rFonts w:hint="eastAsia" w:ascii="宋体" w:hAnsi="宋体" w:eastAsia="宋体" w:cs="宋体"/>
                <w:i w:val="0"/>
                <w:iCs w:val="0"/>
                <w:color w:val="000000"/>
                <w:kern w:val="0"/>
                <w:sz w:val="22"/>
                <w:szCs w:val="22"/>
                <w:highlight w:val="none"/>
                <w:u w:val="none"/>
                <w:lang w:val="en-US" w:eastAsia="zh-CN" w:bidi="ar"/>
              </w:rPr>
              <w:t>1个月/次</w:t>
            </w:r>
          </w:p>
        </w:tc>
        <w:tc>
          <w:tcPr>
            <w:tcW w:w="1667" w:type="pct"/>
            <w:shd w:val="clear" w:color="auto" w:fill="auto"/>
            <w:vAlign w:val="center"/>
          </w:tcPr>
          <w:p w14:paraId="212995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kern w:val="2"/>
                <w:sz w:val="24"/>
                <w:szCs w:val="24"/>
                <w:highlight w:val="none"/>
                <w:lang w:val="en-US" w:eastAsia="zh-CN" w:bidi="ar-SA"/>
              </w:rPr>
            </w:pPr>
            <w:r>
              <w:rPr>
                <w:rFonts w:hint="eastAsia" w:ascii="宋体" w:hAnsi="宋体" w:eastAsia="宋体" w:cs="宋体"/>
                <w:i w:val="0"/>
                <w:iCs w:val="0"/>
                <w:color w:val="000000"/>
                <w:kern w:val="0"/>
                <w:sz w:val="22"/>
                <w:szCs w:val="22"/>
                <w:highlight w:val="none"/>
                <w:u w:val="none"/>
                <w:lang w:val="en-US" w:eastAsia="zh-CN" w:bidi="ar"/>
              </w:rPr>
              <w:t>3-5年</w:t>
            </w:r>
          </w:p>
        </w:tc>
      </w:tr>
      <w:tr w14:paraId="2CC2486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14:paraId="2621A1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2"/>
                <w:szCs w:val="22"/>
                <w:highlight w:val="none"/>
              </w:rPr>
            </w:pPr>
            <w:r>
              <w:rPr>
                <w:rFonts w:hint="eastAsia"/>
                <w:sz w:val="22"/>
                <w:szCs w:val="22"/>
                <w:highlight w:val="none"/>
              </w:rPr>
              <w:t>在线总磷分析仪</w:t>
            </w:r>
          </w:p>
        </w:tc>
        <w:tc>
          <w:tcPr>
            <w:tcW w:w="1666" w:type="pct"/>
            <w:vAlign w:val="center"/>
          </w:tcPr>
          <w:p w14:paraId="181D1F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1"/>
                <w:szCs w:val="21"/>
                <w:highlight w:val="none"/>
              </w:rPr>
            </w:pPr>
            <w:r>
              <w:rPr>
                <w:rFonts w:hint="eastAsia" w:ascii="宋体" w:hAnsi="宋体" w:eastAsia="宋体" w:cs="宋体"/>
                <w:i w:val="0"/>
                <w:iCs w:val="0"/>
                <w:color w:val="000000"/>
                <w:kern w:val="0"/>
                <w:sz w:val="22"/>
                <w:szCs w:val="22"/>
                <w:highlight w:val="none"/>
                <w:u w:val="none"/>
                <w:lang w:val="en-US" w:eastAsia="zh-CN" w:bidi="ar"/>
              </w:rPr>
              <w:t>1个月/次</w:t>
            </w:r>
          </w:p>
        </w:tc>
        <w:tc>
          <w:tcPr>
            <w:tcW w:w="1667" w:type="pct"/>
            <w:vAlign w:val="center"/>
          </w:tcPr>
          <w:p w14:paraId="4272BD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1"/>
                <w:szCs w:val="21"/>
                <w:highlight w:val="none"/>
              </w:rPr>
            </w:pPr>
            <w:r>
              <w:rPr>
                <w:rFonts w:hint="eastAsia" w:ascii="宋体" w:hAnsi="宋体" w:eastAsia="宋体" w:cs="宋体"/>
                <w:i w:val="0"/>
                <w:iCs w:val="0"/>
                <w:color w:val="000000"/>
                <w:kern w:val="0"/>
                <w:sz w:val="22"/>
                <w:szCs w:val="22"/>
                <w:highlight w:val="none"/>
                <w:u w:val="none"/>
                <w:lang w:val="en-US" w:eastAsia="zh-CN" w:bidi="ar"/>
              </w:rPr>
              <w:t>3-5年</w:t>
            </w:r>
          </w:p>
        </w:tc>
      </w:tr>
      <w:tr w14:paraId="1790536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14:paraId="2CE3E2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2"/>
                <w:szCs w:val="22"/>
                <w:highlight w:val="none"/>
              </w:rPr>
            </w:pPr>
            <w:r>
              <w:rPr>
                <w:rFonts w:hint="eastAsia"/>
                <w:sz w:val="22"/>
                <w:szCs w:val="22"/>
                <w:highlight w:val="none"/>
              </w:rPr>
              <w:t>在线总氮分析仪</w:t>
            </w:r>
          </w:p>
        </w:tc>
        <w:tc>
          <w:tcPr>
            <w:tcW w:w="1666" w:type="pct"/>
            <w:vAlign w:val="center"/>
          </w:tcPr>
          <w:p w14:paraId="4F79C1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1"/>
                <w:szCs w:val="21"/>
                <w:highlight w:val="none"/>
              </w:rPr>
            </w:pPr>
            <w:r>
              <w:rPr>
                <w:rFonts w:hint="eastAsia" w:ascii="宋体" w:hAnsi="宋体" w:eastAsia="宋体" w:cs="宋体"/>
                <w:i w:val="0"/>
                <w:iCs w:val="0"/>
                <w:color w:val="000000"/>
                <w:kern w:val="0"/>
                <w:sz w:val="22"/>
                <w:szCs w:val="22"/>
                <w:highlight w:val="none"/>
                <w:u w:val="none"/>
                <w:lang w:val="en-US" w:eastAsia="zh-CN" w:bidi="ar"/>
              </w:rPr>
              <w:t>1个月/次</w:t>
            </w:r>
          </w:p>
        </w:tc>
        <w:tc>
          <w:tcPr>
            <w:tcW w:w="1667" w:type="pct"/>
            <w:vAlign w:val="center"/>
          </w:tcPr>
          <w:p w14:paraId="49F80E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1"/>
                <w:szCs w:val="21"/>
                <w:highlight w:val="none"/>
              </w:rPr>
            </w:pPr>
            <w:r>
              <w:rPr>
                <w:rFonts w:hint="eastAsia" w:ascii="宋体" w:hAnsi="宋体" w:eastAsia="宋体" w:cs="宋体"/>
                <w:i w:val="0"/>
                <w:iCs w:val="0"/>
                <w:color w:val="000000"/>
                <w:kern w:val="0"/>
                <w:sz w:val="22"/>
                <w:szCs w:val="22"/>
                <w:highlight w:val="none"/>
                <w:u w:val="none"/>
                <w:lang w:val="en-US" w:eastAsia="zh-CN" w:bidi="ar"/>
              </w:rPr>
              <w:t>3-5年</w:t>
            </w:r>
          </w:p>
        </w:tc>
      </w:tr>
      <w:tr w14:paraId="2960E73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39" w:type="dxa"/>
            <w:vAlign w:val="center"/>
          </w:tcPr>
          <w:p w14:paraId="7B686181">
            <w:pPr>
              <w:spacing w:line="240" w:lineRule="auto"/>
              <w:ind w:firstLine="0" w:firstLineChars="0"/>
              <w:jc w:val="center"/>
              <w:rPr>
                <w:rFonts w:hint="eastAsia"/>
                <w:sz w:val="22"/>
                <w:szCs w:val="22"/>
                <w:highlight w:val="none"/>
              </w:rPr>
            </w:pPr>
            <w:r>
              <w:rPr>
                <w:rFonts w:hint="eastAsia"/>
                <w:color w:val="auto"/>
                <w:sz w:val="21"/>
                <w:szCs w:val="21"/>
                <w:highlight w:val="none"/>
                <w:lang w:val="en-US" w:eastAsia="zh-CN"/>
              </w:rPr>
              <w:t>在线叶绿素传感器</w:t>
            </w:r>
          </w:p>
        </w:tc>
        <w:tc>
          <w:tcPr>
            <w:tcW w:w="2839" w:type="dxa"/>
            <w:vAlign w:val="center"/>
          </w:tcPr>
          <w:p w14:paraId="1D671B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3-4个月/次</w:t>
            </w:r>
          </w:p>
        </w:tc>
        <w:tc>
          <w:tcPr>
            <w:tcW w:w="2841" w:type="dxa"/>
            <w:vAlign w:val="center"/>
          </w:tcPr>
          <w:p w14:paraId="469767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2-3年</w:t>
            </w:r>
          </w:p>
        </w:tc>
      </w:tr>
      <w:tr w14:paraId="704F7DD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39" w:type="dxa"/>
            <w:vAlign w:val="center"/>
          </w:tcPr>
          <w:p w14:paraId="4FE72591">
            <w:pPr>
              <w:spacing w:line="240" w:lineRule="auto"/>
              <w:ind w:firstLine="0" w:firstLineChars="0"/>
              <w:jc w:val="center"/>
              <w:rPr>
                <w:rFonts w:hint="eastAsia"/>
                <w:sz w:val="22"/>
                <w:szCs w:val="22"/>
                <w:highlight w:val="none"/>
              </w:rPr>
            </w:pPr>
            <w:r>
              <w:rPr>
                <w:rFonts w:hint="eastAsia"/>
                <w:color w:val="auto"/>
                <w:sz w:val="21"/>
                <w:szCs w:val="21"/>
                <w:highlight w:val="none"/>
                <w:lang w:val="en-US" w:eastAsia="zh-CN"/>
              </w:rPr>
              <w:t>在线蓝绿藻传感器</w:t>
            </w:r>
          </w:p>
        </w:tc>
        <w:tc>
          <w:tcPr>
            <w:tcW w:w="2839" w:type="dxa"/>
            <w:vAlign w:val="center"/>
          </w:tcPr>
          <w:p w14:paraId="617CA5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3-4个月/次</w:t>
            </w:r>
          </w:p>
        </w:tc>
        <w:tc>
          <w:tcPr>
            <w:tcW w:w="2841" w:type="dxa"/>
            <w:vAlign w:val="center"/>
          </w:tcPr>
          <w:p w14:paraId="05F566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2-3年</w:t>
            </w:r>
          </w:p>
        </w:tc>
      </w:tr>
      <w:tr w14:paraId="6B3D0A0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14:paraId="0B57B9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2"/>
                <w:szCs w:val="22"/>
                <w:highlight w:val="none"/>
              </w:rPr>
            </w:pPr>
            <w:r>
              <w:rPr>
                <w:rFonts w:hint="eastAsia"/>
                <w:sz w:val="22"/>
                <w:szCs w:val="22"/>
                <w:highlight w:val="none"/>
              </w:rPr>
              <w:t>雷达流量计</w:t>
            </w:r>
          </w:p>
        </w:tc>
        <w:tc>
          <w:tcPr>
            <w:tcW w:w="1666" w:type="pct"/>
            <w:vAlign w:val="center"/>
          </w:tcPr>
          <w:p w14:paraId="001EC1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1"/>
                <w:szCs w:val="21"/>
                <w:highlight w:val="none"/>
              </w:rPr>
            </w:pPr>
            <w:r>
              <w:rPr>
                <w:rFonts w:hint="eastAsia" w:ascii="宋体" w:hAnsi="宋体" w:eastAsia="宋体" w:cs="宋体"/>
                <w:i w:val="0"/>
                <w:iCs w:val="0"/>
                <w:color w:val="000000"/>
                <w:kern w:val="0"/>
                <w:sz w:val="22"/>
                <w:szCs w:val="22"/>
                <w:highlight w:val="none"/>
                <w:u w:val="none"/>
                <w:lang w:val="en-US" w:eastAsia="zh-CN" w:bidi="ar"/>
              </w:rPr>
              <w:t>3-4个月/次</w:t>
            </w:r>
          </w:p>
        </w:tc>
        <w:tc>
          <w:tcPr>
            <w:tcW w:w="1667" w:type="pct"/>
            <w:vAlign w:val="center"/>
          </w:tcPr>
          <w:p w14:paraId="231956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1"/>
                <w:szCs w:val="21"/>
                <w:highlight w:val="none"/>
              </w:rPr>
            </w:pPr>
            <w:r>
              <w:rPr>
                <w:rFonts w:hint="eastAsia" w:ascii="宋体" w:hAnsi="宋体" w:eastAsia="宋体" w:cs="宋体"/>
                <w:i w:val="0"/>
                <w:iCs w:val="0"/>
                <w:color w:val="000000"/>
                <w:kern w:val="0"/>
                <w:sz w:val="22"/>
                <w:szCs w:val="22"/>
                <w:highlight w:val="none"/>
                <w:u w:val="none"/>
                <w:lang w:val="en-US" w:eastAsia="zh-CN" w:bidi="ar"/>
              </w:rPr>
              <w:t>3-5年</w:t>
            </w:r>
          </w:p>
        </w:tc>
      </w:tr>
      <w:tr w14:paraId="077E94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14:paraId="18C0B2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2"/>
                <w:szCs w:val="22"/>
                <w:highlight w:val="none"/>
              </w:rPr>
            </w:pPr>
            <w:r>
              <w:rPr>
                <w:rFonts w:hint="eastAsia"/>
                <w:sz w:val="22"/>
                <w:szCs w:val="22"/>
                <w:highlight w:val="none"/>
              </w:rPr>
              <w:t>雷达液位计</w:t>
            </w:r>
          </w:p>
        </w:tc>
        <w:tc>
          <w:tcPr>
            <w:tcW w:w="1666" w:type="pct"/>
            <w:vAlign w:val="center"/>
          </w:tcPr>
          <w:p w14:paraId="73310B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1"/>
                <w:szCs w:val="21"/>
                <w:highlight w:val="none"/>
              </w:rPr>
            </w:pPr>
            <w:r>
              <w:rPr>
                <w:rFonts w:hint="eastAsia" w:ascii="宋体" w:hAnsi="宋体" w:eastAsia="宋体" w:cs="宋体"/>
                <w:i w:val="0"/>
                <w:iCs w:val="0"/>
                <w:color w:val="000000"/>
                <w:kern w:val="0"/>
                <w:sz w:val="22"/>
                <w:szCs w:val="22"/>
                <w:highlight w:val="none"/>
                <w:u w:val="none"/>
                <w:lang w:val="en-US" w:eastAsia="zh-CN" w:bidi="ar"/>
              </w:rPr>
              <w:t>3-4个月/次</w:t>
            </w:r>
          </w:p>
        </w:tc>
        <w:tc>
          <w:tcPr>
            <w:tcW w:w="1667" w:type="pct"/>
            <w:vAlign w:val="center"/>
          </w:tcPr>
          <w:p w14:paraId="7882FF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1"/>
                <w:szCs w:val="21"/>
                <w:highlight w:val="none"/>
              </w:rPr>
            </w:pPr>
            <w:r>
              <w:rPr>
                <w:rFonts w:hint="eastAsia" w:ascii="宋体" w:hAnsi="宋体" w:eastAsia="宋体" w:cs="宋体"/>
                <w:i w:val="0"/>
                <w:iCs w:val="0"/>
                <w:color w:val="000000"/>
                <w:kern w:val="0"/>
                <w:sz w:val="22"/>
                <w:szCs w:val="22"/>
                <w:highlight w:val="none"/>
                <w:u w:val="none"/>
                <w:lang w:val="en-US" w:eastAsia="zh-CN" w:bidi="ar"/>
              </w:rPr>
              <w:t>3-5年</w:t>
            </w:r>
          </w:p>
        </w:tc>
      </w:tr>
      <w:tr w14:paraId="4A431BD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39" w:type="dxa"/>
            <w:vAlign w:val="center"/>
          </w:tcPr>
          <w:p w14:paraId="7C1A3ECC">
            <w:pPr>
              <w:spacing w:line="240" w:lineRule="auto"/>
              <w:ind w:firstLine="0" w:firstLineChars="0"/>
              <w:jc w:val="center"/>
              <w:rPr>
                <w:rFonts w:hint="eastAsia"/>
                <w:sz w:val="22"/>
                <w:szCs w:val="22"/>
                <w:highlight w:val="none"/>
              </w:rPr>
            </w:pPr>
            <w:r>
              <w:rPr>
                <w:rFonts w:hint="eastAsia"/>
                <w:sz w:val="22"/>
                <w:szCs w:val="22"/>
                <w:highlight w:val="none"/>
              </w:rPr>
              <w:t>便携式多参数分析仪</w:t>
            </w:r>
          </w:p>
        </w:tc>
        <w:tc>
          <w:tcPr>
            <w:tcW w:w="2839" w:type="dxa"/>
            <w:vAlign w:val="center"/>
          </w:tcPr>
          <w:p w14:paraId="0354F026">
            <w:pPr>
              <w:widowControl/>
              <w:spacing w:line="240" w:lineRule="auto"/>
              <w:ind w:firstLine="0" w:firstLineChars="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color w:val="000000"/>
                <w:kern w:val="0"/>
                <w:sz w:val="22"/>
                <w:szCs w:val="22"/>
                <w:highlight w:val="none"/>
                <w:lang w:bidi="ar"/>
              </w:rPr>
              <w:t>3-4个月/次</w:t>
            </w:r>
          </w:p>
        </w:tc>
        <w:tc>
          <w:tcPr>
            <w:tcW w:w="2841" w:type="dxa"/>
            <w:vAlign w:val="center"/>
          </w:tcPr>
          <w:p w14:paraId="28D5465E">
            <w:pPr>
              <w:widowControl/>
              <w:spacing w:line="240" w:lineRule="auto"/>
              <w:ind w:firstLine="0" w:firstLineChars="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color w:val="000000"/>
                <w:kern w:val="0"/>
                <w:sz w:val="22"/>
                <w:szCs w:val="22"/>
                <w:highlight w:val="none"/>
                <w:lang w:bidi="ar"/>
              </w:rPr>
              <w:t>2-3年</w:t>
            </w:r>
          </w:p>
        </w:tc>
      </w:tr>
    </w:tbl>
    <w:p w14:paraId="7E34D287">
      <w:pPr>
        <w:pStyle w:val="3"/>
        <w:rPr>
          <w:rFonts w:hint="eastAsia"/>
          <w:color w:val="auto"/>
          <w:highlight w:val="none"/>
        </w:rPr>
      </w:pPr>
      <w:bookmarkStart w:id="21" w:name="_Toc2454"/>
      <w:bookmarkStart w:id="22" w:name="_Toc17659"/>
      <w:bookmarkStart w:id="23" w:name="_Toc31159"/>
      <w:r>
        <w:rPr>
          <w:rFonts w:hint="eastAsia"/>
          <w:color w:val="auto"/>
          <w:highlight w:val="none"/>
          <w:lang w:val="en-US" w:eastAsia="zh-CN"/>
        </w:rPr>
        <w:t>设备</w:t>
      </w:r>
      <w:r>
        <w:rPr>
          <w:rFonts w:hint="eastAsia"/>
          <w:color w:val="auto"/>
          <w:highlight w:val="none"/>
        </w:rPr>
        <w:t>日常维护</w:t>
      </w:r>
      <w:bookmarkEnd w:id="21"/>
      <w:bookmarkEnd w:id="22"/>
      <w:bookmarkEnd w:id="23"/>
    </w:p>
    <w:p w14:paraId="407DDFA7">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highlight w:val="none"/>
        </w:rPr>
      </w:pPr>
      <w:r>
        <w:rPr>
          <w:rFonts w:hint="eastAsia"/>
          <w:b/>
          <w:bCs/>
          <w:highlight w:val="none"/>
        </w:rPr>
        <w:t>在线全光谱多参数传感器</w:t>
      </w:r>
    </w:p>
    <w:p w14:paraId="410A3761">
      <w:pPr>
        <w:rPr>
          <w:rFonts w:hint="eastAsia"/>
          <w:b w:val="0"/>
          <w:bCs w:val="0"/>
          <w:highlight w:val="none"/>
          <w:lang w:eastAsia="zh-CN"/>
        </w:rPr>
      </w:pPr>
      <w:r>
        <w:rPr>
          <w:rFonts w:hint="eastAsia"/>
          <w:b w:val="0"/>
          <w:bCs w:val="0"/>
          <w:highlight w:val="none"/>
          <w:lang w:eastAsia="zh-CN"/>
        </w:rPr>
        <w:t>（1）定期用自来水清洗外表面，若有碎屑残留，用湿润软布擦拭；顽固污垢可加家用洗涤液清洗。</w:t>
      </w:r>
    </w:p>
    <w:p w14:paraId="46AD25D5">
      <w:pPr>
        <w:rPr>
          <w:rFonts w:hint="eastAsia"/>
          <w:b w:val="0"/>
          <w:bCs w:val="0"/>
          <w:highlight w:val="none"/>
          <w:lang w:eastAsia="zh-CN"/>
        </w:rPr>
      </w:pPr>
      <w:r>
        <w:rPr>
          <w:rFonts w:hint="eastAsia"/>
          <w:b w:val="0"/>
          <w:bCs w:val="0"/>
          <w:highlight w:val="none"/>
          <w:lang w:eastAsia="zh-CN"/>
        </w:rPr>
        <w:t>（2）查看线缆是否绷紧、测量窗口有无脏污、清洁刷是否正常及有无损坏。</w:t>
      </w:r>
    </w:p>
    <w:p w14:paraId="2DA7D3B4">
      <w:pPr>
        <w:bidi w:val="0"/>
        <w:rPr>
          <w:rFonts w:hint="eastAsia"/>
          <w:b w:val="0"/>
          <w:bCs w:val="0"/>
          <w:highlight w:val="none"/>
        </w:rPr>
      </w:pPr>
      <w:r>
        <w:rPr>
          <w:rFonts w:hint="eastAsia"/>
          <w:b w:val="0"/>
          <w:bCs w:val="0"/>
          <w:highlight w:val="none"/>
          <w:lang w:eastAsia="zh-CN"/>
        </w:rPr>
        <w:t>（3）校准传感器，在使用前将传感器置入去离子水，保证光路浸没且无气泡，发送光谱校准指令完成校准。</w:t>
      </w:r>
    </w:p>
    <w:p w14:paraId="22B78E9B">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宋体"/>
          <w:b/>
          <w:bCs/>
          <w:highlight w:val="none"/>
        </w:rPr>
      </w:pPr>
      <w:r>
        <w:rPr>
          <w:rFonts w:hint="eastAsia" w:ascii="宋体" w:hAnsi="宋体" w:eastAsia="宋体" w:cs="宋体"/>
          <w:b/>
          <w:bCs/>
          <w:highlight w:val="none"/>
        </w:rPr>
        <w:t>在线PH传感器</w:t>
      </w:r>
    </w:p>
    <w:p w14:paraId="2516CE02">
      <w:pPr>
        <w:rPr>
          <w:rFonts w:hint="eastAsia"/>
          <w:b w:val="0"/>
          <w:bCs w:val="0"/>
          <w:highlight w:val="none"/>
          <w:lang w:eastAsia="zh-CN"/>
        </w:rPr>
      </w:pPr>
      <w:r>
        <w:rPr>
          <w:rFonts w:hint="eastAsia"/>
          <w:b w:val="0"/>
          <w:bCs w:val="0"/>
          <w:highlight w:val="none"/>
          <w:lang w:eastAsia="zh-CN"/>
        </w:rPr>
        <w:t>（1）测量前用蒸馏水洗净并擦干传感器，插入被测液1/3深度，防杂质污染。</w:t>
      </w:r>
    </w:p>
    <w:p w14:paraId="757EFC09">
      <w:pPr>
        <w:rPr>
          <w:rFonts w:hint="eastAsia"/>
          <w:highlight w:val="none"/>
        </w:rPr>
      </w:pPr>
      <w:r>
        <w:rPr>
          <w:rFonts w:hint="eastAsia"/>
          <w:b w:val="0"/>
          <w:bCs w:val="0"/>
          <w:highlight w:val="none"/>
          <w:lang w:eastAsia="zh-CN"/>
        </w:rPr>
        <w:t>（2）闲置保养，洗净后浸泡于3mol/L氯化钾溶液中（保护套或容器），维持电极性能。</w:t>
      </w:r>
    </w:p>
    <w:p w14:paraId="79203256">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宋体"/>
          <w:b/>
          <w:bCs/>
          <w:highlight w:val="none"/>
        </w:rPr>
      </w:pPr>
      <w:r>
        <w:rPr>
          <w:rFonts w:hint="eastAsia" w:ascii="宋体" w:hAnsi="宋体" w:eastAsia="宋体" w:cs="宋体"/>
          <w:b/>
          <w:bCs/>
          <w:highlight w:val="none"/>
        </w:rPr>
        <w:t>在线浊度</w:t>
      </w:r>
      <w:r>
        <w:rPr>
          <w:rFonts w:hint="eastAsia" w:cs="宋体"/>
          <w:b/>
          <w:bCs/>
          <w:highlight w:val="none"/>
          <w:lang w:val="en-US" w:eastAsia="zh-CN"/>
        </w:rPr>
        <w:t>/叶绿素/蓝绿藻</w:t>
      </w:r>
      <w:r>
        <w:rPr>
          <w:rFonts w:hint="eastAsia" w:ascii="宋体" w:hAnsi="宋体" w:eastAsia="宋体" w:cs="宋体"/>
          <w:b/>
          <w:bCs/>
          <w:highlight w:val="none"/>
        </w:rPr>
        <w:t>传感器</w:t>
      </w:r>
    </w:p>
    <w:p w14:paraId="6E542AFA">
      <w:pPr>
        <w:rPr>
          <w:rFonts w:hint="eastAsia"/>
          <w:b w:val="0"/>
          <w:bCs w:val="0"/>
          <w:highlight w:val="none"/>
          <w:lang w:eastAsia="zh-CN"/>
        </w:rPr>
      </w:pPr>
      <w:r>
        <w:rPr>
          <w:rFonts w:hint="eastAsia"/>
          <w:b w:val="0"/>
          <w:bCs w:val="0"/>
          <w:highlight w:val="none"/>
          <w:lang w:eastAsia="zh-CN"/>
        </w:rPr>
        <w:t>（1）外表面清洁自来水冲洗表面，软布擦拭残留碎屑，顽固污垢可用稀释家用洗涤液清洗。</w:t>
      </w:r>
    </w:p>
    <w:p w14:paraId="398D667A">
      <w:pPr>
        <w:rPr>
          <w:rFonts w:hint="eastAsia"/>
          <w:b w:val="0"/>
          <w:bCs w:val="0"/>
          <w:highlight w:val="none"/>
          <w:lang w:eastAsia="zh-CN"/>
        </w:rPr>
      </w:pPr>
      <w:r>
        <w:rPr>
          <w:rFonts w:hint="eastAsia"/>
          <w:b w:val="0"/>
          <w:bCs w:val="0"/>
          <w:highlight w:val="none"/>
          <w:lang w:eastAsia="zh-CN"/>
        </w:rPr>
        <w:t xml:space="preserve">（2）线缆检查确保线缆松弛无绷紧，避免内部断裂导致故障。  </w:t>
      </w:r>
    </w:p>
    <w:p w14:paraId="0D72322D">
      <w:pPr>
        <w:bidi w:val="0"/>
        <w:rPr>
          <w:rFonts w:hint="eastAsia"/>
          <w:highlight w:val="none"/>
        </w:rPr>
      </w:pPr>
      <w:r>
        <w:rPr>
          <w:rFonts w:hint="eastAsia"/>
          <w:b w:val="0"/>
          <w:bCs w:val="0"/>
          <w:highlight w:val="none"/>
          <w:lang w:eastAsia="zh-CN"/>
        </w:rPr>
        <w:t>（3）测量窗口维护检查测量窗口是否脏污，清洁刷是否正常工作。</w:t>
      </w:r>
    </w:p>
    <w:p w14:paraId="304F31EC">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宋体"/>
          <w:b/>
          <w:bCs/>
          <w:highlight w:val="none"/>
        </w:rPr>
      </w:pPr>
      <w:r>
        <w:rPr>
          <w:rFonts w:hint="eastAsia" w:ascii="宋体" w:hAnsi="宋体" w:eastAsia="宋体" w:cs="宋体"/>
          <w:b/>
          <w:bCs/>
          <w:highlight w:val="none"/>
        </w:rPr>
        <w:t>在线电导率传感器</w:t>
      </w:r>
    </w:p>
    <w:p w14:paraId="123065FD">
      <w:pPr>
        <w:rPr>
          <w:rFonts w:hint="eastAsia"/>
          <w:b w:val="0"/>
          <w:bCs w:val="0"/>
          <w:highlight w:val="none"/>
          <w:lang w:eastAsia="zh-CN"/>
        </w:rPr>
      </w:pPr>
      <w:r>
        <w:rPr>
          <w:rFonts w:hint="eastAsia"/>
          <w:b w:val="0"/>
          <w:bCs w:val="0"/>
          <w:highlight w:val="none"/>
          <w:lang w:eastAsia="zh-CN"/>
        </w:rPr>
        <w:t xml:space="preserve">（1）用软毛刷清除附着物（防划伤），蒸馏水洗净后校准。  </w:t>
      </w:r>
    </w:p>
    <w:p w14:paraId="33282487">
      <w:pPr>
        <w:bidi w:val="0"/>
        <w:rPr>
          <w:rFonts w:hint="eastAsia"/>
          <w:highlight w:val="none"/>
        </w:rPr>
      </w:pPr>
      <w:r>
        <w:rPr>
          <w:rFonts w:hint="eastAsia"/>
          <w:b w:val="0"/>
          <w:bCs w:val="0"/>
          <w:highlight w:val="none"/>
          <w:lang w:eastAsia="zh-CN"/>
        </w:rPr>
        <w:t>（2）根据工况调整校准频率，确保测量准确性。</w:t>
      </w:r>
    </w:p>
    <w:p w14:paraId="484C4609">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宋体"/>
          <w:b/>
          <w:bCs/>
          <w:highlight w:val="none"/>
        </w:rPr>
      </w:pPr>
      <w:r>
        <w:rPr>
          <w:rFonts w:hint="eastAsia" w:ascii="宋体" w:hAnsi="宋体" w:eastAsia="宋体" w:cs="宋体"/>
          <w:b/>
          <w:bCs/>
          <w:highlight w:val="none"/>
        </w:rPr>
        <w:t>在线溶解氧传感器</w:t>
      </w:r>
    </w:p>
    <w:p w14:paraId="1B768314">
      <w:pPr>
        <w:bidi w:val="0"/>
        <w:rPr>
          <w:rFonts w:hint="eastAsia"/>
          <w:b w:val="0"/>
          <w:bCs w:val="0"/>
          <w:highlight w:val="none"/>
        </w:rPr>
      </w:pPr>
      <w:r>
        <w:rPr>
          <w:rFonts w:hint="eastAsia"/>
          <w:b w:val="0"/>
          <w:bCs w:val="0"/>
          <w:highlight w:val="none"/>
        </w:rPr>
        <w:t>（1）使用后及时安装电极保护套，保证套内海绵湿润；新传感器需在自来水中活化24小时，确保测试准确性。</w:t>
      </w:r>
    </w:p>
    <w:p w14:paraId="65200647">
      <w:pPr>
        <w:bidi w:val="0"/>
        <w:rPr>
          <w:rFonts w:hint="eastAsia"/>
          <w:b w:val="0"/>
          <w:bCs w:val="0"/>
          <w:highlight w:val="none"/>
        </w:rPr>
      </w:pPr>
      <w:r>
        <w:rPr>
          <w:rFonts w:hint="eastAsia"/>
          <w:b w:val="0"/>
          <w:bCs w:val="0"/>
          <w:highlight w:val="none"/>
        </w:rPr>
        <w:t>（2）测试时将传感器置于水中，避免长时间测试空气；测量和校准时，防止荧光膜表面附着气泡；测试中避免荧光膜头受摩擦刮伤，野外测试时膜头离水底30公分以上。</w:t>
      </w:r>
    </w:p>
    <w:p w14:paraId="162EC12B">
      <w:pPr>
        <w:bidi w:val="0"/>
        <w:rPr>
          <w:rFonts w:hint="eastAsia"/>
          <w:b w:val="0"/>
          <w:bCs w:val="0"/>
          <w:highlight w:val="none"/>
        </w:rPr>
      </w:pPr>
      <w:r>
        <w:rPr>
          <w:rFonts w:hint="eastAsia"/>
          <w:b w:val="0"/>
          <w:bCs w:val="0"/>
          <w:highlight w:val="none"/>
        </w:rPr>
        <w:t>（3）检查线缆是否绷紧或与硬物摩擦，确保正常安装时线缆处于合适状态，防止内部电线断裂或表皮破损进水。</w:t>
      </w:r>
    </w:p>
    <w:p w14:paraId="74BBDA5F">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宋体"/>
          <w:b/>
          <w:bCs/>
          <w:highlight w:val="none"/>
        </w:rPr>
      </w:pPr>
      <w:r>
        <w:rPr>
          <w:rFonts w:hint="eastAsia" w:ascii="宋体" w:hAnsi="宋体" w:eastAsia="宋体" w:cs="宋体"/>
          <w:b/>
          <w:bCs/>
          <w:highlight w:val="none"/>
        </w:rPr>
        <w:t>在线COD传感器</w:t>
      </w:r>
    </w:p>
    <w:p w14:paraId="7A7BF567">
      <w:pPr>
        <w:ind w:firstLine="480"/>
        <w:rPr>
          <w:rFonts w:hint="eastAsia"/>
          <w:highlight w:val="none"/>
        </w:rPr>
      </w:pPr>
      <w:r>
        <w:rPr>
          <w:rFonts w:hint="eastAsia"/>
          <w:highlight w:val="none"/>
        </w:rPr>
        <w:t>（1）测量时保证待测溶液完全没过 COD 的上、下石英片。</w:t>
      </w:r>
    </w:p>
    <w:p w14:paraId="63D25D15">
      <w:pPr>
        <w:ind w:firstLine="480"/>
        <w:rPr>
          <w:rFonts w:hint="eastAsia"/>
          <w:highlight w:val="none"/>
        </w:rPr>
      </w:pPr>
      <w:r>
        <w:rPr>
          <w:rFonts w:hint="eastAsia"/>
          <w:highlight w:val="none"/>
        </w:rPr>
        <w:t>（2）测量时确保 COD 的石英片干净，无异物、无气泡。</w:t>
      </w:r>
    </w:p>
    <w:p w14:paraId="0695FCEB">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宋体"/>
          <w:b/>
          <w:bCs/>
          <w:highlight w:val="none"/>
        </w:rPr>
      </w:pPr>
      <w:r>
        <w:rPr>
          <w:rFonts w:hint="eastAsia" w:ascii="宋体" w:hAnsi="宋体" w:eastAsia="宋体" w:cs="宋体"/>
          <w:b/>
          <w:bCs/>
          <w:highlight w:val="none"/>
        </w:rPr>
        <w:t>在线氨氮传感器</w:t>
      </w:r>
    </w:p>
    <w:p w14:paraId="4C957267">
      <w:pPr>
        <w:rPr>
          <w:rFonts w:hint="eastAsia"/>
          <w:b w:val="0"/>
          <w:bCs w:val="0"/>
          <w:highlight w:val="none"/>
          <w:lang w:eastAsia="zh-CN"/>
        </w:rPr>
      </w:pPr>
      <w:r>
        <w:rPr>
          <w:rFonts w:hint="eastAsia"/>
          <w:b w:val="0"/>
          <w:bCs w:val="0"/>
          <w:highlight w:val="none"/>
          <w:lang w:eastAsia="zh-CN"/>
        </w:rPr>
        <w:t>（1）摘掉电极保护套，在清水中浸泡2小时活化，去离子水洗净后测试，初次用需在清水中泡30分钟以上、12小时以内。</w:t>
      </w:r>
    </w:p>
    <w:p w14:paraId="72236911">
      <w:pPr>
        <w:rPr>
          <w:rFonts w:hint="eastAsia"/>
          <w:b w:val="0"/>
          <w:bCs w:val="0"/>
          <w:highlight w:val="none"/>
          <w:lang w:eastAsia="zh-CN"/>
        </w:rPr>
      </w:pPr>
      <w:r>
        <w:rPr>
          <w:rFonts w:hint="eastAsia"/>
          <w:b w:val="0"/>
          <w:bCs w:val="0"/>
          <w:highlight w:val="none"/>
          <w:lang w:eastAsia="zh-CN"/>
        </w:rPr>
        <w:t>（2）长期（超两周）不用干燥储存，套上保护帽；短期不用放清水中浸泡；几天不用用含保护液外壳保存，下次用前清水泡30分钟以上。</w:t>
      </w:r>
    </w:p>
    <w:p w14:paraId="705A9D48">
      <w:pPr>
        <w:rPr>
          <w:rFonts w:hint="eastAsia"/>
          <w:b w:val="0"/>
          <w:bCs w:val="0"/>
          <w:highlight w:val="none"/>
          <w:lang w:eastAsia="zh-CN"/>
        </w:rPr>
      </w:pPr>
      <w:r>
        <w:rPr>
          <w:rFonts w:hint="eastAsia"/>
          <w:b w:val="0"/>
          <w:bCs w:val="0"/>
          <w:highlight w:val="none"/>
          <w:lang w:eastAsia="zh-CN"/>
        </w:rPr>
        <w:t>（3）检查接线端子干燥情况，沾污时用无水酒精擦拭吹干。</w:t>
      </w:r>
    </w:p>
    <w:p w14:paraId="5E3C8F29">
      <w:pPr>
        <w:rPr>
          <w:rFonts w:hint="eastAsia"/>
          <w:b w:val="0"/>
          <w:bCs w:val="0"/>
          <w:highlight w:val="none"/>
          <w:lang w:eastAsia="zh-CN"/>
        </w:rPr>
      </w:pPr>
      <w:r>
        <w:rPr>
          <w:rFonts w:hint="eastAsia"/>
          <w:b w:val="0"/>
          <w:bCs w:val="0"/>
          <w:highlight w:val="none"/>
          <w:lang w:eastAsia="zh-CN"/>
        </w:rPr>
        <w:t>（4）PVC膜半透明或有沉积物，用蒸馏水（或去离子水）冲洗。</w:t>
      </w:r>
    </w:p>
    <w:p w14:paraId="7CD3206B">
      <w:pPr>
        <w:rPr>
          <w:rFonts w:hint="eastAsia"/>
          <w:b w:val="0"/>
          <w:bCs w:val="0"/>
          <w:highlight w:val="none"/>
          <w:lang w:eastAsia="zh-CN"/>
        </w:rPr>
      </w:pPr>
      <w:r>
        <w:rPr>
          <w:rFonts w:hint="eastAsia"/>
          <w:b w:val="0"/>
          <w:bCs w:val="0"/>
          <w:highlight w:val="none"/>
          <w:lang w:eastAsia="zh-CN"/>
        </w:rPr>
        <w:t>（5）电极使用久出现测量误差，须进行校正。</w:t>
      </w:r>
    </w:p>
    <w:p w14:paraId="26B358D5">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highlight w:val="none"/>
        </w:rPr>
      </w:pPr>
      <w:r>
        <w:rPr>
          <w:rFonts w:hint="eastAsia"/>
          <w:b w:val="0"/>
          <w:bCs w:val="0"/>
          <w:highlight w:val="none"/>
          <w:lang w:eastAsia="zh-CN"/>
        </w:rPr>
        <w:t>（6）校准时放校准液中轻晃、静置，待读数稳定（约5分钟）再校准。</w:t>
      </w:r>
    </w:p>
    <w:p w14:paraId="7F2C7CD0">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宋体"/>
          <w:b/>
          <w:bCs/>
          <w:highlight w:val="none"/>
        </w:rPr>
      </w:pPr>
      <w:r>
        <w:rPr>
          <w:rFonts w:hint="eastAsia" w:ascii="宋体" w:hAnsi="宋体" w:eastAsia="宋体" w:cs="宋体"/>
          <w:b/>
          <w:bCs/>
          <w:highlight w:val="none"/>
        </w:rPr>
        <w:t>在线COD</w:t>
      </w:r>
      <w:r>
        <w:rPr>
          <w:rFonts w:hint="eastAsia" w:ascii="宋体" w:hAnsi="宋体" w:eastAsia="宋体" w:cs="宋体"/>
          <w:b/>
          <w:bCs/>
          <w:highlight w:val="none"/>
          <w:lang w:val="en-US" w:eastAsia="zh-CN"/>
        </w:rPr>
        <w:t>/</w:t>
      </w:r>
      <w:r>
        <w:rPr>
          <w:rFonts w:hint="eastAsia" w:ascii="宋体" w:hAnsi="宋体" w:eastAsia="宋体" w:cs="宋体"/>
          <w:b/>
          <w:bCs/>
          <w:highlight w:val="none"/>
        </w:rPr>
        <w:t>氨氮</w:t>
      </w:r>
      <w:r>
        <w:rPr>
          <w:rFonts w:hint="eastAsia" w:ascii="宋体" w:hAnsi="宋体" w:eastAsia="宋体" w:cs="宋体"/>
          <w:b/>
          <w:bCs/>
          <w:highlight w:val="none"/>
          <w:lang w:val="en-US" w:eastAsia="zh-CN"/>
        </w:rPr>
        <w:t>/</w:t>
      </w:r>
      <w:r>
        <w:rPr>
          <w:rFonts w:hint="eastAsia" w:ascii="宋体" w:hAnsi="宋体" w:eastAsia="宋体" w:cs="宋体"/>
          <w:b/>
          <w:bCs/>
          <w:highlight w:val="none"/>
        </w:rPr>
        <w:t>总磷</w:t>
      </w:r>
      <w:r>
        <w:rPr>
          <w:rFonts w:hint="eastAsia" w:ascii="宋体" w:hAnsi="宋体" w:eastAsia="宋体" w:cs="宋体"/>
          <w:b/>
          <w:bCs/>
          <w:highlight w:val="none"/>
          <w:lang w:val="en-US" w:eastAsia="zh-CN"/>
        </w:rPr>
        <w:t>/</w:t>
      </w:r>
      <w:r>
        <w:rPr>
          <w:rFonts w:hint="eastAsia" w:ascii="宋体" w:hAnsi="宋体" w:eastAsia="宋体" w:cs="宋体"/>
          <w:b/>
          <w:bCs/>
          <w:highlight w:val="none"/>
        </w:rPr>
        <w:t>总氮分析仪</w:t>
      </w:r>
    </w:p>
    <w:p w14:paraId="09AE181E">
      <w:pPr>
        <w:ind w:firstLine="480"/>
        <w:rPr>
          <w:rFonts w:hint="eastAsia"/>
          <w:highlight w:val="none"/>
        </w:rPr>
      </w:pPr>
      <w:r>
        <w:rPr>
          <w:rFonts w:hint="eastAsia"/>
          <w:highlight w:val="none"/>
        </w:rPr>
        <w:t>（1）定期用温和的清洁剂清洗仪器外部，去除灰尘和污渍。</w:t>
      </w:r>
    </w:p>
    <w:p w14:paraId="76DFDDEF">
      <w:pPr>
        <w:ind w:firstLine="480"/>
        <w:rPr>
          <w:rFonts w:hint="eastAsia"/>
          <w:highlight w:val="none"/>
        </w:rPr>
      </w:pPr>
      <w:r>
        <w:rPr>
          <w:rFonts w:hint="eastAsia"/>
          <w:highlight w:val="none"/>
        </w:rPr>
        <w:t>（2）检查试剂余量，及时添加或更换。注意试剂保质期，避免使用过期试剂。定期更换试剂管路，防止堵塞和交叉污染，更换频率根据使用情况确定。</w:t>
      </w:r>
    </w:p>
    <w:p w14:paraId="05520C05">
      <w:pPr>
        <w:ind w:firstLine="480"/>
        <w:rPr>
          <w:rFonts w:hint="eastAsia"/>
          <w:highlight w:val="none"/>
        </w:rPr>
      </w:pPr>
      <w:r>
        <w:rPr>
          <w:rFonts w:hint="eastAsia"/>
          <w:highlight w:val="none"/>
        </w:rPr>
        <w:t>（3）按照仪器使用手册规定的时间进行校准，包括零点校准和量程校准，使用标准溶液进行操作，确保测量结果的准确性。</w:t>
      </w:r>
    </w:p>
    <w:p w14:paraId="22809848">
      <w:pPr>
        <w:ind w:firstLine="480"/>
        <w:rPr>
          <w:rFonts w:hint="eastAsia" w:ascii="宋体" w:hAnsi="宋体" w:eastAsia="宋体" w:cs="宋体"/>
          <w:b/>
          <w:bCs/>
          <w:highlight w:val="none"/>
        </w:rPr>
      </w:pPr>
      <w:r>
        <w:rPr>
          <w:rFonts w:hint="eastAsia"/>
          <w:highlight w:val="none"/>
        </w:rPr>
        <w:t>（4）检查采样泵、蠕动泵等部件的工作状态，查看是否有泄漏、异常噪音或磨损。检查仪器的连接部件是否松动，及时紧固，保证仪器稳定运行。</w:t>
      </w:r>
    </w:p>
    <w:p w14:paraId="6DDC18EF">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宋体"/>
          <w:b/>
          <w:bCs/>
          <w:highlight w:val="none"/>
          <w:lang w:val="en-US" w:eastAsia="zh-CN"/>
        </w:rPr>
      </w:pPr>
      <w:r>
        <w:rPr>
          <w:rFonts w:hint="eastAsia" w:ascii="宋体" w:hAnsi="宋体" w:eastAsia="宋体" w:cs="宋体"/>
          <w:b/>
          <w:bCs/>
          <w:highlight w:val="none"/>
        </w:rPr>
        <w:t>雷达流量计</w:t>
      </w:r>
      <w:r>
        <w:rPr>
          <w:rFonts w:hint="eastAsia" w:cs="宋体"/>
          <w:b/>
          <w:bCs/>
          <w:highlight w:val="none"/>
          <w:lang w:val="en-US" w:eastAsia="zh-CN"/>
        </w:rPr>
        <w:t>/</w:t>
      </w:r>
      <w:r>
        <w:rPr>
          <w:rFonts w:hint="eastAsia" w:ascii="宋体" w:hAnsi="宋体" w:eastAsia="宋体" w:cs="宋体"/>
          <w:b/>
          <w:bCs/>
          <w:highlight w:val="none"/>
        </w:rPr>
        <w:t>液位计</w:t>
      </w:r>
    </w:p>
    <w:p w14:paraId="0E66972E">
      <w:pPr>
        <w:bidi w:val="0"/>
        <w:rPr>
          <w:rFonts w:hint="eastAsia"/>
          <w:b w:val="0"/>
          <w:bCs w:val="0"/>
          <w:highlight w:val="none"/>
        </w:rPr>
      </w:pPr>
      <w:r>
        <w:rPr>
          <w:rFonts w:hint="eastAsia"/>
          <w:b w:val="0"/>
          <w:bCs w:val="0"/>
          <w:highlight w:val="none"/>
        </w:rPr>
        <w:t>（1）定期用柔软干布擦拭雷达流量计的天线和外壳，清除灰尘、污垢，避免影响信号发射与接收。若有顽固污渍，用湿布蘸温和清洁剂轻轻擦拭，之后擦干。</w:t>
      </w:r>
    </w:p>
    <w:p w14:paraId="507DA845">
      <w:pPr>
        <w:bidi w:val="0"/>
        <w:rPr>
          <w:rFonts w:hint="eastAsia"/>
          <w:b w:val="0"/>
          <w:bCs w:val="0"/>
          <w:highlight w:val="none"/>
        </w:rPr>
      </w:pPr>
      <w:r>
        <w:rPr>
          <w:rFonts w:hint="eastAsia"/>
          <w:b w:val="0"/>
          <w:bCs w:val="0"/>
          <w:highlight w:val="none"/>
        </w:rPr>
        <w:t>（2）检查安装位置是否偏移，确保设备稳固安装在指定位置，且对准测量区域。查看安装支架有无松动、变形，及时紧固或修复。</w:t>
      </w:r>
    </w:p>
    <w:p w14:paraId="20ED1279">
      <w:pPr>
        <w:bidi w:val="0"/>
        <w:rPr>
          <w:rFonts w:hint="eastAsia"/>
          <w:b w:val="0"/>
          <w:bCs w:val="0"/>
          <w:highlight w:val="none"/>
        </w:rPr>
      </w:pPr>
      <w:r>
        <w:rPr>
          <w:rFonts w:hint="eastAsia"/>
          <w:b w:val="0"/>
          <w:bCs w:val="0"/>
          <w:highlight w:val="none"/>
        </w:rPr>
        <w:t>（3）检查连接线缆是否破损、老化，接线处是否松动。若发现问题，及时更换线缆或紧固接线，保证信号传输稳定。</w:t>
      </w:r>
    </w:p>
    <w:p w14:paraId="20DCE70D">
      <w:pPr>
        <w:bidi w:val="0"/>
        <w:rPr>
          <w:rFonts w:hint="eastAsia"/>
          <w:b w:val="0"/>
          <w:bCs w:val="0"/>
          <w:highlight w:val="none"/>
        </w:rPr>
      </w:pPr>
      <w:r>
        <w:rPr>
          <w:rFonts w:hint="eastAsia"/>
          <w:b w:val="0"/>
          <w:bCs w:val="0"/>
          <w:highlight w:val="none"/>
        </w:rPr>
        <w:t>（4）定期分析测量数据，观察数据变化趋势。若数据异常波动或与实际不符，排查设备故障或测量环境变化因素。</w:t>
      </w:r>
    </w:p>
    <w:p w14:paraId="32EE833C">
      <w:pPr>
        <w:ind w:firstLine="0" w:firstLineChars="0"/>
        <w:rPr>
          <w:rFonts w:hint="eastAsia"/>
          <w:b/>
          <w:bCs/>
          <w:highlight w:val="none"/>
        </w:rPr>
      </w:pPr>
      <w:r>
        <w:rPr>
          <w:rFonts w:hint="eastAsia"/>
          <w:b/>
          <w:bCs/>
          <w:highlight w:val="none"/>
        </w:rPr>
        <w:t>便携式多参数分析仪</w:t>
      </w:r>
    </w:p>
    <w:p w14:paraId="580D7483">
      <w:pPr>
        <w:rPr>
          <w:rFonts w:hint="eastAsia"/>
          <w:b w:val="0"/>
          <w:bCs w:val="0"/>
          <w:highlight w:val="none"/>
          <w:lang w:eastAsia="zh-CN"/>
        </w:rPr>
      </w:pPr>
      <w:r>
        <w:rPr>
          <w:rFonts w:hint="eastAsia"/>
          <w:b w:val="0"/>
          <w:bCs w:val="0"/>
          <w:highlight w:val="none"/>
          <w:lang w:eastAsia="zh-CN"/>
        </w:rPr>
        <w:t>（1）平常不用时拔掉电源插头。若有反应液体溅到载物台或仪器外壁，及时用湿抹布擦去，必要时消毒。每次使用完毕用湿抹布擦拭保持洁净。</w:t>
      </w:r>
    </w:p>
    <w:p w14:paraId="15DC1935">
      <w:pPr>
        <w:rPr>
          <w:rFonts w:hint="eastAsia"/>
          <w:b w:val="0"/>
          <w:bCs w:val="0"/>
          <w:highlight w:val="none"/>
          <w:lang w:eastAsia="zh-CN"/>
        </w:rPr>
      </w:pPr>
      <w:r>
        <w:rPr>
          <w:rFonts w:hint="eastAsia"/>
          <w:b w:val="0"/>
          <w:bCs w:val="0"/>
          <w:highlight w:val="none"/>
          <w:lang w:eastAsia="zh-CN"/>
        </w:rPr>
        <w:t>（2）仪器有开机自检功能，出现故障时，依据故障提示或常见故障排查方法处理。如水质检测仪不能启动，检查电源；自检不正常，查看光源灯、重新设置波长值或更换滤光片；检测结果不正确，根据具体原因更换光源灯、滤光片、试剂，排除干扰源，重新校准标定或处理样本；</w:t>
      </w:r>
    </w:p>
    <w:p w14:paraId="49E3E056">
      <w:pPr>
        <w:rPr>
          <w:rFonts w:hint="eastAsia"/>
          <w:b w:val="0"/>
          <w:bCs w:val="0"/>
          <w:highlight w:val="none"/>
          <w:lang w:eastAsia="zh-CN"/>
        </w:rPr>
      </w:pPr>
      <w:r>
        <w:rPr>
          <w:rFonts w:hint="eastAsia"/>
          <w:b w:val="0"/>
          <w:bCs w:val="0"/>
          <w:highlight w:val="none"/>
          <w:lang w:eastAsia="zh-CN"/>
        </w:rPr>
        <w:t>（3）本仪器属于计量类仪器，出现检测结果超出规定范围、实验条件改变、用标准溶液检验出现误差等情形时，需使用标准溶液重新进行校准和标定，标液可选用国家标物中心发行的质控品、从厂家购买或用户自行配置（配置应严格按照对应检测项目最新版本的环境标准），以保证测定结果的准确性。</w:t>
      </w:r>
    </w:p>
    <w:p w14:paraId="113AE88B">
      <w:pPr>
        <w:bidi w:val="0"/>
        <w:rPr>
          <w:rFonts w:hint="eastAsia"/>
          <w:highlight w:val="none"/>
        </w:rPr>
      </w:pPr>
    </w:p>
    <w:p w14:paraId="7D6E7EB0">
      <w:pPr>
        <w:pStyle w:val="3"/>
        <w:rPr>
          <w:rFonts w:hint="eastAsia"/>
          <w:color w:val="auto"/>
          <w:highlight w:val="none"/>
        </w:rPr>
      </w:pPr>
      <w:bookmarkStart w:id="24" w:name="_Toc25576"/>
      <w:bookmarkStart w:id="25" w:name="_Toc373"/>
      <w:bookmarkStart w:id="26" w:name="_Toc20591"/>
      <w:r>
        <w:rPr>
          <w:rFonts w:hint="eastAsia"/>
          <w:color w:val="auto"/>
          <w:highlight w:val="none"/>
          <w:lang w:val="en-US" w:eastAsia="zh-CN"/>
        </w:rPr>
        <w:t>设备</w:t>
      </w:r>
      <w:r>
        <w:rPr>
          <w:rFonts w:hint="eastAsia"/>
          <w:color w:val="auto"/>
          <w:highlight w:val="none"/>
        </w:rPr>
        <w:t>维护注意事项</w:t>
      </w:r>
      <w:bookmarkEnd w:id="24"/>
      <w:bookmarkEnd w:id="25"/>
      <w:bookmarkEnd w:id="26"/>
    </w:p>
    <w:p w14:paraId="56A229E1">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highlight w:val="none"/>
        </w:rPr>
      </w:pPr>
      <w:r>
        <w:rPr>
          <w:rFonts w:hint="eastAsia"/>
          <w:b/>
          <w:bCs/>
          <w:highlight w:val="none"/>
        </w:rPr>
        <w:t>在线全光谱多参数传感器</w:t>
      </w:r>
    </w:p>
    <w:p w14:paraId="33F771BF">
      <w:pPr>
        <w:rPr>
          <w:rFonts w:hint="eastAsia"/>
          <w:b w:val="0"/>
          <w:bCs w:val="0"/>
          <w:highlight w:val="none"/>
          <w:lang w:eastAsia="zh-CN"/>
        </w:rPr>
      </w:pPr>
      <w:r>
        <w:rPr>
          <w:rFonts w:hint="eastAsia"/>
          <w:b w:val="0"/>
          <w:bCs w:val="0"/>
          <w:highlight w:val="none"/>
          <w:lang w:eastAsia="zh-CN"/>
        </w:rPr>
        <w:t>（1）防止传感器受到剧烈机械撞击，使用中避免对其直接施加机械应力（压力、划痕等）。</w:t>
      </w:r>
    </w:p>
    <w:p w14:paraId="2CE52806">
      <w:pPr>
        <w:rPr>
          <w:rFonts w:hint="eastAsia"/>
          <w:b w:val="0"/>
          <w:bCs w:val="0"/>
          <w:highlight w:val="none"/>
          <w:lang w:eastAsia="zh-CN"/>
        </w:rPr>
      </w:pPr>
      <w:r>
        <w:rPr>
          <w:rFonts w:hint="eastAsia"/>
          <w:b w:val="0"/>
          <w:bCs w:val="0"/>
          <w:highlight w:val="none"/>
          <w:lang w:eastAsia="zh-CN"/>
        </w:rPr>
        <w:t>（2）避免传感器被阳光暴晒，不要用手触摸传感器。</w:t>
      </w:r>
    </w:p>
    <w:p w14:paraId="4A5DFCE2">
      <w:pPr>
        <w:rPr>
          <w:rFonts w:hint="eastAsia"/>
          <w:b w:val="0"/>
          <w:bCs w:val="0"/>
          <w:highlight w:val="none"/>
          <w:lang w:eastAsia="zh-CN"/>
        </w:rPr>
      </w:pPr>
      <w:r>
        <w:rPr>
          <w:rFonts w:hint="eastAsia"/>
          <w:b w:val="0"/>
          <w:bCs w:val="0"/>
          <w:highlight w:val="none"/>
          <w:lang w:eastAsia="zh-CN"/>
        </w:rPr>
        <w:t>（3）测量和校准时，确保传感器表面无气泡附着。</w:t>
      </w:r>
    </w:p>
    <w:p w14:paraId="4A073B5A">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宋体"/>
          <w:b/>
          <w:bCs/>
          <w:highlight w:val="none"/>
        </w:rPr>
      </w:pPr>
      <w:r>
        <w:rPr>
          <w:rFonts w:hint="eastAsia" w:ascii="宋体" w:hAnsi="宋体" w:eastAsia="宋体" w:cs="宋体"/>
          <w:b/>
          <w:bCs/>
          <w:highlight w:val="none"/>
        </w:rPr>
        <w:t>在线PH传感器</w:t>
      </w:r>
    </w:p>
    <w:p w14:paraId="5D04BD84">
      <w:pPr>
        <w:rPr>
          <w:rFonts w:hint="eastAsia"/>
          <w:b w:val="0"/>
          <w:bCs w:val="0"/>
          <w:highlight w:val="none"/>
          <w:lang w:eastAsia="zh-CN"/>
        </w:rPr>
      </w:pPr>
      <w:r>
        <w:rPr>
          <w:rFonts w:hint="eastAsia"/>
          <w:b w:val="0"/>
          <w:bCs w:val="0"/>
          <w:highlight w:val="none"/>
          <w:lang w:eastAsia="zh-CN"/>
        </w:rPr>
        <w:t>（1）用无水酒精擦拭接线端子上的沾污，确保干燥后使用。</w:t>
      </w:r>
    </w:p>
    <w:p w14:paraId="68B481C0">
      <w:pPr>
        <w:rPr>
          <w:rFonts w:hint="eastAsia"/>
          <w:b w:val="0"/>
          <w:bCs w:val="0"/>
          <w:highlight w:val="none"/>
          <w:lang w:eastAsia="zh-CN"/>
        </w:rPr>
      </w:pPr>
      <w:r>
        <w:rPr>
          <w:rFonts w:hint="eastAsia"/>
          <w:b w:val="0"/>
          <w:bCs w:val="0"/>
          <w:highlight w:val="none"/>
          <w:lang w:eastAsia="zh-CN"/>
        </w:rPr>
        <w:t>（2）勿长期浸泡蒸馏水/蛋白质溶液，远离有机硅油脂。</w:t>
      </w:r>
    </w:p>
    <w:p w14:paraId="59F94A84">
      <w:pPr>
        <w:rPr>
          <w:rFonts w:hint="eastAsia"/>
          <w:b w:val="0"/>
          <w:bCs w:val="0"/>
          <w:highlight w:val="none"/>
          <w:lang w:eastAsia="zh-CN"/>
        </w:rPr>
      </w:pPr>
      <w:r>
        <w:rPr>
          <w:rFonts w:hint="eastAsia"/>
          <w:b w:val="0"/>
          <w:bCs w:val="0"/>
          <w:highlight w:val="none"/>
          <w:lang w:eastAsia="zh-CN"/>
        </w:rPr>
        <w:t>（3）玻璃膜老化/沉积时，用稀盐酸清洗后水洗，必要时重新标定。</w:t>
      </w:r>
    </w:p>
    <w:p w14:paraId="1963137F">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宋体"/>
          <w:b/>
          <w:bCs/>
          <w:highlight w:val="none"/>
        </w:rPr>
      </w:pPr>
      <w:r>
        <w:rPr>
          <w:rFonts w:hint="eastAsia" w:ascii="宋体" w:hAnsi="宋体" w:eastAsia="宋体" w:cs="宋体"/>
          <w:b/>
          <w:bCs/>
          <w:highlight w:val="none"/>
        </w:rPr>
        <w:t>在线浊度</w:t>
      </w:r>
      <w:r>
        <w:rPr>
          <w:rFonts w:hint="eastAsia" w:cs="宋体"/>
          <w:b/>
          <w:bCs/>
          <w:highlight w:val="none"/>
          <w:lang w:val="en-US" w:eastAsia="zh-CN"/>
        </w:rPr>
        <w:t>/叶绿素/蓝绿藻</w:t>
      </w:r>
      <w:r>
        <w:rPr>
          <w:rFonts w:hint="eastAsia" w:ascii="宋体" w:hAnsi="宋体" w:eastAsia="宋体" w:cs="宋体"/>
          <w:b/>
          <w:bCs/>
          <w:highlight w:val="none"/>
        </w:rPr>
        <w:t>传感器</w:t>
      </w:r>
    </w:p>
    <w:p w14:paraId="6E081AD4">
      <w:pPr>
        <w:rPr>
          <w:rFonts w:hint="eastAsia"/>
          <w:b w:val="0"/>
          <w:bCs w:val="0"/>
          <w:highlight w:val="none"/>
          <w:lang w:eastAsia="zh-CN"/>
        </w:rPr>
      </w:pPr>
      <w:r>
        <w:rPr>
          <w:rFonts w:hint="eastAsia"/>
          <w:b w:val="0"/>
          <w:bCs w:val="0"/>
          <w:highlight w:val="none"/>
          <w:lang w:eastAsia="zh-CN"/>
        </w:rPr>
        <w:t xml:space="preserve">（1）使用时取下保护套，闲置时及时安装，防止探头划伤。  </w:t>
      </w:r>
    </w:p>
    <w:p w14:paraId="355968EA">
      <w:pPr>
        <w:rPr>
          <w:rFonts w:hint="eastAsia"/>
          <w:b w:val="0"/>
          <w:bCs w:val="0"/>
          <w:highlight w:val="none"/>
          <w:lang w:eastAsia="zh-CN"/>
        </w:rPr>
      </w:pPr>
      <w:r>
        <w:rPr>
          <w:rFonts w:hint="eastAsia"/>
          <w:b w:val="0"/>
          <w:bCs w:val="0"/>
          <w:highlight w:val="none"/>
          <w:lang w:eastAsia="zh-CN"/>
        </w:rPr>
        <w:t xml:space="preserve">（2）避免探头附着气泡，保持探头离容器底/壁≥100mm。  </w:t>
      </w:r>
    </w:p>
    <w:p w14:paraId="6E0EAC9E">
      <w:pPr>
        <w:rPr>
          <w:rFonts w:hint="eastAsia"/>
          <w:b w:val="0"/>
          <w:bCs w:val="0"/>
          <w:highlight w:val="none"/>
          <w:lang w:eastAsia="zh-CN"/>
        </w:rPr>
      </w:pPr>
      <w:r>
        <w:rPr>
          <w:rFonts w:hint="eastAsia"/>
          <w:b w:val="0"/>
          <w:bCs w:val="0"/>
          <w:highlight w:val="none"/>
          <w:lang w:eastAsia="zh-CN"/>
        </w:rPr>
        <w:t xml:space="preserve">（3）避免剧烈撞击，防止光学/电子部件损坏。  </w:t>
      </w:r>
    </w:p>
    <w:p w14:paraId="3904AC81">
      <w:pPr>
        <w:rPr>
          <w:rFonts w:hint="eastAsia"/>
          <w:b w:val="0"/>
          <w:bCs w:val="0"/>
          <w:highlight w:val="none"/>
          <w:lang w:eastAsia="zh-CN"/>
        </w:rPr>
      </w:pPr>
      <w:r>
        <w:rPr>
          <w:rFonts w:hint="eastAsia"/>
          <w:b w:val="0"/>
          <w:bCs w:val="0"/>
          <w:highlight w:val="none"/>
          <w:lang w:eastAsia="zh-CN"/>
        </w:rPr>
        <w:t xml:space="preserve">（4）禁止在含荧光物质的容器中测试，防止干扰。  </w:t>
      </w:r>
    </w:p>
    <w:p w14:paraId="2D83CDB5">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宋体"/>
          <w:b/>
          <w:bCs/>
          <w:highlight w:val="none"/>
        </w:rPr>
      </w:pPr>
      <w:r>
        <w:rPr>
          <w:rFonts w:hint="eastAsia" w:ascii="宋体" w:hAnsi="宋体" w:eastAsia="宋体" w:cs="宋体"/>
          <w:b/>
          <w:bCs/>
          <w:highlight w:val="none"/>
        </w:rPr>
        <w:t>在线电导率传感器</w:t>
      </w:r>
    </w:p>
    <w:p w14:paraId="19016FED">
      <w:pPr>
        <w:rPr>
          <w:rFonts w:hint="eastAsia"/>
          <w:b w:val="0"/>
          <w:bCs w:val="0"/>
          <w:highlight w:val="none"/>
          <w:lang w:eastAsia="zh-CN"/>
        </w:rPr>
      </w:pPr>
      <w:r>
        <w:rPr>
          <w:rFonts w:hint="eastAsia"/>
          <w:b w:val="0"/>
          <w:bCs w:val="0"/>
          <w:highlight w:val="none"/>
          <w:lang w:eastAsia="zh-CN"/>
        </w:rPr>
        <w:t xml:space="preserve">（1）校准与测试时电极需完全浸入标准液（无气泡），距容器底/壁≥2cm。  </w:t>
      </w:r>
    </w:p>
    <w:p w14:paraId="23A8AEAD">
      <w:pPr>
        <w:rPr>
          <w:rFonts w:hint="eastAsia"/>
          <w:b w:val="0"/>
          <w:bCs w:val="0"/>
          <w:highlight w:val="none"/>
          <w:lang w:eastAsia="zh-CN"/>
        </w:rPr>
      </w:pPr>
      <w:r>
        <w:rPr>
          <w:rFonts w:hint="eastAsia"/>
          <w:b w:val="0"/>
          <w:bCs w:val="0"/>
          <w:highlight w:val="none"/>
          <w:lang w:eastAsia="zh-CN"/>
        </w:rPr>
        <w:t xml:space="preserve">（2）石墨电极使用前需用自来水浸泡1小时，闲置时保持湿润。  </w:t>
      </w:r>
    </w:p>
    <w:p w14:paraId="3C7EECC7">
      <w:pPr>
        <w:rPr>
          <w:rFonts w:hint="eastAsia"/>
          <w:b w:val="0"/>
          <w:bCs w:val="0"/>
          <w:highlight w:val="none"/>
          <w:lang w:eastAsia="zh-CN"/>
        </w:rPr>
      </w:pPr>
      <w:r>
        <w:rPr>
          <w:rFonts w:hint="eastAsia"/>
          <w:b w:val="0"/>
          <w:bCs w:val="0"/>
          <w:highlight w:val="none"/>
          <w:lang w:eastAsia="zh-CN"/>
        </w:rPr>
        <w:t xml:space="preserve">（3） 非防水端子避免浸水，线缆需松弛固定，防止摩擦或断裂。  </w:t>
      </w:r>
    </w:p>
    <w:p w14:paraId="2FA90198">
      <w:pPr>
        <w:rPr>
          <w:rFonts w:hint="eastAsia"/>
          <w:b w:val="0"/>
          <w:bCs w:val="0"/>
          <w:highlight w:val="none"/>
          <w:lang w:eastAsia="zh-CN"/>
        </w:rPr>
      </w:pPr>
      <w:r>
        <w:rPr>
          <w:rFonts w:hint="eastAsia"/>
          <w:b w:val="0"/>
          <w:bCs w:val="0"/>
          <w:highlight w:val="none"/>
          <w:lang w:eastAsia="zh-CN"/>
        </w:rPr>
        <w:t xml:space="preserve">（4）避免与有机硅油脂接触。  </w:t>
      </w:r>
    </w:p>
    <w:p w14:paraId="24EC4E5F">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宋体"/>
          <w:b/>
          <w:bCs/>
          <w:highlight w:val="none"/>
        </w:rPr>
      </w:pPr>
      <w:r>
        <w:rPr>
          <w:rFonts w:hint="eastAsia" w:ascii="宋体" w:hAnsi="宋体" w:eastAsia="宋体" w:cs="宋体"/>
          <w:b/>
          <w:bCs/>
          <w:highlight w:val="none"/>
        </w:rPr>
        <w:t>在线溶解氧传感器</w:t>
      </w:r>
    </w:p>
    <w:p w14:paraId="4FE1CAB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b w:val="0"/>
          <w:bCs w:val="0"/>
          <w:highlight w:val="none"/>
        </w:rPr>
      </w:pPr>
      <w:r>
        <w:rPr>
          <w:rFonts w:hint="eastAsia"/>
          <w:b w:val="0"/>
          <w:bCs w:val="0"/>
          <w:highlight w:val="none"/>
        </w:rPr>
        <w:t>（1）传感器含有敏感部件，安装和测量时避免其受到剧烈机械撞击。</w:t>
      </w:r>
    </w:p>
    <w:p w14:paraId="7910888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b w:val="0"/>
          <w:bCs w:val="0"/>
          <w:highlight w:val="none"/>
        </w:rPr>
      </w:pPr>
      <w:r>
        <w:rPr>
          <w:rFonts w:hint="eastAsia"/>
          <w:b w:val="0"/>
          <w:bCs w:val="0"/>
          <w:highlight w:val="none"/>
        </w:rPr>
        <w:t xml:space="preserve">（2）防止荧光帽内表面被阳光暴晒，不要用手触摸荧光膜；未做防水处理的接线端子不能没入水中，避免线缆进水影响设备正常工作。 </w:t>
      </w:r>
    </w:p>
    <w:p w14:paraId="4EBEB035">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宋体"/>
          <w:b/>
          <w:bCs/>
          <w:highlight w:val="none"/>
        </w:rPr>
      </w:pPr>
      <w:r>
        <w:rPr>
          <w:rFonts w:hint="eastAsia" w:ascii="宋体" w:hAnsi="宋体" w:eastAsia="宋体" w:cs="宋体"/>
          <w:b/>
          <w:bCs/>
          <w:highlight w:val="none"/>
        </w:rPr>
        <w:t>在线COD传感器</w:t>
      </w:r>
    </w:p>
    <w:p w14:paraId="0A44A8FE">
      <w:pPr>
        <w:ind w:firstLine="480"/>
        <w:rPr>
          <w:rFonts w:hint="eastAsia"/>
          <w:highlight w:val="none"/>
        </w:rPr>
      </w:pPr>
      <w:r>
        <w:rPr>
          <w:rFonts w:hint="eastAsia"/>
          <w:highlight w:val="none"/>
        </w:rPr>
        <w:t>（1）水流较急时固定传感器，防止损坏。</w:t>
      </w:r>
    </w:p>
    <w:p w14:paraId="0713CFA6">
      <w:pPr>
        <w:ind w:firstLine="480"/>
        <w:rPr>
          <w:rFonts w:hint="eastAsia"/>
          <w:highlight w:val="none"/>
        </w:rPr>
      </w:pPr>
      <w:r>
        <w:rPr>
          <w:rFonts w:hint="eastAsia"/>
          <w:highlight w:val="none"/>
        </w:rPr>
        <w:t>（2）禁止用传感器电缆吊装传感器，确保线缆接头紧固。</w:t>
      </w:r>
    </w:p>
    <w:p w14:paraId="1E11CFB3">
      <w:pPr>
        <w:ind w:firstLine="480"/>
        <w:rPr>
          <w:rFonts w:hint="eastAsia"/>
          <w:highlight w:val="none"/>
        </w:rPr>
      </w:pPr>
      <w:r>
        <w:rPr>
          <w:rFonts w:hint="eastAsia"/>
          <w:highlight w:val="none"/>
        </w:rPr>
        <w:t>（3）探头含敏感光学和电子部件，避免受到剧烈机械撞击，且探头内部无需用户维护。</w:t>
      </w:r>
    </w:p>
    <w:p w14:paraId="2C59C8F1">
      <w:pPr>
        <w:ind w:firstLine="480"/>
        <w:rPr>
          <w:rFonts w:hint="eastAsia"/>
          <w:highlight w:val="none"/>
        </w:rPr>
      </w:pPr>
      <w:r>
        <w:rPr>
          <w:rFonts w:hint="eastAsia"/>
          <w:highlight w:val="none"/>
        </w:rPr>
        <w:t>（4）使用中避免对传感器直接施加机械应力。</w:t>
      </w:r>
    </w:p>
    <w:p w14:paraId="7D7C26A6">
      <w:pPr>
        <w:bidi w:val="0"/>
        <w:rPr>
          <w:rFonts w:hint="eastAsia"/>
          <w:highlight w:val="none"/>
        </w:rPr>
      </w:pPr>
      <w:r>
        <w:rPr>
          <w:rFonts w:hint="eastAsia"/>
          <w:highlight w:val="none"/>
        </w:rPr>
        <w:t>（5）传感器用 12VDC 电源供电时尾线线缆极限长度 150M，超长度需适当增加电压以保证正常工作 。</w:t>
      </w:r>
    </w:p>
    <w:p w14:paraId="3631D2A8">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宋体"/>
          <w:b/>
          <w:bCs/>
          <w:highlight w:val="none"/>
        </w:rPr>
      </w:pPr>
      <w:r>
        <w:rPr>
          <w:rFonts w:hint="eastAsia" w:ascii="宋体" w:hAnsi="宋体" w:eastAsia="宋体" w:cs="宋体"/>
          <w:b/>
          <w:bCs/>
          <w:highlight w:val="none"/>
        </w:rPr>
        <w:t>在线氨氮传感器</w:t>
      </w:r>
    </w:p>
    <w:p w14:paraId="507BC0D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b w:val="0"/>
          <w:bCs w:val="0"/>
          <w:highlight w:val="none"/>
          <w:lang w:eastAsia="zh-CN"/>
        </w:rPr>
      </w:pPr>
      <w:r>
        <w:rPr>
          <w:rFonts w:hint="eastAsia"/>
          <w:b w:val="0"/>
          <w:bCs w:val="0"/>
          <w:highlight w:val="none"/>
          <w:lang w:eastAsia="zh-CN"/>
        </w:rPr>
        <w:t>（1）膜头用去离子水清洗，勿碰伤，测量时距底部至少2cm，敏感膜内无气泡，可轻敲除泡。</w:t>
      </w:r>
    </w:p>
    <w:p w14:paraId="4A92684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b w:val="0"/>
          <w:bCs w:val="0"/>
          <w:highlight w:val="none"/>
          <w:lang w:eastAsia="zh-CN"/>
        </w:rPr>
      </w:pPr>
      <w:r>
        <w:rPr>
          <w:rFonts w:hint="eastAsia"/>
          <w:b w:val="0"/>
          <w:bCs w:val="0"/>
          <w:highlight w:val="none"/>
          <w:lang w:eastAsia="zh-CN"/>
        </w:rPr>
        <w:t>（2）避免放腐蚀性、能腐蚀PVC溶液（如强酸），酮类及饱和有机物溶液（如四氢呋喃、蛋白质溶液），强电磁和核辐射环境；不建议在成分复杂液体（如海水、电镀废水）长期放置。</w:t>
      </w:r>
    </w:p>
    <w:p w14:paraId="3BB1A89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b w:val="0"/>
          <w:bCs w:val="0"/>
          <w:highlight w:val="none"/>
          <w:lang w:eastAsia="zh-CN"/>
        </w:rPr>
      </w:pPr>
      <w:r>
        <w:rPr>
          <w:rFonts w:hint="eastAsia"/>
          <w:b w:val="0"/>
          <w:bCs w:val="0"/>
          <w:highlight w:val="none"/>
          <w:lang w:eastAsia="zh-CN"/>
        </w:rPr>
        <w:t>（3）检查通讯时，两电极须浸泡在溶液中。</w:t>
      </w:r>
    </w:p>
    <w:p w14:paraId="0777BD1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b w:val="0"/>
          <w:bCs w:val="0"/>
          <w:highlight w:val="none"/>
          <w:lang w:eastAsia="zh-CN"/>
        </w:rPr>
      </w:pPr>
      <w:r>
        <w:rPr>
          <w:rFonts w:hint="eastAsia"/>
          <w:b w:val="0"/>
          <w:bCs w:val="0"/>
          <w:highlight w:val="none"/>
          <w:lang w:eastAsia="zh-CN"/>
        </w:rPr>
        <w:t>（4）标液有使用次数限制，1mg/L的2次/瓶、10mg/L的4次/瓶、100mg/L的6次/瓶。</w:t>
      </w:r>
    </w:p>
    <w:p w14:paraId="73B0436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b w:val="0"/>
          <w:bCs w:val="0"/>
          <w:highlight w:val="none"/>
          <w:lang w:eastAsia="zh-CN"/>
        </w:rPr>
      </w:pPr>
      <w:r>
        <w:rPr>
          <w:rFonts w:hint="eastAsia"/>
          <w:b w:val="0"/>
          <w:bCs w:val="0"/>
          <w:highlight w:val="none"/>
          <w:lang w:eastAsia="zh-CN"/>
        </w:rPr>
        <w:t xml:space="preserve">（5）注意保护参比电极外漏白色布条，勿揪出损坏。 </w:t>
      </w:r>
    </w:p>
    <w:p w14:paraId="6A76248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b w:val="0"/>
          <w:bCs w:val="0"/>
          <w:highlight w:val="none"/>
          <w:lang w:eastAsia="zh-CN"/>
        </w:rPr>
      </w:pPr>
      <w:r>
        <w:rPr>
          <w:rFonts w:hint="eastAsia"/>
          <w:b w:val="0"/>
          <w:bCs w:val="0"/>
          <w:highlight w:val="none"/>
          <w:lang w:eastAsia="zh-CN"/>
        </w:rPr>
        <w:t>（6）防止电极长期浸泡在蒸馏水或蛋白质溶液中，避免与有机硅油脂接触。</w:t>
      </w:r>
    </w:p>
    <w:p w14:paraId="7159CD54">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宋体"/>
          <w:b/>
          <w:bCs/>
          <w:highlight w:val="none"/>
        </w:rPr>
      </w:pPr>
      <w:r>
        <w:rPr>
          <w:rFonts w:hint="eastAsia" w:ascii="宋体" w:hAnsi="宋体" w:eastAsia="宋体" w:cs="宋体"/>
          <w:b/>
          <w:bCs/>
          <w:highlight w:val="none"/>
        </w:rPr>
        <w:t>在线COD</w:t>
      </w:r>
      <w:r>
        <w:rPr>
          <w:rFonts w:hint="eastAsia" w:ascii="宋体" w:hAnsi="宋体" w:eastAsia="宋体" w:cs="宋体"/>
          <w:b/>
          <w:bCs/>
          <w:highlight w:val="none"/>
          <w:lang w:val="en-US" w:eastAsia="zh-CN"/>
        </w:rPr>
        <w:t>/</w:t>
      </w:r>
      <w:r>
        <w:rPr>
          <w:rFonts w:hint="eastAsia" w:ascii="宋体" w:hAnsi="宋体" w:eastAsia="宋体" w:cs="宋体"/>
          <w:b/>
          <w:bCs/>
          <w:highlight w:val="none"/>
        </w:rPr>
        <w:t>氨氮</w:t>
      </w:r>
      <w:r>
        <w:rPr>
          <w:rFonts w:hint="eastAsia" w:ascii="宋体" w:hAnsi="宋体" w:eastAsia="宋体" w:cs="宋体"/>
          <w:b/>
          <w:bCs/>
          <w:highlight w:val="none"/>
          <w:lang w:val="en-US" w:eastAsia="zh-CN"/>
        </w:rPr>
        <w:t>/</w:t>
      </w:r>
      <w:r>
        <w:rPr>
          <w:rFonts w:hint="eastAsia" w:ascii="宋体" w:hAnsi="宋体" w:eastAsia="宋体" w:cs="宋体"/>
          <w:b/>
          <w:bCs/>
          <w:highlight w:val="none"/>
        </w:rPr>
        <w:t>总磷</w:t>
      </w:r>
      <w:r>
        <w:rPr>
          <w:rFonts w:hint="eastAsia" w:ascii="宋体" w:hAnsi="宋体" w:eastAsia="宋体" w:cs="宋体"/>
          <w:b/>
          <w:bCs/>
          <w:highlight w:val="none"/>
          <w:lang w:val="en-US" w:eastAsia="zh-CN"/>
        </w:rPr>
        <w:t>/</w:t>
      </w:r>
      <w:r>
        <w:rPr>
          <w:rFonts w:hint="eastAsia" w:ascii="宋体" w:hAnsi="宋体" w:eastAsia="宋体" w:cs="宋体"/>
          <w:b/>
          <w:bCs/>
          <w:highlight w:val="none"/>
        </w:rPr>
        <w:t>总氮分析仪</w:t>
      </w:r>
    </w:p>
    <w:p w14:paraId="1F7252E3">
      <w:pPr>
        <w:ind w:firstLine="480"/>
        <w:rPr>
          <w:rFonts w:hint="eastAsia"/>
          <w:highlight w:val="none"/>
        </w:rPr>
      </w:pPr>
      <w:r>
        <w:rPr>
          <w:rFonts w:hint="eastAsia"/>
          <w:highlight w:val="none"/>
        </w:rPr>
        <w:t>（1）严格按照操作手册进行操作，避免误操作损坏仪器。维护过程中如需接触试剂，应佩戴防护手套和护目镜，防止试剂腐蚀。</w:t>
      </w:r>
    </w:p>
    <w:p w14:paraId="7FE27F3D">
      <w:pPr>
        <w:ind w:firstLine="480"/>
        <w:rPr>
          <w:rFonts w:hint="eastAsia"/>
          <w:highlight w:val="none"/>
        </w:rPr>
      </w:pPr>
      <w:r>
        <w:rPr>
          <w:rFonts w:hint="eastAsia"/>
          <w:highlight w:val="none"/>
        </w:rPr>
        <w:t>（2）仪器应安装在干燥、通风良好的环境中，避免阳光直射和高温高湿环境。远离强电磁场干扰源，防止影响测量精度。</w:t>
      </w:r>
    </w:p>
    <w:p w14:paraId="2F3850E1">
      <w:pPr>
        <w:ind w:firstLine="480"/>
        <w:rPr>
          <w:rFonts w:hint="eastAsia"/>
          <w:highlight w:val="none"/>
        </w:rPr>
      </w:pPr>
      <w:r>
        <w:rPr>
          <w:rFonts w:hint="eastAsia"/>
          <w:highlight w:val="none"/>
        </w:rPr>
        <w:t>（3）仪器出现故障时，不要擅自拆解维修，应联系专业维修人员。记录故障现象和发生时间，为维修提供参考。</w:t>
      </w:r>
    </w:p>
    <w:p w14:paraId="3CBF2676">
      <w:pPr>
        <w:bidi w:val="0"/>
        <w:rPr>
          <w:rFonts w:hint="eastAsia"/>
          <w:highlight w:val="none"/>
        </w:rPr>
      </w:pPr>
      <w:r>
        <w:rPr>
          <w:rFonts w:hint="eastAsia"/>
          <w:highlight w:val="none"/>
        </w:rPr>
        <w:t>（4）定期检查仪器的接地情况，确保使用安全。对废弃试剂进行妥善处理，按照环保要求进行回收或中和排放，避免污染环境。</w:t>
      </w:r>
    </w:p>
    <w:p w14:paraId="42701518">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宋体"/>
          <w:b/>
          <w:bCs/>
          <w:highlight w:val="none"/>
          <w:lang w:val="en-US" w:eastAsia="zh-CN"/>
        </w:rPr>
      </w:pPr>
      <w:r>
        <w:rPr>
          <w:rFonts w:hint="eastAsia" w:ascii="宋体" w:hAnsi="宋体" w:eastAsia="宋体" w:cs="宋体"/>
          <w:b/>
          <w:bCs/>
          <w:highlight w:val="none"/>
        </w:rPr>
        <w:t>雷达流量计</w:t>
      </w:r>
      <w:r>
        <w:rPr>
          <w:rFonts w:hint="eastAsia" w:cs="宋体"/>
          <w:b/>
          <w:bCs/>
          <w:highlight w:val="none"/>
          <w:lang w:val="en-US" w:eastAsia="zh-CN"/>
        </w:rPr>
        <w:t>/</w:t>
      </w:r>
      <w:r>
        <w:rPr>
          <w:rFonts w:hint="eastAsia" w:ascii="宋体" w:hAnsi="宋体" w:eastAsia="宋体" w:cs="宋体"/>
          <w:b/>
          <w:bCs/>
          <w:highlight w:val="none"/>
        </w:rPr>
        <w:t>液位计</w:t>
      </w:r>
    </w:p>
    <w:p w14:paraId="681429B0">
      <w:pPr>
        <w:bidi w:val="0"/>
        <w:rPr>
          <w:rFonts w:hint="eastAsia"/>
          <w:b w:val="0"/>
          <w:bCs w:val="0"/>
          <w:highlight w:val="none"/>
        </w:rPr>
      </w:pPr>
      <w:r>
        <w:rPr>
          <w:rFonts w:hint="eastAsia"/>
          <w:b w:val="0"/>
          <w:bCs w:val="0"/>
          <w:highlight w:val="none"/>
        </w:rPr>
        <w:t>（1）严格按照操作手册进行操作，维护前切断电源，避免带电操作引发危险。非专业人员不要擅自拆解设备。</w:t>
      </w:r>
    </w:p>
    <w:p w14:paraId="6CC51E9F">
      <w:pPr>
        <w:bidi w:val="0"/>
        <w:rPr>
          <w:rFonts w:hint="eastAsia"/>
          <w:b w:val="0"/>
          <w:bCs w:val="0"/>
          <w:highlight w:val="none"/>
        </w:rPr>
      </w:pPr>
      <w:r>
        <w:rPr>
          <w:rFonts w:hint="eastAsia"/>
          <w:b w:val="0"/>
          <w:bCs w:val="0"/>
          <w:highlight w:val="none"/>
        </w:rPr>
        <w:t>（2）避免设备在强电磁干扰环境下工作，远离大型电机、变压器等设备。同时，做好防水、防晒措施，防止因恶劣天气损坏设备。</w:t>
      </w:r>
    </w:p>
    <w:p w14:paraId="44BB1FB1">
      <w:pPr>
        <w:bidi w:val="0"/>
        <w:rPr>
          <w:rFonts w:hint="eastAsia"/>
          <w:b w:val="0"/>
          <w:bCs w:val="0"/>
          <w:highlight w:val="none"/>
        </w:rPr>
      </w:pPr>
      <w:r>
        <w:rPr>
          <w:rFonts w:hint="eastAsia"/>
          <w:b w:val="0"/>
          <w:bCs w:val="0"/>
          <w:highlight w:val="none"/>
        </w:rPr>
        <w:t>（3）按照规定的时间间隔进行校准，使用专业校准设备和方法，确保测量精度。校准过程需由专业人员操作。</w:t>
      </w:r>
    </w:p>
    <w:p w14:paraId="07ABF8D4">
      <w:pPr>
        <w:bidi w:val="0"/>
        <w:rPr>
          <w:rFonts w:hint="eastAsia"/>
          <w:highlight w:val="none"/>
        </w:rPr>
      </w:pPr>
      <w:r>
        <w:rPr>
          <w:rFonts w:hint="eastAsia"/>
          <w:b w:val="0"/>
          <w:bCs w:val="0"/>
          <w:highlight w:val="none"/>
        </w:rPr>
        <w:t xml:space="preserve">（4）设备出现故障时，及时记录故障现象，联系厂家或专业维修人员进行维修，不可自行尝试修复，以免造成更大损坏。 </w:t>
      </w:r>
    </w:p>
    <w:p w14:paraId="1777E60C">
      <w:pPr>
        <w:ind w:firstLine="0" w:firstLineChars="0"/>
        <w:rPr>
          <w:rFonts w:hint="eastAsia"/>
          <w:b/>
          <w:bCs/>
          <w:highlight w:val="none"/>
        </w:rPr>
      </w:pPr>
      <w:r>
        <w:rPr>
          <w:rFonts w:hint="eastAsia"/>
          <w:b/>
          <w:bCs/>
          <w:highlight w:val="none"/>
        </w:rPr>
        <w:t>便携式多参数分析仪</w:t>
      </w:r>
    </w:p>
    <w:p w14:paraId="326F4DC8">
      <w:pPr>
        <w:rPr>
          <w:rFonts w:hint="eastAsia"/>
          <w:b w:val="0"/>
          <w:bCs w:val="0"/>
          <w:highlight w:val="none"/>
          <w:lang w:eastAsia="zh-CN"/>
        </w:rPr>
      </w:pPr>
      <w:r>
        <w:rPr>
          <w:rFonts w:hint="eastAsia"/>
          <w:b w:val="0"/>
          <w:bCs w:val="0"/>
          <w:highlight w:val="none"/>
          <w:lang w:eastAsia="zh-CN"/>
        </w:rPr>
        <w:t>（1）仪器的维修需要专业人员操作，非专业人员请勿自行维修。维修或因其他原因拆卸外壳时必须切断电源。</w:t>
      </w:r>
    </w:p>
    <w:p w14:paraId="6EF5924D">
      <w:pPr>
        <w:rPr>
          <w:rFonts w:hint="eastAsia"/>
          <w:b w:val="0"/>
          <w:bCs w:val="0"/>
          <w:highlight w:val="none"/>
          <w:lang w:eastAsia="zh-CN"/>
        </w:rPr>
      </w:pPr>
      <w:r>
        <w:rPr>
          <w:rFonts w:hint="eastAsia"/>
          <w:b w:val="0"/>
          <w:bCs w:val="0"/>
          <w:highlight w:val="none"/>
          <w:lang w:eastAsia="zh-CN"/>
        </w:rPr>
        <w:t>（2）使用设备前做好防护措施，避免接触质量控制物、标准样本、废弃液体等可能有生物危害、腐蚀或有毒的物质。使用本仪器配套或推荐的试剂，禁止在强辐射源旁使用设备。</w:t>
      </w:r>
    </w:p>
    <w:p w14:paraId="0C99345A">
      <w:pPr>
        <w:rPr>
          <w:rFonts w:hint="eastAsia"/>
          <w:b w:val="0"/>
          <w:bCs w:val="0"/>
          <w:highlight w:val="none"/>
          <w:lang w:eastAsia="zh-CN"/>
        </w:rPr>
      </w:pPr>
      <w:r>
        <w:rPr>
          <w:rFonts w:hint="eastAsia"/>
          <w:b w:val="0"/>
          <w:bCs w:val="0"/>
          <w:highlight w:val="none"/>
          <w:lang w:eastAsia="zh-CN"/>
        </w:rPr>
        <w:t>（3）仪器正常工作环境温度为5℃～40℃，相对湿度30%～80%，需远离强电磁场干扰源，工作场地防尘、防振，空气中无酸、盐等腐蚀性气体。运输时包装完好，防止剧烈冲击、雨淋和暴晒，中转时合理堆放。贮存时放置在阴凉干燥、防湿通风处，不能露天堆放，避免雨雪浸入，贮存运输环境温度 -20℃～ +55℃，相对湿度≤93%，无腐蚀性气体且通风良好。</w:t>
      </w:r>
    </w:p>
    <w:p w14:paraId="768C9BB9">
      <w:pPr>
        <w:rPr>
          <w:rFonts w:hint="eastAsia"/>
          <w:b w:val="0"/>
          <w:bCs w:val="0"/>
          <w:highlight w:val="none"/>
          <w:lang w:eastAsia="zh-CN"/>
        </w:rPr>
      </w:pPr>
      <w:r>
        <w:rPr>
          <w:rFonts w:hint="eastAsia"/>
          <w:b w:val="0"/>
          <w:bCs w:val="0"/>
          <w:highlight w:val="none"/>
          <w:lang w:eastAsia="zh-CN"/>
        </w:rPr>
        <w:t xml:space="preserve">（4）请勿让任何溶剂、油脂类、腐蚀性物质接触仪器。仪器使用期限为6年，效期结束后按规定处理或联系回收，避免污染环境。 </w:t>
      </w:r>
    </w:p>
    <w:p w14:paraId="1BA5BF39">
      <w:pPr>
        <w:ind w:firstLine="480"/>
        <w:rPr>
          <w:rFonts w:hint="eastAsia"/>
          <w:color w:val="auto"/>
          <w:highlight w:val="none"/>
        </w:rPr>
      </w:pPr>
    </w:p>
    <w:p w14:paraId="08FEA102">
      <w:pPr>
        <w:pStyle w:val="2"/>
        <w:bidi w:val="0"/>
        <w:rPr>
          <w:rFonts w:hint="default"/>
          <w:color w:val="auto"/>
          <w:highlight w:val="none"/>
          <w:lang w:val="en-US" w:eastAsia="zh-CN"/>
        </w:rPr>
        <w:sectPr>
          <w:pgSz w:w="11906" w:h="16838"/>
          <w:pgMar w:top="1440" w:right="1800" w:bottom="1440" w:left="1800" w:header="851" w:footer="992" w:gutter="0"/>
          <w:pgNumType w:fmt="decimal"/>
          <w:cols w:space="425" w:num="1"/>
          <w:docGrid w:type="lines" w:linePitch="312" w:charSpace="0"/>
        </w:sectPr>
      </w:pPr>
      <w:bookmarkStart w:id="27" w:name="_Toc18219"/>
    </w:p>
    <w:p w14:paraId="536B31F0">
      <w:pPr>
        <w:pStyle w:val="2"/>
        <w:bidi w:val="0"/>
        <w:rPr>
          <w:rFonts w:hint="default"/>
          <w:color w:val="auto"/>
          <w:highlight w:val="none"/>
          <w:lang w:val="en-US" w:eastAsia="zh-CN"/>
        </w:rPr>
      </w:pPr>
      <w:bookmarkStart w:id="28" w:name="_Toc3782"/>
      <w:r>
        <w:rPr>
          <w:rFonts w:hint="eastAsia"/>
          <w:color w:val="auto"/>
          <w:highlight w:val="none"/>
          <w:lang w:val="en-US" w:eastAsia="zh-CN"/>
        </w:rPr>
        <w:t>案例展示</w:t>
      </w:r>
      <w:bookmarkEnd w:id="27"/>
      <w:bookmarkEnd w:id="28"/>
    </w:p>
    <w:p w14:paraId="3D11A92C">
      <w:pPr>
        <w:pStyle w:val="3"/>
        <w:bidi w:val="0"/>
        <w:rPr>
          <w:rFonts w:hint="default"/>
          <w:color w:val="auto"/>
          <w:highlight w:val="none"/>
          <w:lang w:val="en-US" w:eastAsia="zh-CN"/>
        </w:rPr>
      </w:pPr>
      <w:bookmarkStart w:id="29" w:name="_Toc27698"/>
      <w:r>
        <w:rPr>
          <w:rFonts w:hint="eastAsia"/>
          <w:color w:val="auto"/>
          <w:highlight w:val="none"/>
          <w:lang w:val="en-US" w:eastAsia="zh-CN"/>
        </w:rPr>
        <w:t>案例1：安徽某湖泊水生态水质监测</w:t>
      </w:r>
      <w:bookmarkEnd w:id="29"/>
    </w:p>
    <w:p w14:paraId="354A6624">
      <w:pPr>
        <w:rPr>
          <w:rFonts w:hint="eastAsia"/>
          <w:highlight w:val="none"/>
          <w:lang w:val="en-US" w:eastAsia="zh-CN"/>
        </w:rPr>
      </w:pPr>
      <w:r>
        <w:rPr>
          <w:rFonts w:hint="eastAsia"/>
          <w:highlight w:val="none"/>
          <w:lang w:val="en-US" w:eastAsia="zh-CN"/>
        </w:rPr>
        <w:t>监测参数：PH、浊度、电导率、溶解氧、COD、氨氮、叶绿素、蓝绿藻</w:t>
      </w:r>
    </w:p>
    <w:p w14:paraId="65D0023A">
      <w:pPr>
        <w:jc w:val="center"/>
        <w:rPr>
          <w:rFonts w:hint="default"/>
          <w:color w:val="auto"/>
          <w:highlight w:val="none"/>
          <w:lang w:val="en-US" w:eastAsia="zh-CN"/>
        </w:rPr>
      </w:pPr>
      <w:r>
        <w:rPr>
          <w:rFonts w:hint="default"/>
          <w:color w:val="auto"/>
          <w:highlight w:val="none"/>
          <w:lang w:val="en-US" w:eastAsia="zh-CN"/>
        </w:rPr>
        <w:drawing>
          <wp:inline distT="0" distB="0" distL="114300" distR="114300">
            <wp:extent cx="3900170" cy="2925445"/>
            <wp:effectExtent l="0" t="0" r="1270" b="635"/>
            <wp:docPr id="10" name="图片 10" descr="IMG_3893.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3893.HEIC"/>
                    <pic:cNvPicPr>
                      <a:picLocks noChangeAspect="1"/>
                    </pic:cNvPicPr>
                  </pic:nvPicPr>
                  <pic:blipFill>
                    <a:blip r:embed="rId25"/>
                    <a:stretch>
                      <a:fillRect/>
                    </a:stretch>
                  </pic:blipFill>
                  <pic:spPr>
                    <a:xfrm>
                      <a:off x="0" y="0"/>
                      <a:ext cx="3900170" cy="2925445"/>
                    </a:xfrm>
                    <a:prstGeom prst="rect">
                      <a:avLst/>
                    </a:prstGeom>
                  </pic:spPr>
                </pic:pic>
              </a:graphicData>
            </a:graphic>
          </wp:inline>
        </w:drawing>
      </w:r>
    </w:p>
    <w:p w14:paraId="21D81ABA">
      <w:pPr>
        <w:jc w:val="center"/>
        <w:rPr>
          <w:rFonts w:hint="default"/>
          <w:color w:val="auto"/>
          <w:highlight w:val="none"/>
          <w:lang w:val="en-US" w:eastAsia="zh-CN"/>
        </w:rPr>
      </w:pPr>
    </w:p>
    <w:p w14:paraId="2FE4A302">
      <w:pPr>
        <w:pStyle w:val="3"/>
        <w:bidi w:val="0"/>
        <w:rPr>
          <w:rFonts w:hint="eastAsia"/>
          <w:color w:val="auto"/>
          <w:highlight w:val="none"/>
          <w:lang w:val="en-US" w:eastAsia="zh-CN"/>
        </w:rPr>
      </w:pPr>
      <w:bookmarkStart w:id="30" w:name="_Toc31707"/>
      <w:r>
        <w:rPr>
          <w:rFonts w:hint="eastAsia"/>
          <w:color w:val="auto"/>
          <w:highlight w:val="none"/>
          <w:lang w:val="en-US" w:eastAsia="zh-CN"/>
        </w:rPr>
        <w:t>案例2：山东济南市某景观</w:t>
      </w:r>
      <w:bookmarkStart w:id="31" w:name="_GoBack"/>
      <w:bookmarkEnd w:id="31"/>
      <w:r>
        <w:rPr>
          <w:rFonts w:hint="eastAsia"/>
          <w:color w:val="auto"/>
          <w:highlight w:val="none"/>
          <w:lang w:val="en-US" w:eastAsia="zh-CN"/>
        </w:rPr>
        <w:t>生态水监测项目</w:t>
      </w:r>
      <w:bookmarkEnd w:id="30"/>
    </w:p>
    <w:p w14:paraId="7D07A888">
      <w:pPr>
        <w:rPr>
          <w:rFonts w:hint="eastAsia"/>
          <w:color w:val="auto"/>
          <w:highlight w:val="none"/>
          <w:lang w:val="en-US" w:eastAsia="zh-CN"/>
        </w:rPr>
      </w:pPr>
      <w:r>
        <w:drawing>
          <wp:inline distT="0" distB="0" distL="114300" distR="114300">
            <wp:extent cx="2176780" cy="2563495"/>
            <wp:effectExtent l="0" t="0" r="2540" b="12065"/>
            <wp:docPr id="9" name="图片 1" descr="IMG_3051.HE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IMG_3051.HEIC.JPG"/>
                    <pic:cNvPicPr>
                      <a:picLocks noChangeAspect="1"/>
                    </pic:cNvPicPr>
                  </pic:nvPicPr>
                  <pic:blipFill>
                    <a:blip r:embed="rId26"/>
                    <a:srcRect l="11186" t="19694" r="2097" b="3657"/>
                    <a:stretch>
                      <a:fillRect/>
                    </a:stretch>
                  </pic:blipFill>
                  <pic:spPr>
                    <a:xfrm>
                      <a:off x="0" y="0"/>
                      <a:ext cx="2176780" cy="2563495"/>
                    </a:xfrm>
                    <a:prstGeom prst="rect">
                      <a:avLst/>
                    </a:prstGeom>
                  </pic:spPr>
                </pic:pic>
              </a:graphicData>
            </a:graphic>
          </wp:inline>
        </w:drawing>
      </w:r>
      <w:r>
        <w:drawing>
          <wp:inline distT="0" distB="0" distL="114300" distR="114300">
            <wp:extent cx="2313940" cy="2581275"/>
            <wp:effectExtent l="0" t="0" r="2540" b="9525"/>
            <wp:docPr id="19" name="图片 -2147482000" descr="IMG_3044.HE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147482000" descr="IMG_3044.HEIC.JPG"/>
                    <pic:cNvPicPr>
                      <a:picLocks noChangeAspect="1"/>
                    </pic:cNvPicPr>
                  </pic:nvPicPr>
                  <pic:blipFill>
                    <a:blip r:embed="rId27"/>
                    <a:srcRect l="19413" r="13381"/>
                    <a:stretch>
                      <a:fillRect/>
                    </a:stretch>
                  </pic:blipFill>
                  <pic:spPr>
                    <a:xfrm>
                      <a:off x="0" y="0"/>
                      <a:ext cx="2313940" cy="2581275"/>
                    </a:xfrm>
                    <a:prstGeom prst="rect">
                      <a:avLst/>
                    </a:prstGeom>
                    <a:noFill/>
                    <a:ln w="9525">
                      <a:noFill/>
                    </a:ln>
                  </pic:spPr>
                </pic:pic>
              </a:graphicData>
            </a:graphic>
          </wp:inline>
        </w:drawing>
      </w:r>
    </w:p>
    <w:p w14:paraId="4D672CC6">
      <w:pPr>
        <w:rPr>
          <w:rFonts w:hint="eastAsia"/>
          <w:color w:val="auto"/>
          <w:highlight w:val="none"/>
          <w:lang w:val="en-US" w:eastAsia="zh-CN"/>
        </w:rPr>
      </w:pPr>
    </w:p>
    <w:p w14:paraId="3066EA33">
      <w:pPr>
        <w:jc w:val="both"/>
        <w:rPr>
          <w:rFonts w:hint="default"/>
          <w:color w:val="auto"/>
          <w:highlight w:val="none"/>
          <w:lang w:val="en-US" w:eastAsia="zh-CN"/>
        </w:rPr>
      </w:pPr>
    </w:p>
    <w:sectPr>
      <w:pgSz w:w="11906" w:h="16838"/>
      <w:pgMar w:top="1440" w:right="1800" w:bottom="1440"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A"/>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Times">
    <w:altName w:val="Times New Roman"/>
    <w:panose1 w:val="02020603050405020304"/>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575DEA">
    <w:pPr>
      <w:pStyle w:val="12"/>
      <w:rPr>
        <w:rFonts w:ascii="Times New Roman" w:hAnsi="Times New Roman"/>
      </w:rPr>
    </w:pPr>
    <w:r>
      <w:rPr>
        <w:sz w:val="18"/>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0</wp:posOffset>
              </wp:positionV>
              <wp:extent cx="3019425"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301942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93E04B">
                          <w:pPr>
                            <w:pStyle w:val="12"/>
                            <w:rPr>
                              <w:rFonts w:hint="default" w:eastAsia="宋体"/>
                              <w:lang w:val="en-US" w:eastAsia="zh-CN"/>
                            </w:rPr>
                          </w:pPr>
                          <w:r>
                            <w:rPr>
                              <w:rFonts w:hint="eastAsia" w:ascii="Times New Roman" w:hAnsi="Times New Roman"/>
                            </w:rPr>
                            <w:t xml:space="preserve">凯米斯科技                         </w:t>
                          </w:r>
                          <w:r>
                            <w:rPr>
                              <w:rFonts w:hint="eastAsia" w:ascii="Times New Roman" w:hAnsi="Times New Roman"/>
                              <w:lang w:val="en-US" w:eastAsia="zh-CN"/>
                            </w:rPr>
                            <w:t xml:space="preserve"> </w:t>
                          </w:r>
                          <w:r>
                            <w:rPr>
                              <w:rFonts w:hint="eastAsia" w:ascii="Times New Roman" w:hAnsi="Times New Roman"/>
                            </w:rPr>
                            <w:t xml:space="preserve">     </w:t>
                          </w:r>
                          <w:r>
                            <w:rPr>
                              <w:rFonts w:ascii="Times New Roman" w:hAnsi="Times New Roman"/>
                            </w:rPr>
                            <w:fldChar w:fldCharType="begin"/>
                          </w:r>
                          <w:r>
                            <w:rPr>
                              <w:rFonts w:ascii="Times New Roman" w:hAnsi="Times New Roman"/>
                            </w:rPr>
                            <w:instrText xml:space="preserve"> PAGE </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r>
                            <w:rPr>
                              <w:rFonts w:ascii="Times New Roman" w:hAnsi="Times New Roman"/>
                            </w:rPr>
                            <w:t xml:space="preserve"> /</w:t>
                          </w:r>
                          <w:r>
                            <w:rPr>
                              <w:rFonts w:hint="eastAsia" w:ascii="Times New Roman" w:hAnsi="Times New Roman"/>
                              <w:lang w:val="en-US" w:eastAsia="zh-CN"/>
                            </w:rPr>
                            <w:t>16</w:t>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237.75pt;mso-position-horizontal:left;mso-position-horizontal-relative:margin;z-index:251659264;mso-width-relative:page;mso-height-relative:page;" filled="f" stroked="f" coordsize="21600,21600" o:gfxdata="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urG9d1QAAAAUBAAAPAAAAAAAAAAEAIAAAACIAAABkcnMvZG93bnJl&#10;di54bWxQSwECFAAUAAAACACHTuJAIA3q3zkCAABjBAAADgAAAAAAAAABACAAAAAkAQAAZHJzL2Uy&#10;b0RvYy54bWxQSwUGAAAAAAYABgBZAQAAzwUAAAAA&#10;">
              <v:fill on="f" focussize="0,0"/>
              <v:stroke on="f" weight="0.5pt"/>
              <v:imagedata o:title=""/>
              <o:lock v:ext="edit" aspectratio="f"/>
              <v:textbox inset="0mm,0mm,0mm,0mm" style="mso-fit-shape-to-text:t;">
                <w:txbxContent>
                  <w:p w14:paraId="2793E04B">
                    <w:pPr>
                      <w:pStyle w:val="12"/>
                      <w:rPr>
                        <w:rFonts w:hint="default" w:eastAsia="宋体"/>
                        <w:lang w:val="en-US" w:eastAsia="zh-CN"/>
                      </w:rPr>
                    </w:pPr>
                    <w:r>
                      <w:rPr>
                        <w:rFonts w:hint="eastAsia" w:ascii="Times New Roman" w:hAnsi="Times New Roman"/>
                      </w:rPr>
                      <w:t xml:space="preserve">凯米斯科技                         </w:t>
                    </w:r>
                    <w:r>
                      <w:rPr>
                        <w:rFonts w:hint="eastAsia" w:ascii="Times New Roman" w:hAnsi="Times New Roman"/>
                        <w:lang w:val="en-US" w:eastAsia="zh-CN"/>
                      </w:rPr>
                      <w:t xml:space="preserve"> </w:t>
                    </w:r>
                    <w:r>
                      <w:rPr>
                        <w:rFonts w:hint="eastAsia" w:ascii="Times New Roman" w:hAnsi="Times New Roman"/>
                      </w:rPr>
                      <w:t xml:space="preserve">     </w:t>
                    </w:r>
                    <w:r>
                      <w:rPr>
                        <w:rFonts w:ascii="Times New Roman" w:hAnsi="Times New Roman"/>
                      </w:rPr>
                      <w:fldChar w:fldCharType="begin"/>
                    </w:r>
                    <w:r>
                      <w:rPr>
                        <w:rFonts w:ascii="Times New Roman" w:hAnsi="Times New Roman"/>
                      </w:rPr>
                      <w:instrText xml:space="preserve"> PAGE </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r>
                      <w:rPr>
                        <w:rFonts w:ascii="Times New Roman" w:hAnsi="Times New Roman"/>
                      </w:rPr>
                      <w:t xml:space="preserve"> /</w:t>
                    </w:r>
                    <w:r>
                      <w:rPr>
                        <w:rFonts w:hint="eastAsia" w:ascii="Times New Roman" w:hAnsi="Times New Roman"/>
                        <w:lang w:val="en-US" w:eastAsia="zh-CN"/>
                      </w:rPr>
                      <w:t>16</w:t>
                    </w:r>
                  </w:p>
                </w:txbxContent>
              </v:textbox>
            </v:shape>
          </w:pict>
        </mc:Fallback>
      </mc:AlternateContent>
    </w:r>
  </w:p>
  <w:p w14:paraId="7BEF5B3B">
    <w:pPr>
      <w:pStyle w:val="12"/>
      <w:rPr>
        <w:rFonts w:hint="eastAsia" w:ascii="Times New Roman" w:hAnsi="Times New Roman"/>
      </w:rPr>
    </w:pPr>
    <w:r>
      <w:fldChar w:fldCharType="begin"/>
    </w:r>
    <w:r>
      <w:instrText xml:space="preserve"> HYPERLINK "http://www.chemins-tech.com" </w:instrText>
    </w:r>
    <w:r>
      <w:fldChar w:fldCharType="separate"/>
    </w:r>
    <w:r>
      <w:rPr>
        <w:rStyle w:val="21"/>
        <w:rFonts w:hint="eastAsia" w:ascii="Times New Roman" w:hAnsi="Times New Roman"/>
      </w:rPr>
      <w:t>www.chemins-tech.com</w:t>
    </w:r>
    <w:r>
      <w:rPr>
        <w:rStyle w:val="21"/>
        <w:rFonts w:hint="eastAsia" w:ascii="Times New Roman" w:hAnsi="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30D0AF">
    <w:pPr>
      <w:pStyle w:val="13"/>
      <w:pBdr>
        <w:bottom w:val="single" w:color="auto" w:sz="4" w:space="0"/>
      </w:pBdr>
      <w:jc w:val="left"/>
      <w:rPr>
        <w:rFonts w:hint="eastAsia"/>
      </w:rPr>
    </w:pPr>
    <w:r>
      <w:drawing>
        <wp:inline distT="0" distB="0" distL="0" distR="0">
          <wp:extent cx="1691640" cy="411480"/>
          <wp:effectExtent l="0" t="0" r="0" b="0"/>
          <wp:docPr id="188677978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779782" name="图片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691640" cy="41148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0F61EA">
    <w:pPr>
      <w:pStyle w:val="13"/>
      <w:pBdr>
        <w:bottom w:val="single" w:color="auto" w:sz="4" w:space="0"/>
      </w:pBdr>
      <w:jc w:val="left"/>
      <w:rPr>
        <w:rFonts w:hint="eastAsia"/>
      </w:rPr>
    </w:pPr>
    <w:r>
      <w:drawing>
        <wp:inline distT="0" distB="0" distL="0" distR="0">
          <wp:extent cx="1691640" cy="411480"/>
          <wp:effectExtent l="0" t="0" r="0" b="0"/>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691640" cy="41148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F899FA3"/>
    <w:multiLevelType w:val="singleLevel"/>
    <w:tmpl w:val="DF899FA3"/>
    <w:lvl w:ilvl="0" w:tentative="0">
      <w:start w:val="2"/>
      <w:numFmt w:val="decimal"/>
      <w:suff w:val="nothing"/>
      <w:lvlText w:val="（%1）"/>
      <w:lvlJc w:val="left"/>
    </w:lvl>
  </w:abstractNum>
  <w:abstractNum w:abstractNumId="1">
    <w:nsid w:val="1E54C0CB"/>
    <w:multiLevelType w:val="multilevel"/>
    <w:tmpl w:val="1E54C0CB"/>
    <w:lvl w:ilvl="0" w:tentative="0">
      <w:start w:val="1"/>
      <w:numFmt w:val="chineseCounting"/>
      <w:pStyle w:val="2"/>
      <w:suff w:val="nothing"/>
      <w:lvlText w:val="%1、"/>
      <w:lvlJc w:val="left"/>
      <w:pPr>
        <w:tabs>
          <w:tab w:val="left" w:pos="420"/>
        </w:tabs>
        <w:ind w:left="432" w:hanging="432"/>
      </w:pPr>
      <w:rPr>
        <w:rFonts w:hint="eastAsia"/>
      </w:rPr>
    </w:lvl>
    <w:lvl w:ilvl="1" w:tentative="0">
      <w:start w:val="1"/>
      <w:numFmt w:val="decimal"/>
      <w:pStyle w:val="3"/>
      <w:isLgl/>
      <w:lvlText w:val="%1.%2."/>
      <w:lvlJc w:val="left"/>
      <w:pPr>
        <w:tabs>
          <w:tab w:val="left" w:pos="420"/>
        </w:tabs>
        <w:ind w:left="575" w:hanging="575"/>
      </w:pPr>
      <w:rPr>
        <w:rFonts w:hint="eastAsia"/>
      </w:rPr>
    </w:lvl>
    <w:lvl w:ilvl="2" w:tentative="0">
      <w:start w:val="1"/>
      <w:numFmt w:val="decimal"/>
      <w:pStyle w:val="4"/>
      <w:isLgl/>
      <w:lvlText w:val="%1.%2.%3."/>
      <w:lvlJc w:val="left"/>
      <w:pPr>
        <w:ind w:left="720" w:hanging="720"/>
      </w:pPr>
      <w:rPr>
        <w:rFonts w:hint="eastAsia"/>
      </w:rPr>
    </w:lvl>
    <w:lvl w:ilvl="3" w:tentative="0">
      <w:start w:val="1"/>
      <w:numFmt w:val="decimal"/>
      <w:pStyle w:val="5"/>
      <w:isLgl/>
      <w:lvlText w:val="%1.%2.%3.%4."/>
      <w:lvlJc w:val="left"/>
      <w:pPr>
        <w:ind w:left="864" w:hanging="864"/>
      </w:pPr>
      <w:rPr>
        <w:rFonts w:hint="eastAsia"/>
      </w:rPr>
    </w:lvl>
    <w:lvl w:ilvl="4" w:tentative="0">
      <w:start w:val="1"/>
      <w:numFmt w:val="decimal"/>
      <w:pStyle w:val="6"/>
      <w:isLgl/>
      <w:lvlText w:val="%1.%2.%3.%4.%5."/>
      <w:lvlJc w:val="left"/>
      <w:pPr>
        <w:ind w:left="1008" w:hanging="1008"/>
      </w:pPr>
      <w:rPr>
        <w:rFonts w:hint="eastAsia"/>
      </w:rPr>
    </w:lvl>
    <w:lvl w:ilvl="5" w:tentative="0">
      <w:start w:val="1"/>
      <w:numFmt w:val="decimal"/>
      <w:pStyle w:val="7"/>
      <w:isLgl/>
      <w:lvlText w:val="%1.%2.%3.%4.%5.%6."/>
      <w:lvlJc w:val="left"/>
      <w:pPr>
        <w:ind w:left="1151" w:hanging="1151"/>
      </w:pPr>
      <w:rPr>
        <w:rFonts w:hint="eastAsia"/>
      </w:rPr>
    </w:lvl>
    <w:lvl w:ilvl="6" w:tentative="0">
      <w:start w:val="1"/>
      <w:numFmt w:val="decimal"/>
      <w:pStyle w:val="8"/>
      <w:isLgl/>
      <w:lvlText w:val="%1.%2.%3.%4.%5.%6.%7."/>
      <w:lvlJc w:val="left"/>
      <w:pPr>
        <w:ind w:left="1296" w:hanging="1296"/>
      </w:pPr>
      <w:rPr>
        <w:rFonts w:hint="eastAsia"/>
      </w:rPr>
    </w:lvl>
    <w:lvl w:ilvl="7" w:tentative="0">
      <w:start w:val="1"/>
      <w:numFmt w:val="decimal"/>
      <w:pStyle w:val="9"/>
      <w:isLgl/>
      <w:lvlText w:val="%1.%2.%3.%4.%5.%6.%7.%8."/>
      <w:lvlJc w:val="left"/>
      <w:pPr>
        <w:ind w:left="1440" w:hanging="1440"/>
      </w:pPr>
      <w:rPr>
        <w:rFonts w:hint="eastAsia"/>
      </w:rPr>
    </w:lvl>
    <w:lvl w:ilvl="8" w:tentative="0">
      <w:start w:val="1"/>
      <w:numFmt w:val="decimal"/>
      <w:pStyle w:val="10"/>
      <w:isLgl/>
      <w:lvlText w:val="%1.%2.%3.%4.%5.%6.%7.%8.%9."/>
      <w:lvlJc w:val="left"/>
      <w:pPr>
        <w:ind w:left="1583" w:hanging="1583"/>
      </w:pPr>
      <w:rPr>
        <w:rFonts w:hint="eastAsia"/>
      </w:rPr>
    </w:lvl>
  </w:abstractNum>
  <w:abstractNum w:abstractNumId="2">
    <w:nsid w:val="6EAB0D77"/>
    <w:multiLevelType w:val="singleLevel"/>
    <w:tmpl w:val="6EAB0D77"/>
    <w:lvl w:ilvl="0" w:tentative="0">
      <w:start w:val="1"/>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0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53CB"/>
    <w:rsid w:val="0000331B"/>
    <w:rsid w:val="000E70C4"/>
    <w:rsid w:val="002438FD"/>
    <w:rsid w:val="003B326D"/>
    <w:rsid w:val="008753CB"/>
    <w:rsid w:val="008D7448"/>
    <w:rsid w:val="00A10114"/>
    <w:rsid w:val="00A30227"/>
    <w:rsid w:val="09DF435C"/>
    <w:rsid w:val="0C365ED4"/>
    <w:rsid w:val="0CF05FA0"/>
    <w:rsid w:val="12AE6653"/>
    <w:rsid w:val="1456008E"/>
    <w:rsid w:val="14D33DC6"/>
    <w:rsid w:val="15FB79DC"/>
    <w:rsid w:val="162532A1"/>
    <w:rsid w:val="1C924AE9"/>
    <w:rsid w:val="1D1D4E2C"/>
    <w:rsid w:val="1FE35C4B"/>
    <w:rsid w:val="232322E2"/>
    <w:rsid w:val="232E2E6E"/>
    <w:rsid w:val="25E76B6C"/>
    <w:rsid w:val="2A957AD6"/>
    <w:rsid w:val="3CAD2E9B"/>
    <w:rsid w:val="416830A7"/>
    <w:rsid w:val="41E23AAD"/>
    <w:rsid w:val="4283171C"/>
    <w:rsid w:val="446A6739"/>
    <w:rsid w:val="4DA8648A"/>
    <w:rsid w:val="5A9164F8"/>
    <w:rsid w:val="5C2514E6"/>
    <w:rsid w:val="636B69F0"/>
    <w:rsid w:val="63E903C1"/>
    <w:rsid w:val="65347B9E"/>
    <w:rsid w:val="67917192"/>
    <w:rsid w:val="7761419B"/>
    <w:rsid w:val="799F35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unhideWhenUsed="0" w:uiPriority="22" w:semiHidden="0" w:name="Strong"/>
    <w:lsdException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宋体" w:hAnsi="宋体" w:eastAsia="宋体" w:cs="宋体"/>
      <w:kern w:val="2"/>
      <w:sz w:val="24"/>
      <w:szCs w:val="24"/>
      <w:lang w:val="en-US" w:eastAsia="zh-CN" w:bidi="ar-SA"/>
    </w:rPr>
  </w:style>
  <w:style w:type="paragraph" w:styleId="2">
    <w:name w:val="heading 1"/>
    <w:basedOn w:val="1"/>
    <w:next w:val="1"/>
    <w:link w:val="22"/>
    <w:qFormat/>
    <w:uiPriority w:val="9"/>
    <w:pPr>
      <w:keepNext/>
      <w:keepLines/>
      <w:numPr>
        <w:ilvl w:val="0"/>
        <w:numId w:val="1"/>
      </w:numPr>
      <w:ind w:left="432" w:hanging="432" w:firstLineChars="0"/>
      <w:jc w:val="left"/>
      <w:outlineLvl w:val="0"/>
    </w:pPr>
    <w:rPr>
      <w:b/>
      <w:sz w:val="36"/>
      <w:szCs w:val="32"/>
    </w:rPr>
  </w:style>
  <w:style w:type="paragraph" w:styleId="3">
    <w:name w:val="heading 2"/>
    <w:basedOn w:val="1"/>
    <w:next w:val="1"/>
    <w:link w:val="23"/>
    <w:unhideWhenUsed/>
    <w:qFormat/>
    <w:uiPriority w:val="9"/>
    <w:pPr>
      <w:keepNext/>
      <w:keepLines/>
      <w:numPr>
        <w:ilvl w:val="1"/>
        <w:numId w:val="1"/>
      </w:numPr>
      <w:ind w:left="575" w:hanging="575" w:firstLineChars="0"/>
      <w:jc w:val="left"/>
      <w:outlineLvl w:val="1"/>
    </w:pPr>
    <w:rPr>
      <w:b/>
      <w:sz w:val="32"/>
      <w:szCs w:val="30"/>
    </w:rPr>
  </w:style>
  <w:style w:type="paragraph" w:styleId="4">
    <w:name w:val="heading 3"/>
    <w:basedOn w:val="1"/>
    <w:next w:val="1"/>
    <w:link w:val="24"/>
    <w:unhideWhenUsed/>
    <w:qFormat/>
    <w:uiPriority w:val="9"/>
    <w:pPr>
      <w:keepNext/>
      <w:keepLines/>
      <w:numPr>
        <w:ilvl w:val="2"/>
        <w:numId w:val="1"/>
      </w:numPr>
      <w:ind w:firstLineChars="0"/>
      <w:jc w:val="left"/>
      <w:outlineLvl w:val="2"/>
    </w:pPr>
    <w:rPr>
      <w:b/>
      <w:sz w:val="30"/>
      <w:szCs w:val="32"/>
    </w:rPr>
  </w:style>
  <w:style w:type="paragraph" w:styleId="5">
    <w:name w:val="heading 4"/>
    <w:basedOn w:val="1"/>
    <w:next w:val="1"/>
    <w:link w:val="25"/>
    <w:unhideWhenUsed/>
    <w:qFormat/>
    <w:uiPriority w:val="9"/>
    <w:pPr>
      <w:keepNext/>
      <w:keepLines/>
      <w:numPr>
        <w:ilvl w:val="3"/>
        <w:numId w:val="1"/>
      </w:numPr>
      <w:ind w:left="0" w:firstLine="720" w:firstLineChars="200"/>
      <w:outlineLvl w:val="3"/>
    </w:pPr>
    <w:rPr>
      <w:rFonts w:cstheme="majorBidi"/>
      <w:b/>
      <w:color w:val="auto"/>
      <w:sz w:val="28"/>
      <w:szCs w:val="28"/>
    </w:rPr>
  </w:style>
  <w:style w:type="paragraph" w:styleId="6">
    <w:name w:val="heading 5"/>
    <w:basedOn w:val="5"/>
    <w:next w:val="1"/>
    <w:link w:val="26"/>
    <w:semiHidden/>
    <w:unhideWhenUsed/>
    <w:qFormat/>
    <w:uiPriority w:val="9"/>
    <w:pPr>
      <w:keepNext/>
      <w:keepLines/>
      <w:numPr>
        <w:ilvl w:val="4"/>
        <w:numId w:val="1"/>
      </w:numPr>
      <w:spacing w:before="80" w:after="40"/>
      <w:ind w:left="1008" w:hanging="1008" w:firstLineChars="0"/>
      <w:outlineLvl w:val="4"/>
    </w:pPr>
    <w:rPr>
      <w:rFonts w:ascii="宋体" w:hAnsi="宋体" w:eastAsia="宋体"/>
      <w:color w:val="auto"/>
    </w:rPr>
  </w:style>
  <w:style w:type="paragraph" w:styleId="7">
    <w:name w:val="heading 6"/>
    <w:basedOn w:val="1"/>
    <w:next w:val="1"/>
    <w:link w:val="27"/>
    <w:semiHidden/>
    <w:unhideWhenUsed/>
    <w:qFormat/>
    <w:uiPriority w:val="9"/>
    <w:pPr>
      <w:keepNext/>
      <w:keepLines/>
      <w:numPr>
        <w:ilvl w:val="5"/>
        <w:numId w:val="1"/>
      </w:numPr>
      <w:spacing w:before="40"/>
      <w:ind w:left="1151" w:hanging="1151" w:firstLineChars="0"/>
      <w:outlineLvl w:val="5"/>
    </w:pPr>
    <w:rPr>
      <w:rFonts w:cstheme="majorBidi"/>
      <w:b/>
      <w:bCs/>
      <w:color w:val="104862" w:themeColor="accent1" w:themeShade="BF"/>
    </w:rPr>
  </w:style>
  <w:style w:type="paragraph" w:styleId="8">
    <w:name w:val="heading 7"/>
    <w:basedOn w:val="1"/>
    <w:next w:val="1"/>
    <w:link w:val="28"/>
    <w:semiHidden/>
    <w:unhideWhenUsed/>
    <w:qFormat/>
    <w:uiPriority w:val="9"/>
    <w:pPr>
      <w:keepNext/>
      <w:keepLines/>
      <w:numPr>
        <w:ilvl w:val="6"/>
        <w:numId w:val="1"/>
      </w:numPr>
      <w:spacing w:before="40"/>
      <w:ind w:left="1296" w:hanging="1296" w:firstLineChars="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9"/>
    <w:semiHidden/>
    <w:unhideWhenUsed/>
    <w:qFormat/>
    <w:uiPriority w:val="9"/>
    <w:pPr>
      <w:keepNext/>
      <w:keepLines/>
      <w:numPr>
        <w:ilvl w:val="7"/>
        <w:numId w:val="1"/>
      </w:numPr>
      <w:ind w:left="1440" w:hanging="1440" w:firstLineChars="0"/>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30"/>
    <w:semiHidden/>
    <w:unhideWhenUsed/>
    <w:qFormat/>
    <w:uiPriority w:val="9"/>
    <w:pPr>
      <w:keepNext/>
      <w:keepLines/>
      <w:numPr>
        <w:ilvl w:val="8"/>
        <w:numId w:val="1"/>
      </w:numPr>
      <w:ind w:left="1583" w:hanging="1583" w:firstLineChars="0"/>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11">
    <w:name w:val="toc 3"/>
    <w:basedOn w:val="1"/>
    <w:next w:val="1"/>
    <w:semiHidden/>
    <w:unhideWhenUsed/>
    <w:qFormat/>
    <w:uiPriority w:val="39"/>
    <w:pPr>
      <w:ind w:left="840" w:leftChars="400"/>
    </w:pPr>
  </w:style>
  <w:style w:type="paragraph" w:styleId="12">
    <w:name w:val="footer"/>
    <w:basedOn w:val="1"/>
    <w:link w:val="40"/>
    <w:unhideWhenUsed/>
    <w:qFormat/>
    <w:uiPriority w:val="99"/>
    <w:pPr>
      <w:tabs>
        <w:tab w:val="center" w:pos="4153"/>
        <w:tab w:val="right" w:pos="8306"/>
      </w:tabs>
      <w:snapToGrid w:val="0"/>
      <w:jc w:val="left"/>
    </w:pPr>
    <w:rPr>
      <w:sz w:val="18"/>
      <w:szCs w:val="18"/>
    </w:rPr>
  </w:style>
  <w:style w:type="paragraph" w:styleId="13">
    <w:name w:val="header"/>
    <w:basedOn w:val="1"/>
    <w:link w:val="39"/>
    <w:unhideWhenUsed/>
    <w:qFormat/>
    <w:uiPriority w:val="99"/>
    <w:pPr>
      <w:tabs>
        <w:tab w:val="center" w:pos="4153"/>
        <w:tab w:val="right" w:pos="8306"/>
      </w:tabs>
      <w:snapToGrid w:val="0"/>
      <w:jc w:val="center"/>
    </w:pPr>
    <w:rPr>
      <w:sz w:val="18"/>
      <w:szCs w:val="18"/>
    </w:rPr>
  </w:style>
  <w:style w:type="paragraph" w:styleId="14">
    <w:name w:val="toc 1"/>
    <w:basedOn w:val="1"/>
    <w:next w:val="1"/>
    <w:semiHidden/>
    <w:unhideWhenUsed/>
    <w:qFormat/>
    <w:uiPriority w:val="39"/>
  </w:style>
  <w:style w:type="paragraph" w:styleId="15">
    <w:name w:val="Subtitle"/>
    <w:basedOn w:val="1"/>
    <w:next w:val="1"/>
    <w:link w:val="32"/>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6">
    <w:name w:val="toc 2"/>
    <w:basedOn w:val="1"/>
    <w:next w:val="1"/>
    <w:semiHidden/>
    <w:unhideWhenUsed/>
    <w:qFormat/>
    <w:uiPriority w:val="39"/>
    <w:pPr>
      <w:ind w:left="420" w:leftChars="200"/>
    </w:pPr>
  </w:style>
  <w:style w:type="paragraph" w:styleId="17">
    <w:name w:val="Title"/>
    <w:basedOn w:val="1"/>
    <w:next w:val="1"/>
    <w:link w:val="31"/>
    <w:qFormat/>
    <w:uiPriority w:val="10"/>
    <w:pPr>
      <w:spacing w:after="80"/>
      <w:contextualSpacing/>
      <w:jc w:val="center"/>
    </w:pPr>
    <w:rPr>
      <w:rFonts w:asciiTheme="majorHAnsi" w:hAnsiTheme="majorHAnsi" w:eastAsiaTheme="majorEastAsia" w:cstheme="majorBidi"/>
      <w:spacing w:val="-10"/>
      <w:kern w:val="28"/>
      <w:sz w:val="56"/>
      <w:szCs w:val="56"/>
    </w:rPr>
  </w:style>
  <w:style w:type="table" w:styleId="19">
    <w:name w:val="Table Grid"/>
    <w:basedOn w:val="18"/>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Hyperlink"/>
    <w:basedOn w:val="20"/>
    <w:unhideWhenUsed/>
    <w:qFormat/>
    <w:uiPriority w:val="99"/>
    <w:rPr>
      <w:color w:val="0563C1"/>
      <w:u w:val="single"/>
    </w:rPr>
  </w:style>
  <w:style w:type="character" w:customStyle="1" w:styleId="22">
    <w:name w:val="标题 1 字符"/>
    <w:basedOn w:val="20"/>
    <w:link w:val="2"/>
    <w:qFormat/>
    <w:uiPriority w:val="9"/>
    <w:rPr>
      <w:rFonts w:ascii="宋体" w:hAnsi="宋体" w:eastAsia="宋体" w:cs="宋体"/>
      <w:b/>
      <w:sz w:val="36"/>
      <w:szCs w:val="32"/>
    </w:rPr>
  </w:style>
  <w:style w:type="character" w:customStyle="1" w:styleId="23">
    <w:name w:val="标题 2 字符"/>
    <w:basedOn w:val="20"/>
    <w:link w:val="3"/>
    <w:qFormat/>
    <w:uiPriority w:val="9"/>
    <w:rPr>
      <w:rFonts w:ascii="宋体" w:hAnsi="宋体" w:eastAsia="宋体" w:cs="宋体"/>
      <w:b/>
      <w:sz w:val="32"/>
      <w:szCs w:val="30"/>
    </w:rPr>
  </w:style>
  <w:style w:type="character" w:customStyle="1" w:styleId="24">
    <w:name w:val="标题 3 字符"/>
    <w:basedOn w:val="20"/>
    <w:link w:val="4"/>
    <w:qFormat/>
    <w:uiPriority w:val="9"/>
    <w:rPr>
      <w:rFonts w:ascii="宋体" w:hAnsi="宋体" w:eastAsia="宋体" w:cs="宋体"/>
      <w:b/>
      <w:sz w:val="30"/>
      <w:szCs w:val="32"/>
    </w:rPr>
  </w:style>
  <w:style w:type="character" w:customStyle="1" w:styleId="25">
    <w:name w:val="标题 4 字符"/>
    <w:basedOn w:val="20"/>
    <w:link w:val="5"/>
    <w:semiHidden/>
    <w:qFormat/>
    <w:uiPriority w:val="9"/>
    <w:rPr>
      <w:rFonts w:ascii="宋体" w:hAnsi="宋体" w:eastAsia="宋体" w:cstheme="majorBidi"/>
      <w:b/>
      <w:color w:val="auto"/>
      <w:sz w:val="28"/>
      <w:szCs w:val="28"/>
    </w:rPr>
  </w:style>
  <w:style w:type="character" w:customStyle="1" w:styleId="26">
    <w:name w:val="标题 5 字符"/>
    <w:basedOn w:val="20"/>
    <w:link w:val="6"/>
    <w:semiHidden/>
    <w:qFormat/>
    <w:uiPriority w:val="9"/>
    <w:rPr>
      <w:rFonts w:ascii="宋体" w:hAnsi="宋体" w:eastAsia="宋体" w:cstheme="majorBidi"/>
      <w:color w:val="auto"/>
      <w:sz w:val="24"/>
      <w:szCs w:val="24"/>
    </w:rPr>
  </w:style>
  <w:style w:type="character" w:customStyle="1" w:styleId="27">
    <w:name w:val="标题 6 字符"/>
    <w:basedOn w:val="20"/>
    <w:link w:val="7"/>
    <w:semiHidden/>
    <w:qFormat/>
    <w:uiPriority w:val="9"/>
    <w:rPr>
      <w:rFonts w:cstheme="majorBidi"/>
      <w:b/>
      <w:bCs/>
      <w:color w:val="104862" w:themeColor="accent1" w:themeShade="BF"/>
    </w:rPr>
  </w:style>
  <w:style w:type="character" w:customStyle="1" w:styleId="28">
    <w:name w:val="标题 7 字符"/>
    <w:basedOn w:val="20"/>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29">
    <w:name w:val="标题 8 字符"/>
    <w:basedOn w:val="20"/>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30">
    <w:name w:val="标题 9 字符"/>
    <w:basedOn w:val="20"/>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31">
    <w:name w:val="标题 字符"/>
    <w:basedOn w:val="20"/>
    <w:link w:val="17"/>
    <w:qFormat/>
    <w:uiPriority w:val="10"/>
    <w:rPr>
      <w:rFonts w:asciiTheme="majorHAnsi" w:hAnsiTheme="majorHAnsi" w:eastAsiaTheme="majorEastAsia" w:cstheme="majorBidi"/>
      <w:spacing w:val="-10"/>
      <w:kern w:val="28"/>
      <w:sz w:val="56"/>
      <w:szCs w:val="56"/>
    </w:rPr>
  </w:style>
  <w:style w:type="character" w:customStyle="1" w:styleId="32">
    <w:name w:val="副标题 字符"/>
    <w:basedOn w:val="20"/>
    <w:link w:val="15"/>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3">
    <w:name w:val="Quote"/>
    <w:basedOn w:val="1"/>
    <w:next w:val="1"/>
    <w:link w:val="34"/>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34">
    <w:name w:val="引用 字符"/>
    <w:basedOn w:val="20"/>
    <w:link w:val="33"/>
    <w:qFormat/>
    <w:uiPriority w:val="29"/>
    <w:rPr>
      <w:i/>
      <w:iCs/>
      <w:color w:val="404040" w:themeColor="text1" w:themeTint="BF"/>
      <w14:textFill>
        <w14:solidFill>
          <w14:schemeClr w14:val="tx1">
            <w14:lumMod w14:val="75000"/>
            <w14:lumOff w14:val="25000"/>
          </w14:schemeClr>
        </w14:solidFill>
      </w14:textFill>
    </w:rPr>
  </w:style>
  <w:style w:type="paragraph" w:styleId="35">
    <w:name w:val="List Paragraph"/>
    <w:basedOn w:val="1"/>
    <w:qFormat/>
    <w:uiPriority w:val="34"/>
    <w:pPr>
      <w:ind w:left="720"/>
      <w:contextualSpacing/>
    </w:pPr>
  </w:style>
  <w:style w:type="character" w:customStyle="1" w:styleId="36">
    <w:name w:val="Intense Emphasis"/>
    <w:basedOn w:val="20"/>
    <w:qFormat/>
    <w:uiPriority w:val="21"/>
    <w:rPr>
      <w:i/>
      <w:iCs/>
      <w:color w:val="104862" w:themeColor="accent1" w:themeShade="BF"/>
    </w:rPr>
  </w:style>
  <w:style w:type="paragraph" w:styleId="37">
    <w:name w:val="Intense Quote"/>
    <w:basedOn w:val="1"/>
    <w:next w:val="1"/>
    <w:link w:val="38"/>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38">
    <w:name w:val="明显引用 字符"/>
    <w:basedOn w:val="20"/>
    <w:link w:val="37"/>
    <w:qFormat/>
    <w:uiPriority w:val="30"/>
    <w:rPr>
      <w:i/>
      <w:iCs/>
      <w:color w:val="104862" w:themeColor="accent1" w:themeShade="BF"/>
    </w:rPr>
  </w:style>
  <w:style w:type="character" w:customStyle="1" w:styleId="39">
    <w:name w:val="页眉 字符"/>
    <w:basedOn w:val="20"/>
    <w:link w:val="13"/>
    <w:qFormat/>
    <w:uiPriority w:val="99"/>
    <w:rPr>
      <w:sz w:val="18"/>
      <w:szCs w:val="18"/>
    </w:rPr>
  </w:style>
  <w:style w:type="character" w:customStyle="1" w:styleId="40">
    <w:name w:val="页脚 字符"/>
    <w:basedOn w:val="20"/>
    <w:link w:val="12"/>
    <w:qFormat/>
    <w:uiPriority w:val="99"/>
    <w:rPr>
      <w:sz w:val="18"/>
      <w:szCs w:val="18"/>
    </w:rPr>
  </w:style>
  <w:style w:type="paragraph" w:customStyle="1" w:styleId="41">
    <w:name w:val="WPSOffice手动目录 1"/>
    <w:qFormat/>
    <w:uiPriority w:val="0"/>
    <w:pPr>
      <w:ind w:leftChars="0"/>
    </w:pPr>
    <w:rPr>
      <w:rFonts w:asciiTheme="minorHAnsi" w:hAnsiTheme="minorHAnsi" w:eastAsiaTheme="minorEastAsia" w:cstheme="minorBidi"/>
      <w:sz w:val="20"/>
      <w:szCs w:val="20"/>
    </w:rPr>
  </w:style>
  <w:style w:type="paragraph" w:customStyle="1" w:styleId="42">
    <w:name w:val="列出段落1"/>
    <w:basedOn w:val="1"/>
    <w:qFormat/>
    <w:uiPriority w:val="0"/>
    <w:pPr>
      <w:suppressAutoHyphens/>
      <w:ind w:firstLine="420"/>
      <w:jc w:val="left"/>
    </w:pPr>
    <w:rPr>
      <w:rFonts w:ascii="Times" w:hAnsi="Times" w:cs="Times New Roman"/>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jpe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3754</Words>
  <Characters>4287</Characters>
  <Lines>1</Lines>
  <Paragraphs>1</Paragraphs>
  <TotalTime>2</TotalTime>
  <ScaleCrop>false</ScaleCrop>
  <LinksUpToDate>false</LinksUpToDate>
  <CharactersWithSpaces>4351</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2025-02-07T05:17:00Z</dcterms:created>
  <dc:creator>闫鹏 李</dc:creator>
  <cp:lastModifiedBy>李安liam</cp:lastModifiedBy>
  <dcterms:modified xsi:type="dcterms:W3CDTF">2025-03-19T05:47:21Z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eyJoZGlkIjoiNjAwZTg1MWIxNjM2YjQ2NmZiYjYyM2FkZmRmMjNiODgiLCJ1c2VySWQiOiIxMzgzNTU1NDM4In0=</vt:lpwstr>
  </property>
  <property fmtid="{D5CDD505-2E9C-101B-9397-08002B2CF9AE}" pid="3" name="KSOProductBuildVer">
    <vt:lpwstr>2052-12.1.0.20305</vt:lpwstr>
  </property>
  <property fmtid="{D5CDD505-2E9C-101B-9397-08002B2CF9AE}" pid="4" name="ICV">
    <vt:lpwstr>DF6EBECCDCAF44EAB4F520543FCF2462_12</vt:lpwstr>
  </property>
</Properties>
</file>