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CCC34">
      <w:pPr>
        <w:rPr>
          <w:rFonts w:hint="eastAsia"/>
          <w:color w:val="auto"/>
          <w:highlight w:val="none"/>
        </w:rPr>
      </w:pPr>
    </w:p>
    <w:p w14:paraId="7C6688AF">
      <w:pPr>
        <w:rPr>
          <w:rFonts w:hint="eastAsia"/>
          <w:color w:val="auto"/>
          <w:highlight w:val="none"/>
        </w:rPr>
      </w:pPr>
    </w:p>
    <w:p w14:paraId="65B69CCC">
      <w:pPr>
        <w:rPr>
          <w:rFonts w:hint="eastAsia"/>
          <w:color w:val="auto"/>
          <w:highlight w:val="none"/>
        </w:rPr>
      </w:pPr>
    </w:p>
    <w:p w14:paraId="0E7A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水环境行业细分场景</w:t>
      </w:r>
    </w:p>
    <w:p w14:paraId="36EA5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right"/>
        <w:textAlignment w:val="auto"/>
        <w:rPr>
          <w:rFonts w:hint="default" w:eastAsia="宋体"/>
          <w:b/>
          <w:bCs/>
          <w:color w:val="auto"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highlight w:val="none"/>
          <w:lang w:val="en-US" w:eastAsia="zh-CN"/>
        </w:rPr>
        <w:t>——国控省控断面水质监测方案</w:t>
      </w:r>
    </w:p>
    <w:p w14:paraId="5F987076">
      <w:pPr>
        <w:rPr>
          <w:rFonts w:hint="eastAsia"/>
          <w:color w:val="auto"/>
          <w:highlight w:val="none"/>
        </w:rPr>
      </w:pPr>
    </w:p>
    <w:p w14:paraId="3401E6BD">
      <w:pPr>
        <w:rPr>
          <w:rFonts w:hint="eastAsia"/>
          <w:color w:val="auto"/>
          <w:highlight w:val="none"/>
        </w:rPr>
      </w:pPr>
    </w:p>
    <w:p w14:paraId="1C915416">
      <w:pPr>
        <w:rPr>
          <w:rFonts w:hint="eastAsia"/>
          <w:color w:val="auto"/>
          <w:highlight w:val="none"/>
        </w:rPr>
      </w:pPr>
    </w:p>
    <w:p w14:paraId="35B99434">
      <w:pPr>
        <w:rPr>
          <w:rFonts w:hint="eastAsia"/>
          <w:color w:val="auto"/>
          <w:highlight w:val="none"/>
        </w:rPr>
      </w:pPr>
    </w:p>
    <w:p w14:paraId="21E5C6ED">
      <w:pPr>
        <w:rPr>
          <w:rFonts w:hint="eastAsia"/>
          <w:color w:val="auto"/>
          <w:highlight w:val="none"/>
        </w:rPr>
      </w:pPr>
    </w:p>
    <w:p w14:paraId="37D95FEA">
      <w:pPr>
        <w:rPr>
          <w:rFonts w:hint="eastAsia"/>
          <w:color w:val="auto"/>
          <w:highlight w:val="none"/>
        </w:rPr>
      </w:pPr>
    </w:p>
    <w:p w14:paraId="5D093C07">
      <w:pPr>
        <w:rPr>
          <w:rFonts w:hint="eastAsia"/>
          <w:color w:val="auto"/>
          <w:highlight w:val="none"/>
        </w:rPr>
      </w:pPr>
    </w:p>
    <w:p w14:paraId="0C33701D">
      <w:pPr>
        <w:rPr>
          <w:rFonts w:hint="eastAsia"/>
          <w:color w:val="auto"/>
          <w:highlight w:val="none"/>
        </w:rPr>
      </w:pPr>
    </w:p>
    <w:p w14:paraId="19E303D8">
      <w:pPr>
        <w:rPr>
          <w:rFonts w:hint="eastAsia"/>
          <w:color w:val="auto"/>
          <w:highlight w:val="none"/>
        </w:rPr>
      </w:pPr>
    </w:p>
    <w:p w14:paraId="7A24F120">
      <w:pPr>
        <w:rPr>
          <w:rFonts w:hint="eastAsia"/>
          <w:color w:val="auto"/>
          <w:highlight w:val="none"/>
        </w:rPr>
      </w:pPr>
    </w:p>
    <w:p w14:paraId="05C0723D">
      <w:pPr>
        <w:rPr>
          <w:rFonts w:hint="eastAsia"/>
          <w:color w:val="auto"/>
          <w:highlight w:val="none"/>
        </w:rPr>
      </w:pPr>
    </w:p>
    <w:p w14:paraId="2C2C71A1">
      <w:pPr>
        <w:rPr>
          <w:rFonts w:hint="eastAsia"/>
          <w:color w:val="auto"/>
          <w:highlight w:val="none"/>
        </w:rPr>
      </w:pPr>
    </w:p>
    <w:p w14:paraId="2F2A290D">
      <w:pPr>
        <w:rPr>
          <w:rFonts w:hint="eastAsia"/>
          <w:color w:val="auto"/>
          <w:highlight w:val="none"/>
        </w:rPr>
      </w:pPr>
    </w:p>
    <w:p w14:paraId="19888132">
      <w:pPr>
        <w:rPr>
          <w:rFonts w:hint="eastAsia"/>
          <w:color w:val="auto"/>
          <w:highlight w:val="none"/>
        </w:rPr>
      </w:pPr>
    </w:p>
    <w:p w14:paraId="776B9B5F">
      <w:pPr>
        <w:rPr>
          <w:rFonts w:hint="eastAsia"/>
          <w:color w:val="auto"/>
          <w:highlight w:val="none"/>
        </w:rPr>
      </w:pPr>
    </w:p>
    <w:p w14:paraId="256D5A4B">
      <w:pPr>
        <w:rPr>
          <w:rFonts w:hint="eastAsia"/>
          <w:color w:val="auto"/>
          <w:highlight w:val="none"/>
        </w:rPr>
      </w:pPr>
    </w:p>
    <w:p w14:paraId="274A8AFE">
      <w:pPr>
        <w:rPr>
          <w:rFonts w:hint="eastAsia"/>
          <w:color w:val="auto"/>
          <w:highlight w:val="none"/>
        </w:rPr>
      </w:pPr>
    </w:p>
    <w:p w14:paraId="5DBBFBCE">
      <w:pPr>
        <w:rPr>
          <w:rFonts w:hint="eastAsia"/>
          <w:color w:val="auto"/>
          <w:highlight w:val="none"/>
        </w:rPr>
      </w:pPr>
    </w:p>
    <w:p w14:paraId="7D2B2984">
      <w:pPr>
        <w:rPr>
          <w:rFonts w:hint="eastAsia"/>
          <w:color w:val="auto"/>
          <w:highlight w:val="none"/>
        </w:rPr>
      </w:pPr>
    </w:p>
    <w:p w14:paraId="7E21D1EE">
      <w:pPr>
        <w:rPr>
          <w:rFonts w:hint="eastAsia"/>
          <w:color w:val="auto"/>
          <w:highlight w:val="none"/>
        </w:rPr>
      </w:pPr>
    </w:p>
    <w:p w14:paraId="27E7B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b/>
          <w:bCs/>
          <w:color w:val="auto"/>
          <w:sz w:val="40"/>
          <w:szCs w:val="40"/>
          <w:highlight w:val="none"/>
          <w:lang w:val="zh-CN"/>
        </w:rPr>
      </w:pPr>
      <w:r>
        <w:rPr>
          <w:b/>
          <w:bCs/>
          <w:color w:val="auto"/>
          <w:sz w:val="40"/>
          <w:szCs w:val="40"/>
          <w:highlight w:val="none"/>
        </w:rPr>
        <w:t>202</w:t>
      </w:r>
      <w:r>
        <w:rPr>
          <w:rFonts w:hint="eastAsia"/>
          <w:b/>
          <w:bCs/>
          <w:color w:val="auto"/>
          <w:sz w:val="40"/>
          <w:szCs w:val="40"/>
          <w:highlight w:val="none"/>
        </w:rPr>
        <w:t>5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color w:val="auto"/>
          <w:sz w:val="40"/>
          <w:szCs w:val="40"/>
          <w:highlight w:val="none"/>
          <w:lang w:val="en-US" w:eastAsia="zh-CN"/>
        </w:rPr>
        <w:t>2</w:t>
      </w:r>
      <w:r>
        <w:rPr>
          <w:b/>
          <w:bCs/>
          <w:color w:val="auto"/>
          <w:sz w:val="40"/>
          <w:szCs w:val="40"/>
          <w:highlight w:val="none"/>
          <w:lang w:val="zh-CN"/>
        </w:rPr>
        <w:t>月</w:t>
      </w:r>
    </w:p>
    <w:p w14:paraId="10808181">
      <w:pPr>
        <w:rPr>
          <w:rFonts w:hint="eastAsia"/>
          <w:color w:val="auto"/>
          <w:highlight w:val="none"/>
        </w:rPr>
      </w:pPr>
    </w:p>
    <w:p w14:paraId="360BE464">
      <w:pPr>
        <w:rPr>
          <w:rFonts w:hint="eastAsia"/>
          <w:color w:val="auto"/>
          <w:highlight w:val="none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D44955E">
      <w:pPr>
        <w:rPr>
          <w:rFonts w:hint="eastAsia"/>
          <w:color w:val="auto"/>
          <w:highlight w:val="none"/>
        </w:rPr>
      </w:pPr>
    </w:p>
    <w:sdt>
      <w:sdtPr>
        <w:rPr>
          <w:rFonts w:ascii="宋体" w:hAnsi="宋体" w:eastAsia="宋体" w:cs="宋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sdtEndPr>
      <w:sdtContent>
        <w:p w14:paraId="6D3CA3C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36"/>
              <w:szCs w:val="36"/>
              <w:highlight w:val="none"/>
            </w:rPr>
          </w:pPr>
          <w:r>
            <w:rPr>
              <w:rFonts w:ascii="宋体" w:hAnsi="宋体" w:eastAsia="宋体"/>
              <w:b/>
              <w:bCs/>
              <w:color w:val="auto"/>
              <w:sz w:val="36"/>
              <w:szCs w:val="36"/>
              <w:highlight w:val="none"/>
            </w:rPr>
            <w:t>目录</w:t>
          </w:r>
        </w:p>
        <w:p w14:paraId="3D7CA018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_Toc4122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/>
              <w:highlight w:val="none"/>
              <w:lang w:val="en-US" w:eastAsia="zh-CN"/>
            </w:rPr>
            <w:t>公司简介</w:t>
          </w:r>
          <w:r>
            <w:tab/>
          </w:r>
          <w:r>
            <w:fldChar w:fldCharType="begin"/>
          </w:r>
          <w:r>
            <w:instrText xml:space="preserve"> PAGEREF _Toc4122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A803809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_Toc23850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/>
              <w:highlight w:val="none"/>
              <w:lang w:val="en-US" w:eastAsia="zh-CN"/>
            </w:rPr>
            <w:t>国控省控断面监测概述</w:t>
          </w:r>
          <w:r>
            <w:tab/>
          </w:r>
          <w:r>
            <w:fldChar w:fldCharType="begin"/>
          </w:r>
          <w:r>
            <w:instrText xml:space="preserve"> PAGEREF _Toc23850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D17183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_Toc26769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2.1. </w:t>
          </w:r>
          <w:r>
            <w:rPr>
              <w:rFonts w:hint="eastAsia"/>
              <w:highlight w:val="none"/>
              <w:lang w:val="en-US" w:eastAsia="zh-CN"/>
            </w:rPr>
            <w:t>水环境行业背景</w:t>
          </w:r>
          <w:r>
            <w:tab/>
          </w:r>
          <w:r>
            <w:fldChar w:fldCharType="begin"/>
          </w:r>
          <w:r>
            <w:instrText xml:space="preserve"> PAGEREF _Toc26769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14C57D9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_Toc29448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2.2. </w:t>
          </w:r>
          <w:r>
            <w:rPr>
              <w:rFonts w:hint="eastAsia"/>
              <w:highlight w:val="none"/>
              <w:lang w:val="en-US" w:eastAsia="zh-CN"/>
            </w:rPr>
            <w:t>国控省控断面监测特点</w:t>
          </w:r>
          <w:r>
            <w:tab/>
          </w:r>
          <w:r>
            <w:fldChar w:fldCharType="begin"/>
          </w:r>
          <w:r>
            <w:instrText xml:space="preserve"> PAGEREF _Toc29448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106AD2E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_Toc78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  <w:highlight w:val="none"/>
              <w:lang w:val="en-US" w:eastAsia="zh-CN"/>
            </w:rPr>
            <w:t>建设方案设计</w:t>
          </w:r>
          <w:r>
            <w:tab/>
          </w:r>
          <w:r>
            <w:fldChar w:fldCharType="begin"/>
          </w:r>
          <w:r>
            <w:instrText xml:space="preserve"> PAGEREF _Toc78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7C8A0D6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_Toc31343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3.1. </w:t>
          </w:r>
          <w:r>
            <w:rPr>
              <w:rFonts w:hint="eastAsia"/>
              <w:highlight w:val="none"/>
              <w:lang w:val="en-US" w:eastAsia="zh-CN"/>
            </w:rPr>
            <w:t>系统框架图</w:t>
          </w:r>
          <w:r>
            <w:tab/>
          </w:r>
          <w:r>
            <w:fldChar w:fldCharType="begin"/>
          </w:r>
          <w:r>
            <w:instrText xml:space="preserve"> PAGEREF _Toc31343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5D02ED6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_Toc28255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3.2. </w:t>
          </w:r>
          <w:r>
            <w:rPr>
              <w:rFonts w:hint="eastAsia"/>
              <w:highlight w:val="none"/>
              <w:lang w:val="en-US" w:eastAsia="zh-CN"/>
            </w:rPr>
            <w:t>设备选型策略</w:t>
          </w:r>
          <w:r>
            <w:tab/>
          </w:r>
          <w:r>
            <w:fldChar w:fldCharType="begin"/>
          </w:r>
          <w:r>
            <w:instrText xml:space="preserve"> PAGEREF _Toc28255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C3C4644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_Toc21253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四、 </w:t>
          </w:r>
          <w:r>
            <w:rPr>
              <w:rFonts w:hint="eastAsia"/>
              <w:highlight w:val="none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_Toc21253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4F24727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_Toc28001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4.1. </w:t>
          </w:r>
          <w:r>
            <w:rPr>
              <w:rFonts w:hint="eastAsia"/>
              <w:highlight w:val="none"/>
              <w:lang w:val="en-US" w:eastAsia="zh-CN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_Toc28001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73FBB92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_Toc26713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4.2. </w:t>
          </w:r>
          <w:r>
            <w:rPr>
              <w:rFonts w:hint="eastAsia"/>
              <w:highlight w:val="none"/>
              <w:lang w:val="en-US" w:eastAsia="zh-CN"/>
            </w:rPr>
            <w:t>场景适配性</w:t>
          </w:r>
          <w:r>
            <w:tab/>
          </w:r>
          <w:r>
            <w:fldChar w:fldCharType="begin"/>
          </w:r>
          <w:r>
            <w:instrText xml:space="preserve"> PAGEREF _Toc26713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525A3F24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_Toc28797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五、 </w:t>
          </w:r>
          <w:r>
            <w:rPr>
              <w:rFonts w:hint="eastAsia"/>
              <w:highlight w:val="none"/>
              <w:lang w:val="en-US" w:eastAsia="zh-CN"/>
            </w:rPr>
            <w:t>设备寿命及维护</w:t>
          </w:r>
          <w:r>
            <w:tab/>
          </w:r>
          <w:r>
            <w:fldChar w:fldCharType="begin"/>
          </w:r>
          <w:r>
            <w:instrText xml:space="preserve"> PAGEREF _Toc28797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EC7E991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_Toc10076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5.1. </w:t>
          </w:r>
          <w:r>
            <w:rPr>
              <w:rFonts w:hint="eastAsia"/>
              <w:highlight w:val="none"/>
            </w:rPr>
            <w:t>设备寿命周期与维护周期表</w:t>
          </w:r>
          <w:r>
            <w:tab/>
          </w:r>
          <w:r>
            <w:fldChar w:fldCharType="begin"/>
          </w:r>
          <w:r>
            <w:instrText xml:space="preserve"> PAGEREF _Toc10076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2DEE3D5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_Toc9611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5.2.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日常维护</w:t>
          </w:r>
          <w:r>
            <w:tab/>
          </w:r>
          <w:r>
            <w:fldChar w:fldCharType="begin"/>
          </w:r>
          <w:r>
            <w:instrText xml:space="preserve"> PAGEREF _Toc9611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E7004CF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_Toc20620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5.3.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维护注意事项</w:t>
          </w:r>
          <w:r>
            <w:tab/>
          </w:r>
          <w:r>
            <w:fldChar w:fldCharType="begin"/>
          </w:r>
          <w:r>
            <w:instrText xml:space="preserve"> PAGEREF _Toc20620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713B4BBD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_Toc5246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六、 </w:t>
          </w:r>
          <w:r>
            <w:rPr>
              <w:rFonts w:hint="eastAsia"/>
              <w:highlight w:val="none"/>
              <w:lang w:val="en-US" w:eastAsia="zh-CN"/>
            </w:rPr>
            <w:t>案例展示</w:t>
          </w:r>
          <w:r>
            <w:tab/>
          </w:r>
          <w:r>
            <w:fldChar w:fldCharType="begin"/>
          </w:r>
          <w:r>
            <w:instrText xml:space="preserve"> PAGEREF _Toc5246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8D29F07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_Toc22280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6.1. </w:t>
          </w:r>
          <w:r>
            <w:rPr>
              <w:rFonts w:hint="eastAsia"/>
              <w:highlight w:val="none"/>
              <w:lang w:val="en-US" w:eastAsia="zh-CN"/>
            </w:rPr>
            <w:t>案例1：江苏南通某断面水质在线监测</w:t>
          </w:r>
          <w:r>
            <w:tab/>
          </w:r>
          <w:r>
            <w:fldChar w:fldCharType="begin"/>
          </w:r>
          <w:r>
            <w:instrText xml:space="preserve"> PAGEREF _Toc22280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0F13162">
          <w:pPr>
            <w:rPr>
              <w:rFonts w:hint="eastAsia" w:ascii="宋体" w:hAnsi="宋体" w:eastAsia="宋体" w:cs="宋体"/>
              <w:color w:val="auto"/>
              <w:kern w:val="2"/>
              <w:sz w:val="24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color w:val="auto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</w:sdtContent>
    </w:sdt>
    <w:p w14:paraId="34DAA2F4">
      <w:pPr>
        <w:rPr>
          <w:rFonts w:hint="eastAsia"/>
          <w:color w:val="auto"/>
          <w:highlight w:val="none"/>
        </w:rPr>
      </w:pPr>
    </w:p>
    <w:p w14:paraId="004B449F">
      <w:pPr>
        <w:rPr>
          <w:rFonts w:hint="eastAsia"/>
          <w:color w:val="auto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2919C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0" w:name="_Toc4122"/>
      <w:bookmarkStart w:id="1" w:name="_Toc3865"/>
      <w:r>
        <w:rPr>
          <w:rFonts w:hint="eastAsia"/>
          <w:color w:val="auto"/>
          <w:highlight w:val="none"/>
          <w:lang w:val="en-US" w:eastAsia="zh-CN"/>
        </w:rPr>
        <w:t>公司简介</w:t>
      </w:r>
      <w:bookmarkEnd w:id="0"/>
      <w:bookmarkEnd w:id="1"/>
    </w:p>
    <w:p w14:paraId="005BDF9F">
      <w:pPr>
        <w:rPr>
          <w:rFonts w:hint="eastAsia"/>
          <w:color w:val="auto"/>
          <w:highlight w:val="none"/>
          <w:lang w:val="en-US" w:eastAsia="zh-CN"/>
        </w:rPr>
      </w:pPr>
    </w:p>
    <w:p w14:paraId="73B18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E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color w:val="auto"/>
          <w:highlight w:val="none"/>
        </w:rPr>
      </w:pPr>
    </w:p>
    <w:p w14:paraId="05A25232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青岛精诚仪器仪表有限公司（简称青岛精诚技）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6D03DE0F">
      <w:p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我公司技拥有完善的研发、生产、销售和技术服务团队，是国内水质数字传感领导品牌，为国内近百个市、县（区）政府和生态环境部门提供水环境监测技术支撑。</w:t>
      </w:r>
    </w:p>
    <w:p w14:paraId="61776EF0">
      <w:pPr>
        <w:rPr>
          <w:rFonts w:hint="eastAsia"/>
          <w:color w:val="auto"/>
          <w:highlight w:val="none"/>
          <w:lang w:val="en-US" w:eastAsia="zh-CN"/>
        </w:rPr>
      </w:pPr>
    </w:p>
    <w:p w14:paraId="2F6F7128">
      <w:pPr>
        <w:rPr>
          <w:rFonts w:hint="eastAsia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EAF1881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2" w:name="_Toc28553"/>
      <w:bookmarkStart w:id="3" w:name="_Toc23850"/>
      <w:r>
        <w:rPr>
          <w:rFonts w:hint="eastAsia"/>
          <w:color w:val="auto"/>
          <w:highlight w:val="none"/>
          <w:lang w:val="en-US" w:eastAsia="zh-CN"/>
        </w:rPr>
        <w:t>国控省控断面水质监测概述</w:t>
      </w:r>
      <w:bookmarkEnd w:id="2"/>
      <w:bookmarkEnd w:id="3"/>
    </w:p>
    <w:p w14:paraId="4148866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4" w:name="_Toc26769"/>
      <w:r>
        <w:rPr>
          <w:rFonts w:hint="eastAsia"/>
          <w:color w:val="auto"/>
          <w:highlight w:val="none"/>
          <w:lang w:val="en-US" w:eastAsia="zh-CN"/>
        </w:rPr>
        <w:t>国控省控断面水质监测行业背景</w:t>
      </w:r>
      <w:bookmarkEnd w:id="4"/>
    </w:p>
    <w:p w14:paraId="3D260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政策驱动与技术迭代的双重引擎</w:t>
      </w:r>
    </w:p>
    <w:p w14:paraId="143E03DF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我国水环境监测行业自20世纪80年代起步，历经三个关键发展阶段。早期以人工采样和实验室分析为主，监测范围局限于重点流域和城市周边，技术手段落后且效率低下。21世纪初，随着《水污染防治法》修订和环保投入增加，行业进入技术升级期，在线监测、遥感监测等技术逐步普及，国控断面数量从“十三五”的1940个增至“十四五”的3646个，覆盖十大流域干流及重要支流。2020年后，生态文明建设上升为国家战略，监测体系向智能化、网络化转型，卫星遥感、全自动实验室分析等技术广泛应用，形成“自动监测+手工核查”的“9+X”模式。</w:t>
      </w:r>
    </w:p>
    <w:p w14:paraId="4133C28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政策法规体系的完善是行业发展的核心驱动力。《水污染防治行动计划》（水十条）明确地表水考核目标，推动监测网络标准化建设；《水环境质量监测条例》确立“国家考核、国家监测”原则，强化数据质量监管。2022年生态环境部印发《生态环境监测规划（2022-2025年）》，提出构建天地空一体化监测网络，重点提升饮用水源地、跨界断面等敏感区域监测能力。市场规模方面，2015-2020年行业年均增长率超15%，2025年预计突破800亿元，其中设备市场占比达45%，服务市场增速最快。</w:t>
      </w:r>
    </w:p>
    <w:p w14:paraId="73F5556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水质监测核心痛点</w:t>
      </w:r>
    </w:p>
    <w:p w14:paraId="0026DE8F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1. 技术层面</w:t>
      </w:r>
    </w:p>
    <w:p w14:paraId="6CC28BE5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 xml:space="preserve">监测设备依赖进口：高端质谱仪、原子荧光光度计等核心设备仍被欧美企业垄断，国产设备在精度和稳定性上存在差距。贵阳某监测站数据显示，进口设备故障响应时间较国产缩短40%，但采购成本高出3倍。  </w:t>
      </w:r>
    </w:p>
    <w:p w14:paraId="47CA558B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运维能力不足：自动监测站运维需专业技术人员，但基层监测机构人才短缺问题突出。四川省调查显示，县级监测站本科以上人员占比不足30%，设备校准、故障排查等日常维护依赖第三方服务。</w:t>
      </w:r>
    </w:p>
    <w:p w14:paraId="1E91854E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应急监测短板：突发水污染事件中，便携式检测设备检出限偏高，难以满足痕量污染物（如PFAS）快速溯源需求。2023年松花江苯酚泄漏事件中，传统实验室检测耗时超24小时，延误应急处置。</w:t>
      </w:r>
    </w:p>
    <w:p w14:paraId="5DEFCDE7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2. 管理层面</w:t>
      </w:r>
    </w:p>
    <w:p w14:paraId="127B4B3E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数据孤岛现象：环保、水利、农业等部门监测数据标准不一，共享率不足50%。贵阳市通过建立跨部门数据平台，实现38座污水处理厂数据互通，使超标预警效率提升60%。</w:t>
      </w:r>
    </w:p>
    <w:p w14:paraId="6B1C8363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资金分配失衡：2022年中央水污染防治资金中，监测能力建设仅占12%，西部省份县级监测站年均经费不足50万元，难以支撑设备更新。</w:t>
      </w:r>
    </w:p>
    <w:p w14:paraId="297075EF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考核机制待完善：部分地方存在“重数据、轻分析”现象，国控断面水质达标率与流域生态修复实际成效脱钩，需建立“水质+生态”双指标考核体系。</w:t>
      </w:r>
    </w:p>
    <w:p w14:paraId="4A3FA25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水质标准与法规要求，监测依据</w:t>
      </w:r>
    </w:p>
    <w:p w14:paraId="0CAA74E6">
      <w:pPr>
        <w:bidi w:val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最新政策动态</w:t>
      </w:r>
    </w:p>
    <w:p w14:paraId="6358AFE4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“十五五”监测规划：生态环境部明确2025年后国控断面将强化水生态监测，新增底栖生物、浮游植物等指标，推动从“水质监测”向“水生态健康评估”转型。</w:t>
      </w:r>
    </w:p>
    <w:p w14:paraId="7A27372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EOD模式推广：截至2024年，全国已开展94个生态环境导向的开发试点项目，通过“监测-治理-开发”一体化模式解决资金瓶颈。  </w:t>
      </w:r>
    </w:p>
    <w:p w14:paraId="2570A68C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碳监测纳入体系：《关于统筹和加强应对气候变化与生态环境保护相关工作的指导意见》提出2025年前建立温室气体与水环境协同监测网络。</w:t>
      </w:r>
    </w:p>
    <w:p w14:paraId="4CE64750">
      <w:pPr>
        <w:bidi w:val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标准体系升级</w:t>
      </w:r>
    </w:p>
    <w:p w14:paraId="05051EF7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方法标准：2023年发布HJ 1295/1296河湖生态监测技术指南，新增藻华预警、底质污染评价等内容；HJ 1268液相色谱-原子荧光法将甲基汞检出限降至0.001μg/L。</w:t>
      </w:r>
    </w:p>
    <w:p w14:paraId="68868DF6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排放限值：GB 21523-2024农药工业排放标准新增嘧菌酯等12项特征污染物，COD限值收紧至80mg/L。</w:t>
      </w:r>
    </w:p>
    <w:p w14:paraId="5400C0B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监测规范：HJ 1387入河排污口监测指南要求每月至少开展1次流量与水质同步监测，重点排污口安装视频监控。</w:t>
      </w:r>
    </w:p>
    <w:p w14:paraId="4C4E5B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color w:val="auto"/>
          <w:highlight w:val="none"/>
          <w:lang w:val="en-US" w:eastAsia="zh-CN"/>
        </w:rPr>
      </w:pPr>
    </w:p>
    <w:p w14:paraId="00852EBD">
      <w:pPr>
        <w:pStyle w:val="3"/>
        <w:bidi w:val="0"/>
        <w:outlineLvl w:val="1"/>
        <w:rPr>
          <w:rFonts w:hint="default"/>
          <w:color w:val="auto"/>
          <w:highlight w:val="none"/>
          <w:lang w:val="en-US" w:eastAsia="zh-CN"/>
        </w:rPr>
      </w:pPr>
      <w:bookmarkStart w:id="5" w:name="_Toc16844"/>
      <w:bookmarkStart w:id="6" w:name="_Toc29448"/>
      <w:r>
        <w:rPr>
          <w:rFonts w:hint="eastAsia"/>
          <w:color w:val="auto"/>
          <w:highlight w:val="none"/>
          <w:lang w:val="en-US" w:eastAsia="zh-CN"/>
        </w:rPr>
        <w:t>国控省控断面水质监测特点</w:t>
      </w:r>
      <w:bookmarkEnd w:id="5"/>
      <w:bookmarkEnd w:id="6"/>
    </w:p>
    <w:p w14:paraId="481D6B4C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覆盖江河湖库，需兼顾水质与生态功能，国控断面要求实时传输9项自动监测数据（pH、溶解氧等）。</w:t>
      </w:r>
    </w:p>
    <w:p w14:paraId="79D6CDB4">
      <w:pPr>
        <w:rPr>
          <w:rFonts w:hint="eastAsia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核心参数：高锰酸盐指数、氨氮、总磷</w:t>
      </w:r>
      <w:r>
        <w:rPr>
          <w:rFonts w:hint="eastAsia"/>
          <w:highlight w:val="none"/>
          <w:lang w:val="en-US" w:eastAsia="zh-CN"/>
        </w:rPr>
        <w:t>。</w:t>
      </w:r>
    </w:p>
    <w:p w14:paraId="39139F44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1.总体设计符合回家、行业相关技术标准，采用标准方法检测，监测准确可靠;</w:t>
      </w:r>
    </w:p>
    <w:p w14:paraId="58D6362C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2.严格控明国家要求，实现各参数监测。</w:t>
      </w:r>
    </w:p>
    <w:p w14:paraId="4ADDAAF9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3.可根据用户监测需求，披需选择站房面积，多种规格可选。</w:t>
      </w:r>
    </w:p>
    <w:p w14:paraId="0F0AAA78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4.无人慎守、连续采集，可以获得24小时连续的在线在测水质数据。</w:t>
      </w:r>
    </w:p>
    <w:p w14:paraId="3E5601CF">
      <w:pPr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5.建运-体化，设备高效集成，具有环境管理部门出具的认证许可，能够确保设备高效运行，解决用户后顾之忧。</w:t>
      </w:r>
    </w:p>
    <w:p w14:paraId="35D2CF63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7" w:name="_Toc15099"/>
      <w:bookmarkStart w:id="8" w:name="_Toc78"/>
      <w:r>
        <w:rPr>
          <w:rFonts w:hint="eastAsia"/>
          <w:color w:val="auto"/>
          <w:highlight w:val="none"/>
          <w:lang w:val="en-US" w:eastAsia="zh-CN"/>
        </w:rPr>
        <w:t>建设方案设计</w:t>
      </w:r>
      <w:bookmarkEnd w:id="7"/>
      <w:bookmarkEnd w:id="8"/>
    </w:p>
    <w:p w14:paraId="5FB79E96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9" w:name="_Toc31343"/>
      <w:r>
        <w:rPr>
          <w:rFonts w:hint="eastAsia"/>
          <w:color w:val="auto"/>
          <w:highlight w:val="none"/>
          <w:lang w:val="en-US" w:eastAsia="zh-CN"/>
        </w:rPr>
        <w:t>系统框架图</w:t>
      </w:r>
      <w:bookmarkEnd w:id="9"/>
    </w:p>
    <w:p w14:paraId="042B4D08">
      <w:pPr>
        <w:wordWrap/>
        <w:jc w:val="center"/>
        <w:rPr>
          <w:rFonts w:hint="default" w:eastAsia="宋体"/>
          <w:color w:val="auto"/>
          <w:highlight w:val="none"/>
          <w:lang w:val="en-US" w:eastAsia="zh-CN"/>
        </w:rPr>
      </w:pPr>
      <w:r>
        <w:drawing>
          <wp:inline distT="0" distB="0" distL="114300" distR="114300">
            <wp:extent cx="3369310" cy="3812540"/>
            <wp:effectExtent l="0" t="0" r="2540" b="165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7F2C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0" w:name="_Toc28255"/>
      <w:r>
        <w:rPr>
          <w:rFonts w:hint="eastAsia"/>
          <w:color w:val="auto"/>
          <w:highlight w:val="none"/>
          <w:lang w:val="en-US" w:eastAsia="zh-CN"/>
        </w:rPr>
        <w:t>设备选型策略</w:t>
      </w:r>
      <w:bookmarkEnd w:id="10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1"/>
        <w:gridCol w:w="3103"/>
        <w:gridCol w:w="2775"/>
      </w:tblGrid>
      <w:tr w14:paraId="48EE93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50" w:type="pct"/>
            <w:vAlign w:val="center"/>
          </w:tcPr>
          <w:p w14:paraId="3C70B1BE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核心监测参数</w:t>
            </w:r>
          </w:p>
        </w:tc>
        <w:tc>
          <w:tcPr>
            <w:tcW w:w="1821" w:type="pct"/>
            <w:vAlign w:val="center"/>
          </w:tcPr>
          <w:p w14:paraId="34E788B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28" w:type="pct"/>
            <w:vAlign w:val="center"/>
          </w:tcPr>
          <w:p w14:paraId="54D55959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</w:rPr>
              <w:t>设备原理</w:t>
            </w:r>
          </w:p>
        </w:tc>
      </w:tr>
      <w:tr w14:paraId="3D1D8E9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shd w:val="clear" w:color="auto" w:fill="auto"/>
            <w:vAlign w:val="center"/>
          </w:tcPr>
          <w:p w14:paraId="11F9A7F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在线监测设备</w:t>
            </w:r>
          </w:p>
        </w:tc>
      </w:tr>
      <w:tr w14:paraId="3643A4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shd w:val="clear" w:color="auto" w:fill="auto"/>
            <w:vAlign w:val="center"/>
          </w:tcPr>
          <w:p w14:paraId="1D9E329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PH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6E562ED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在线PH传感器</w:t>
            </w:r>
          </w:p>
        </w:tc>
        <w:tc>
          <w:tcPr>
            <w:tcW w:w="1628" w:type="pct"/>
            <w:shd w:val="clear" w:color="auto" w:fill="auto"/>
            <w:vAlign w:val="center"/>
          </w:tcPr>
          <w:p w14:paraId="74AC5D7C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51946E4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17D43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浊度</w:t>
            </w:r>
          </w:p>
        </w:tc>
        <w:tc>
          <w:tcPr>
            <w:tcW w:w="1821" w:type="pct"/>
            <w:vAlign w:val="center"/>
          </w:tcPr>
          <w:p w14:paraId="193C33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在线浊度传感器</w:t>
            </w:r>
          </w:p>
        </w:tc>
        <w:tc>
          <w:tcPr>
            <w:tcW w:w="1628" w:type="pct"/>
            <w:vAlign w:val="center"/>
          </w:tcPr>
          <w:p w14:paraId="48B16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散射光法</w:t>
            </w:r>
          </w:p>
        </w:tc>
      </w:tr>
      <w:tr w14:paraId="4870FDF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334BDEAA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电导率</w:t>
            </w:r>
          </w:p>
        </w:tc>
        <w:tc>
          <w:tcPr>
            <w:tcW w:w="1821" w:type="pct"/>
            <w:vAlign w:val="center"/>
          </w:tcPr>
          <w:p w14:paraId="205C2544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1628" w:type="pct"/>
            <w:vAlign w:val="center"/>
          </w:tcPr>
          <w:p w14:paraId="48690616">
            <w:pPr>
              <w:spacing w:line="240" w:lineRule="auto"/>
              <w:ind w:firstLine="0" w:firstLineChars="0"/>
              <w:jc w:val="center"/>
              <w:rPr>
                <w:rFonts w:hint="default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接触式电极</w:t>
            </w:r>
          </w:p>
        </w:tc>
      </w:tr>
      <w:tr w14:paraId="6B82C70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18220529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溶解氧</w:t>
            </w:r>
          </w:p>
        </w:tc>
        <w:tc>
          <w:tcPr>
            <w:tcW w:w="1821" w:type="pct"/>
            <w:vAlign w:val="center"/>
          </w:tcPr>
          <w:p w14:paraId="3D7D85DC"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1628" w:type="pct"/>
            <w:vAlign w:val="center"/>
          </w:tcPr>
          <w:p w14:paraId="2E4343F4">
            <w:pPr>
              <w:spacing w:line="240" w:lineRule="auto"/>
              <w:ind w:firstLine="0" w:firstLineChars="0"/>
              <w:jc w:val="center"/>
              <w:rPr>
                <w:rFonts w:hint="eastAsia" w:eastAsia="宋体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76A4BF5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shd w:val="clear" w:color="auto" w:fill="auto"/>
            <w:vAlign w:val="center"/>
          </w:tcPr>
          <w:p w14:paraId="22123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高锰酸盐指数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245C98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在线高锰酸盐指数分析</w:t>
            </w: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/在线全光谱多参数传感器</w:t>
            </w:r>
          </w:p>
        </w:tc>
        <w:tc>
          <w:tcPr>
            <w:tcW w:w="1628" w:type="pct"/>
            <w:shd w:val="clear" w:color="auto" w:fill="auto"/>
            <w:vAlign w:val="center"/>
          </w:tcPr>
          <w:p w14:paraId="67564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高锰酸钾氧化法/全光谱法</w:t>
            </w:r>
          </w:p>
        </w:tc>
      </w:tr>
      <w:tr w14:paraId="10CACD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7111D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氨氮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57987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在线氨氮分析仪/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28" w:type="pct"/>
            <w:vAlign w:val="center"/>
          </w:tcPr>
          <w:p w14:paraId="2E462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before="0" w:beforeAutospacing="1" w:after="0" w:afterAutospacing="1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水杨酸法/全光谱</w:t>
            </w:r>
          </w:p>
        </w:tc>
      </w:tr>
      <w:tr w14:paraId="460152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77AF4EF4"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总磷</w:t>
            </w:r>
          </w:p>
        </w:tc>
        <w:tc>
          <w:tcPr>
            <w:tcW w:w="1821" w:type="pct"/>
            <w:vAlign w:val="center"/>
          </w:tcPr>
          <w:p w14:paraId="7D2BB750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在线总磷分析仪/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28" w:type="pct"/>
            <w:vAlign w:val="center"/>
          </w:tcPr>
          <w:p w14:paraId="1CA5805D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  <w:t>钼酸铵分光光度法</w:t>
            </w: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/全光谱</w:t>
            </w:r>
          </w:p>
        </w:tc>
      </w:tr>
      <w:tr w14:paraId="5CDA9A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shd w:val="clear" w:color="auto" w:fill="auto"/>
            <w:vAlign w:val="center"/>
          </w:tcPr>
          <w:p w14:paraId="1EEACDA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总氮</w:t>
            </w:r>
          </w:p>
        </w:tc>
        <w:tc>
          <w:tcPr>
            <w:tcW w:w="1821" w:type="pct"/>
            <w:shd w:val="clear" w:color="auto" w:fill="auto"/>
            <w:vAlign w:val="center"/>
          </w:tcPr>
          <w:p w14:paraId="4FEE4AC6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在线总氮分析仪/</w:t>
            </w: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在线全光谱多参数传感器</w:t>
            </w:r>
          </w:p>
        </w:tc>
        <w:tc>
          <w:tcPr>
            <w:tcW w:w="1628" w:type="pct"/>
            <w:shd w:val="clear" w:color="auto" w:fill="auto"/>
            <w:vAlign w:val="center"/>
          </w:tcPr>
          <w:p w14:paraId="23E31B4E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  <w:t>紫外分光光度法</w:t>
            </w: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/全光谱</w:t>
            </w:r>
          </w:p>
        </w:tc>
      </w:tr>
      <w:tr w14:paraId="39C360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1" w:type="dxa"/>
            <w:vAlign w:val="center"/>
          </w:tcPr>
          <w:p w14:paraId="01AD3C2F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流量</w:t>
            </w:r>
          </w:p>
        </w:tc>
        <w:tc>
          <w:tcPr>
            <w:tcW w:w="3103" w:type="dxa"/>
            <w:vAlign w:val="center"/>
          </w:tcPr>
          <w:p w14:paraId="616825B7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雷达流量计</w:t>
            </w:r>
          </w:p>
        </w:tc>
        <w:tc>
          <w:tcPr>
            <w:tcW w:w="2775" w:type="dxa"/>
            <w:vAlign w:val="center"/>
          </w:tcPr>
          <w:p w14:paraId="16728241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雷达</w:t>
            </w:r>
          </w:p>
        </w:tc>
      </w:tr>
      <w:tr w14:paraId="72D4BF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41" w:type="dxa"/>
            <w:vAlign w:val="center"/>
          </w:tcPr>
          <w:p w14:paraId="7396A09C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液位</w:t>
            </w:r>
          </w:p>
        </w:tc>
        <w:tc>
          <w:tcPr>
            <w:tcW w:w="3103" w:type="dxa"/>
            <w:vAlign w:val="center"/>
          </w:tcPr>
          <w:p w14:paraId="5C6D8115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雷达液位计</w:t>
            </w:r>
          </w:p>
        </w:tc>
        <w:tc>
          <w:tcPr>
            <w:tcW w:w="2775" w:type="dxa"/>
            <w:vAlign w:val="center"/>
          </w:tcPr>
          <w:p w14:paraId="068A3111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  <w:t>雷达</w:t>
            </w:r>
          </w:p>
        </w:tc>
      </w:tr>
      <w:tr w14:paraId="4C6AE76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76382E2B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便携式监测设备</w:t>
            </w:r>
          </w:p>
        </w:tc>
      </w:tr>
      <w:tr w14:paraId="592F1A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20FA163D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高锰酸盐指数</w:t>
            </w:r>
          </w:p>
        </w:tc>
        <w:tc>
          <w:tcPr>
            <w:tcW w:w="1821" w:type="pct"/>
            <w:vMerge w:val="restart"/>
            <w:vAlign w:val="center"/>
          </w:tcPr>
          <w:p w14:paraId="5F660056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便携式多参数分析仪</w:t>
            </w:r>
          </w:p>
        </w:tc>
        <w:tc>
          <w:tcPr>
            <w:tcW w:w="1628" w:type="pct"/>
            <w:vMerge w:val="restart"/>
            <w:vAlign w:val="center"/>
          </w:tcPr>
          <w:p w14:paraId="60C615E4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bidi="ar"/>
              </w:rPr>
              <w:t>光电比色法</w:t>
            </w:r>
          </w:p>
        </w:tc>
      </w:tr>
      <w:tr w14:paraId="440DE3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44CB18DF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氨氮</w:t>
            </w:r>
          </w:p>
        </w:tc>
        <w:tc>
          <w:tcPr>
            <w:tcW w:w="1821" w:type="pct"/>
            <w:vMerge w:val="continue"/>
            <w:vAlign w:val="center"/>
          </w:tcPr>
          <w:p w14:paraId="6FB81723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28" w:type="pct"/>
            <w:vMerge w:val="continue"/>
            <w:vAlign w:val="center"/>
          </w:tcPr>
          <w:p w14:paraId="2AB00611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247D18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47705FDF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总磷</w:t>
            </w:r>
          </w:p>
        </w:tc>
        <w:tc>
          <w:tcPr>
            <w:tcW w:w="1821" w:type="pct"/>
            <w:vMerge w:val="continue"/>
            <w:vAlign w:val="center"/>
          </w:tcPr>
          <w:p w14:paraId="649EB6E3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28" w:type="pct"/>
            <w:vMerge w:val="continue"/>
            <w:vAlign w:val="center"/>
          </w:tcPr>
          <w:p w14:paraId="0C3169AB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 w14:paraId="061062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0" w:type="pct"/>
            <w:vAlign w:val="center"/>
          </w:tcPr>
          <w:p w14:paraId="70EF0B56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  <w:t>总氮</w:t>
            </w:r>
          </w:p>
        </w:tc>
        <w:tc>
          <w:tcPr>
            <w:tcW w:w="1821" w:type="pct"/>
            <w:vMerge w:val="continue"/>
            <w:vAlign w:val="center"/>
          </w:tcPr>
          <w:p w14:paraId="471D2F98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628" w:type="pct"/>
            <w:vMerge w:val="continue"/>
            <w:vAlign w:val="center"/>
          </w:tcPr>
          <w:p w14:paraId="23BEF466">
            <w:pPr>
              <w:spacing w:line="240" w:lineRule="auto"/>
              <w:ind w:firstLine="0" w:firstLineChars="0"/>
              <w:jc w:val="center"/>
              <w:rPr>
                <w:rFonts w:hint="eastAsia" w:cstheme="minorBidi"/>
                <w:color w:val="auto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 w14:paraId="3AA82A54">
      <w:pPr>
        <w:rPr>
          <w:rFonts w:hint="eastAsia"/>
          <w:color w:val="auto"/>
          <w:highlight w:val="none"/>
          <w:lang w:val="en-US" w:eastAsia="zh-CN"/>
        </w:rPr>
      </w:pPr>
    </w:p>
    <w:p w14:paraId="7FAC930D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1" w:name="_Toc21253"/>
      <w:bookmarkStart w:id="12" w:name="_Toc24440"/>
      <w:r>
        <w:rPr>
          <w:rFonts w:hint="eastAsia"/>
          <w:color w:val="auto"/>
          <w:highlight w:val="none"/>
          <w:lang w:val="en-US" w:eastAsia="zh-CN"/>
        </w:rPr>
        <w:t>产品介绍</w:t>
      </w:r>
      <w:bookmarkEnd w:id="11"/>
      <w:bookmarkEnd w:id="12"/>
    </w:p>
    <w:p w14:paraId="5630B0FF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3" w:name="_Toc28001"/>
      <w:r>
        <w:rPr>
          <w:rFonts w:hint="eastAsia"/>
          <w:color w:val="auto"/>
          <w:highlight w:val="none"/>
          <w:lang w:val="en-US" w:eastAsia="zh-CN"/>
        </w:rPr>
        <w:t>技术参数</w:t>
      </w:r>
      <w:bookmarkEnd w:id="13"/>
    </w:p>
    <w:tbl>
      <w:tblPr>
        <w:tblStyle w:val="19"/>
        <w:tblpPr w:leftFromText="180" w:rightFromText="180" w:vertAnchor="text" w:horzAnchor="page" w:tblpX="1768" w:tblpY="614"/>
        <w:tblOverlap w:val="never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083B3D0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2697DAE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C94BEB0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4799490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5C6A970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927" w:type="pct"/>
            <w:shd w:val="clear" w:color="auto" w:fill="auto"/>
            <w:vAlign w:val="center"/>
          </w:tcPr>
          <w:p w14:paraId="02416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岸边水质监测微站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6F0E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>传感器分析仪式水质监测微站</w:t>
            </w:r>
          </w:p>
          <w:p w14:paraId="7158F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可搭载在线传感器及在线分析仪</w:t>
            </w:r>
          </w:p>
          <w:p w14:paraId="45CEC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在线传感器：PH、浊度、电导率、溶解氧</w:t>
            </w:r>
          </w:p>
          <w:p w14:paraId="7E3FCD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在线高锰酸盐指数分析仪：</w:t>
            </w:r>
          </w:p>
          <w:p w14:paraId="0522692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：高锰酸钾氧化法</w:t>
            </w:r>
          </w:p>
          <w:p w14:paraId="694D4410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：0.0～20.00mg/L</w:t>
            </w:r>
          </w:p>
          <w:p w14:paraId="082F5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：±10%</w:t>
            </w:r>
          </w:p>
          <w:p w14:paraId="5AC76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在线氨氮分析仪：</w:t>
            </w:r>
          </w:p>
          <w:p w14:paraId="62820DD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：水杨酸分光光度法</w:t>
            </w:r>
          </w:p>
          <w:p w14:paraId="28EC0E5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：0～150.00mg/L</w:t>
            </w:r>
          </w:p>
          <w:p w14:paraId="2CDB1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 浓度＜2mg/L，±0.2mg/L；浓度≥2mg/L，≤10%</w:t>
            </w:r>
          </w:p>
          <w:p w14:paraId="1619B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在线总磷分析仪：</w:t>
            </w:r>
          </w:p>
          <w:p w14:paraId="0024767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：钼酸铵分光光度法</w:t>
            </w:r>
          </w:p>
          <w:p w14:paraId="0225BAD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：.0～10.0/20.0mg/L</w:t>
            </w:r>
          </w:p>
          <w:p w14:paraId="4553D3ED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：±10%</w:t>
            </w:r>
          </w:p>
          <w:p w14:paraId="3A3C2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在线总氮分析仪：</w:t>
            </w:r>
          </w:p>
          <w:p w14:paraId="7BF5DC4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：过硫酸钾消解-紫外分光光度法</w:t>
            </w:r>
          </w:p>
          <w:p w14:paraId="4AEFDFF5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：0.0～50.0/200.0mg/L</w:t>
            </w:r>
          </w:p>
          <w:p w14:paraId="2F31BCB0">
            <w:pPr>
              <w:spacing w:line="240" w:lineRule="auto"/>
              <w:ind w:firstLine="0" w:firstLineChars="0"/>
              <w:jc w:val="left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±</w:t>
            </w:r>
            <w:r>
              <w:rPr>
                <w:rFonts w:hint="eastAsia"/>
                <w:sz w:val="21"/>
                <w:szCs w:val="21"/>
                <w:highlight w:val="none"/>
              </w:rPr>
              <w:t>10%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3BBB7C6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bookmarkStart w:id="31" w:name="_GoBack"/>
            <w:r>
              <w:rPr>
                <w:highlight w:val="none"/>
              </w:rPr>
              <w:drawing>
                <wp:inline distT="0" distB="0" distL="114300" distR="114300">
                  <wp:extent cx="1134745" cy="2200275"/>
                  <wp:effectExtent l="0" t="0" r="8255" b="952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8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1"/>
          </w:p>
        </w:tc>
      </w:tr>
      <w:tr w14:paraId="6399180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927" w:type="pct"/>
            <w:shd w:val="clear" w:color="auto" w:fill="auto"/>
            <w:vAlign w:val="center"/>
          </w:tcPr>
          <w:p w14:paraId="35725DCF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5FD95F4C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：全光谱吸收法</w:t>
            </w:r>
          </w:p>
          <w:p w14:paraId="7230379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</w:t>
            </w:r>
          </w:p>
          <w:p w14:paraId="66D7674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COD：0～200mg/Lequiv. KHP；色度：0～500Hazen；TOC：0～150mg/L；浊度：0～400NTU；BOD：0～150mg/L；UV254：0～1.5AU；TP：0～15mg/L；TN：0～100mg/L；NHN：0～80mg/L；硝酸盐：0～15mg/L；亚硝酸盐：0～10mg/L；CODMn：0～100mg/L</w:t>
            </w:r>
          </w:p>
          <w:p w14:paraId="3A7CDCB9">
            <w:pPr>
              <w:spacing w:line="240" w:lineRule="auto"/>
              <w:ind w:firstLine="0" w:firstLineChars="0"/>
              <w:jc w:val="left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：±5%F.S.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F029A8E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highlight w:val="none"/>
                <w:lang w:val="en-US" w:eastAsia="zh-CN"/>
              </w:rPr>
              <w:drawing>
                <wp:inline distT="0" distB="0" distL="114300" distR="114300">
                  <wp:extent cx="426085" cy="1622425"/>
                  <wp:effectExtent l="0" t="0" r="0" b="0"/>
                  <wp:docPr id="13" name="图片 7" descr="C:/Users/lina/Desktop/FUV-408-.pngFUV-40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lina/Desktop/FUV-408-.pngFUV-408-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9555" r="30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E6FCB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927" w:type="pct"/>
            <w:shd w:val="clear" w:color="auto" w:fill="auto"/>
            <w:vAlign w:val="center"/>
          </w:tcPr>
          <w:p w14:paraId="5BD3555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7824E7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232DA30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048F0359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4F596F78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26390" cy="1350645"/>
                  <wp:effectExtent l="12065" t="241300" r="24130" b="25527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4080000">
                            <a:off x="0" y="0"/>
                            <a:ext cx="328911" cy="135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27968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927" w:type="pct"/>
            <w:shd w:val="clear" w:color="auto" w:fill="auto"/>
            <w:vAlign w:val="center"/>
          </w:tcPr>
          <w:p w14:paraId="4461B4F2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在线浊度传感器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9E1056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原理：光散射</w:t>
            </w:r>
          </w:p>
          <w:p w14:paraId="01FDBB0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0~1000.0 NTU</w:t>
            </w:r>
          </w:p>
          <w:p w14:paraId="0A394AA9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±5%或±3 NTU以大者为准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A6F744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13055" cy="1282065"/>
                  <wp:effectExtent l="14605" t="209550" r="29210" b="224155"/>
                  <wp:docPr id="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4200000">
                            <a:off x="0" y="0"/>
                            <a:ext cx="31305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82108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927" w:type="pct"/>
            <w:shd w:val="clear" w:color="auto" w:fill="auto"/>
            <w:vAlign w:val="center"/>
          </w:tcPr>
          <w:p w14:paraId="73EA3245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E7531FC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51257D3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286E2B11">
            <w:pPr>
              <w:spacing w:line="240" w:lineRule="auto"/>
              <w:ind w:firstLine="0" w:firstLineChars="0"/>
              <w:rPr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61C6841F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highlight w:val="none"/>
              </w:rPr>
              <w:drawing>
                <wp:inline distT="0" distB="0" distL="114300" distR="114300">
                  <wp:extent cx="302260" cy="1303020"/>
                  <wp:effectExtent l="6985" t="242570" r="15875" b="247650"/>
                  <wp:docPr id="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4020000">
                            <a:off x="0" y="0"/>
                            <a:ext cx="306471" cy="131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E0E4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vAlign w:val="center"/>
          </w:tcPr>
          <w:p w14:paraId="74470BC8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39078231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原理：荧光法</w:t>
            </w:r>
          </w:p>
          <w:p w14:paraId="6E39B596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量程：0～20.00 mg/L</w:t>
            </w:r>
          </w:p>
          <w:p w14:paraId="0F20305C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精度：±2%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0A78E05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382905" cy="1276350"/>
                  <wp:effectExtent l="21590" t="252095" r="27940" b="264160"/>
                  <wp:docPr id="8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8217" b="3108"/>
                          <a:stretch>
                            <a:fillRect/>
                          </a:stretch>
                        </pic:blipFill>
                        <pic:spPr>
                          <a:xfrm rot="3900000">
                            <a:off x="0" y="0"/>
                            <a:ext cx="38290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6364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580" w:type="dxa"/>
            <w:shd w:val="clear" w:color="auto" w:fill="auto"/>
            <w:vAlign w:val="center"/>
          </w:tcPr>
          <w:p w14:paraId="2615C1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雷达流量计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4DE10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测速范围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0.1～15m/s</w:t>
            </w:r>
          </w:p>
          <w:p w14:paraId="26A7B5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测距量程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0.1～50m</w:t>
            </w:r>
          </w:p>
          <w:p w14:paraId="70400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测距天线波束角</w:t>
            </w: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：</w:t>
            </w: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水平角±8 ° ; 俯仰角±10 °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377125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7115" cy="732155"/>
                  <wp:effectExtent l="0" t="0" r="4445" b="14605"/>
                  <wp:docPr id="8" name="图片 14" descr="微信图片_2024083009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微信图片_202408300914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C41F3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580" w:type="dxa"/>
            <w:shd w:val="clear" w:color="auto" w:fill="auto"/>
            <w:vAlign w:val="center"/>
          </w:tcPr>
          <w:p w14:paraId="73ECE3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雷达水位计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255E0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测量范围：0.1m～65m</w:t>
            </w:r>
          </w:p>
          <w:p w14:paraId="3BAE6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测量精度：±1mm</w:t>
            </w:r>
          </w:p>
          <w:p w14:paraId="246C0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波束角度：6°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79961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/>
                <w:highlight w:val="none"/>
                <w:lang w:eastAsia="zh-CN"/>
              </w:rPr>
              <w:drawing>
                <wp:inline distT="0" distB="0" distL="114300" distR="114300">
                  <wp:extent cx="586105" cy="593725"/>
                  <wp:effectExtent l="0" t="0" r="8255" b="635"/>
                  <wp:docPr id="9" name="图片 15" descr="微信图片_2024081710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 descr="微信图片_202408171037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0C55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927" w:type="pct"/>
            <w:shd w:val="clear" w:color="auto" w:fill="auto"/>
            <w:vAlign w:val="center"/>
          </w:tcPr>
          <w:p w14:paraId="12ECB776">
            <w:pPr>
              <w:spacing w:line="240" w:lineRule="auto"/>
              <w:ind w:firstLine="0" w:firstLineChars="0"/>
              <w:jc w:val="center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便携式多参数分析仪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2F41853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检测参数：COD、 高锰酸盐指数、氨氮、总磷、总氮、硝酸盐氮、亚硝酸盐氮、磷酸盐、硫酸盐、亚硫酸盐、硫化物、余氯、重金属（铜镍锌锰）等</w:t>
            </w:r>
          </w:p>
          <w:p w14:paraId="41FE0965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工作波长范围：420nm 520nm，580nm，610nm；波长半宽度：5±2（nm）；</w:t>
            </w:r>
          </w:p>
          <w:p w14:paraId="2210639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仪器的检测范围：吸光度值0.000-3.000；</w:t>
            </w:r>
          </w:p>
          <w:p w14:paraId="6EA248B9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光源灯：冷光源；</w:t>
            </w:r>
          </w:p>
          <w:p w14:paraId="7861DEAB">
            <w:pPr>
              <w:spacing w:line="240" w:lineRule="auto"/>
              <w:ind w:firstLine="0" w:firstLineChars="0"/>
              <w:jc w:val="left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分辨率：0.001；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CE33B2C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 w:ascii="Times New Roman" w:hAnsi="Times New Roman" w:eastAsia="宋体"/>
                <w:highlight w:val="none"/>
                <w:lang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828675" cy="1152525"/>
                  <wp:effectExtent l="0" t="0" r="9525" b="5715"/>
                  <wp:docPr id="1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CF197">
      <w:pPr>
        <w:rPr>
          <w:rFonts w:hint="eastAsia"/>
          <w:color w:val="auto"/>
          <w:highlight w:val="none"/>
          <w:lang w:val="en-US" w:eastAsia="zh-CN"/>
        </w:rPr>
      </w:pPr>
    </w:p>
    <w:p w14:paraId="7056D658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4" w:name="_Toc26713"/>
      <w:bookmarkStart w:id="15" w:name="_Toc4602"/>
      <w:bookmarkStart w:id="16" w:name="_Toc15559"/>
      <w:bookmarkStart w:id="17" w:name="_Toc21015"/>
      <w:r>
        <w:rPr>
          <w:rFonts w:hint="eastAsia"/>
          <w:color w:val="auto"/>
          <w:highlight w:val="none"/>
          <w:lang w:val="en-US" w:eastAsia="zh-CN"/>
        </w:rPr>
        <w:t>场景适配性</w:t>
      </w:r>
      <w:bookmarkEnd w:id="14"/>
      <w:bookmarkEnd w:id="15"/>
      <w:bookmarkEnd w:id="16"/>
      <w:bookmarkEnd w:id="17"/>
    </w:p>
    <w:p w14:paraId="6DBA754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本方案针对国控省控断面监测需求，通过标准化设计与智能化技术实现多场景覆盖。系统集成的在线监测设备严格遵循《地表水环境质量标准》（GB3838）及国家监测规范，支持高锰酸盐指数、氨氮、总磷等核心参数的实时监测，并可扩展至重金属、有机物等特征污染物检测，满足断面水质考核与生态评估双重要求。</w:t>
      </w:r>
    </w:p>
    <w:p w14:paraId="48676B6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备采用模块化集成设计，适应江河、湖泊、水库等不同水体类型，支持浮标式、岸边站式、微型站式等多种安装方式，可灵活部署于复杂水文条件区域。针对断面水质波动快、干扰因素多的特点，系统配备自动清洗、防生物附着等技术，确保长期稳定运行。</w:t>
      </w:r>
    </w:p>
    <w:p w14:paraId="2D93577C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在数据管理层面，方案通过云平台实现多部门数据互通，支持实时数据传输、超标预警及污染溯源分析，为跨区域协同治理提供技术支撑。便携式设备的配备进一步强化应急监测能力，可快速响应突发污染事件，补充在线监测盲区。  </w:t>
      </w:r>
    </w:p>
    <w:p w14:paraId="3C229ED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此外，系统具备良好的环境适应性，可在-20℃至50℃宽温域、高湿度及强电磁干扰环境下稳定工作，结合低功耗设计与太阳能供电技术，适用于偏远地区及无市电接入场景，保障监测连续性。</w:t>
      </w:r>
    </w:p>
    <w:p w14:paraId="1C7779E2">
      <w:pPr>
        <w:bidi w:val="0"/>
        <w:rPr>
          <w:rFonts w:hint="default"/>
          <w:color w:val="auto"/>
          <w:highlight w:val="none"/>
          <w:lang w:val="en-US" w:eastAsia="zh-CN"/>
        </w:rPr>
      </w:pPr>
    </w:p>
    <w:p w14:paraId="7A6B9756">
      <w:pPr>
        <w:pStyle w:val="2"/>
        <w:bidi w:val="0"/>
        <w:rPr>
          <w:rFonts w:hint="eastAsia"/>
          <w:color w:val="auto"/>
          <w:highlight w:val="none"/>
          <w:lang w:val="en-US" w:eastAsia="zh-CN"/>
        </w:rPr>
      </w:pPr>
      <w:bookmarkStart w:id="18" w:name="_Toc27010"/>
      <w:bookmarkStart w:id="19" w:name="_Toc28797"/>
      <w:r>
        <w:rPr>
          <w:rFonts w:hint="eastAsia"/>
          <w:color w:val="auto"/>
          <w:highlight w:val="none"/>
          <w:lang w:val="en-US" w:eastAsia="zh-CN"/>
        </w:rPr>
        <w:t>设备寿命及维护</w:t>
      </w:r>
      <w:bookmarkEnd w:id="18"/>
      <w:bookmarkEnd w:id="19"/>
    </w:p>
    <w:p w14:paraId="31BBC612">
      <w:pPr>
        <w:pStyle w:val="3"/>
        <w:rPr>
          <w:rFonts w:hint="eastAsia"/>
          <w:color w:val="auto"/>
          <w:highlight w:val="none"/>
        </w:rPr>
      </w:pPr>
      <w:bookmarkStart w:id="20" w:name="_Toc26955"/>
      <w:bookmarkStart w:id="21" w:name="_Toc10076"/>
      <w:r>
        <w:rPr>
          <w:rFonts w:hint="eastAsia"/>
          <w:color w:val="auto"/>
          <w:highlight w:val="none"/>
        </w:rPr>
        <w:t>设备寿命周期与维护周期表</w:t>
      </w:r>
      <w:bookmarkEnd w:id="20"/>
      <w:bookmarkEnd w:id="21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7E02C6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F8A94BF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388140E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670CCF8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0024CE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62C6FBA4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在线全光谱多参数传感器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A29719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BB0DEC0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  <w:tr w14:paraId="2EA7495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16FAD4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76A02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F6F66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1年</w:t>
            </w:r>
          </w:p>
        </w:tc>
      </w:tr>
      <w:tr w14:paraId="4424762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C3FF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在线浊度传感器</w:t>
            </w:r>
          </w:p>
        </w:tc>
        <w:tc>
          <w:tcPr>
            <w:tcW w:w="1666" w:type="pct"/>
            <w:vAlign w:val="center"/>
          </w:tcPr>
          <w:p w14:paraId="1990B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6F0BA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6E3514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shd w:val="clear" w:color="auto" w:fill="auto"/>
            <w:vAlign w:val="center"/>
          </w:tcPr>
          <w:p w14:paraId="627A6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9FB0F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40BB5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2F0BE75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C0E7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在线溶解氧传感器</w:t>
            </w:r>
          </w:p>
        </w:tc>
        <w:tc>
          <w:tcPr>
            <w:tcW w:w="1666" w:type="pct"/>
            <w:vAlign w:val="center"/>
          </w:tcPr>
          <w:p w14:paraId="36BAE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32625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578E61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EE9148F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</w:t>
            </w:r>
            <w:r>
              <w:rPr>
                <w:rFonts w:hint="eastAsia"/>
                <w:sz w:val="22"/>
                <w:szCs w:val="22"/>
                <w:highlight w:val="none"/>
                <w:lang w:val="en-US" w:eastAsia="zh-CN"/>
              </w:rPr>
              <w:t>高锰酸盐指数</w:t>
            </w:r>
            <w:r>
              <w:rPr>
                <w:rFonts w:hint="eastAsia"/>
                <w:sz w:val="22"/>
                <w:szCs w:val="22"/>
                <w:highlight w:val="none"/>
              </w:rPr>
              <w:t>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6BEE09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349BA8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3-5年</w:t>
            </w:r>
          </w:p>
        </w:tc>
      </w:tr>
      <w:tr w14:paraId="5B5DF6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11BE4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在线氨氮分析仪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9D4CF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1299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2CC2486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621A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在线总磷分析仪</w:t>
            </w:r>
          </w:p>
        </w:tc>
        <w:tc>
          <w:tcPr>
            <w:tcW w:w="1666" w:type="pct"/>
            <w:vAlign w:val="center"/>
          </w:tcPr>
          <w:p w14:paraId="181D1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vAlign w:val="center"/>
          </w:tcPr>
          <w:p w14:paraId="4272BD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179053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CE3E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在线总氮分析仪</w:t>
            </w:r>
          </w:p>
        </w:tc>
        <w:tc>
          <w:tcPr>
            <w:tcW w:w="1666" w:type="pct"/>
            <w:vAlign w:val="center"/>
          </w:tcPr>
          <w:p w14:paraId="4F79C1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1个月/次</w:t>
            </w:r>
          </w:p>
        </w:tc>
        <w:tc>
          <w:tcPr>
            <w:tcW w:w="1667" w:type="pct"/>
            <w:vAlign w:val="center"/>
          </w:tcPr>
          <w:p w14:paraId="49F80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1AF6BF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9" w:type="dxa"/>
            <w:vAlign w:val="center"/>
          </w:tcPr>
          <w:p w14:paraId="6787D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雷达流量计</w:t>
            </w:r>
          </w:p>
        </w:tc>
        <w:tc>
          <w:tcPr>
            <w:tcW w:w="2839" w:type="dxa"/>
            <w:vAlign w:val="center"/>
          </w:tcPr>
          <w:p w14:paraId="1C1E57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2841" w:type="dxa"/>
            <w:vAlign w:val="center"/>
          </w:tcPr>
          <w:p w14:paraId="71DCC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4C1960D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9" w:type="dxa"/>
            <w:vAlign w:val="center"/>
          </w:tcPr>
          <w:p w14:paraId="6A6CE2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雷达液位计</w:t>
            </w:r>
          </w:p>
        </w:tc>
        <w:tc>
          <w:tcPr>
            <w:tcW w:w="2839" w:type="dxa"/>
            <w:vAlign w:val="center"/>
          </w:tcPr>
          <w:p w14:paraId="63CD0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2841" w:type="dxa"/>
            <w:vAlign w:val="center"/>
          </w:tcPr>
          <w:p w14:paraId="7AE7A2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3-5年</w:t>
            </w:r>
          </w:p>
        </w:tc>
      </w:tr>
      <w:tr w14:paraId="4A431BD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C1A3EC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便携式多参数分析仪</w:t>
            </w:r>
          </w:p>
        </w:tc>
        <w:tc>
          <w:tcPr>
            <w:tcW w:w="1666" w:type="pct"/>
            <w:vAlign w:val="center"/>
          </w:tcPr>
          <w:p w14:paraId="0354F02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vAlign w:val="center"/>
          </w:tcPr>
          <w:p w14:paraId="28D5465E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2-3年</w:t>
            </w:r>
          </w:p>
        </w:tc>
      </w:tr>
    </w:tbl>
    <w:p w14:paraId="10B969CA">
      <w:pPr>
        <w:ind w:firstLine="480"/>
        <w:rPr>
          <w:rFonts w:hint="eastAsia"/>
          <w:color w:val="auto"/>
          <w:highlight w:val="none"/>
        </w:rPr>
      </w:pPr>
    </w:p>
    <w:p w14:paraId="351490A1">
      <w:pPr>
        <w:pStyle w:val="3"/>
        <w:rPr>
          <w:rFonts w:hint="eastAsia"/>
          <w:color w:val="auto"/>
          <w:highlight w:val="none"/>
        </w:rPr>
      </w:pPr>
      <w:bookmarkStart w:id="22" w:name="_Toc2339"/>
      <w:bookmarkStart w:id="23" w:name="_Toc2454"/>
      <w:bookmarkStart w:id="24" w:name="_Toc9611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日常维护</w:t>
      </w:r>
      <w:bookmarkEnd w:id="22"/>
      <w:bookmarkEnd w:id="23"/>
      <w:bookmarkEnd w:id="24"/>
    </w:p>
    <w:p w14:paraId="407DDF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在线全光谱多参数传感器</w:t>
      </w:r>
    </w:p>
    <w:p w14:paraId="410A376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（1）定期用自来水清洗外表面，若有碎屑残留，用湿润软布擦拭；顽固污垢可加家用洗涤液清洗。</w:t>
      </w:r>
    </w:p>
    <w:p w14:paraId="46AD25D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（2）查看线缆是否绷紧、测量窗口有无脏污、清洁刷是否正常及有无损坏。</w:t>
      </w:r>
    </w:p>
    <w:p w14:paraId="2DA7D3B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（3）校准传感器，在使用前将传感器置入去离子水，保证光路浸没且无气泡，发送光谱校准指令完成校准。</w:t>
      </w:r>
    </w:p>
    <w:p w14:paraId="22B78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在线PH传感器</w:t>
      </w:r>
    </w:p>
    <w:p w14:paraId="2516CE0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（1）测量前用蒸馏水洗净并擦干传感器，插入被测液1/3深度，防杂质污染。</w:t>
      </w:r>
    </w:p>
    <w:p w14:paraId="757EFC09">
      <w:pPr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（2）闲置保养，洗净后浸泡于3mol/L氯化钾溶液中（保护套或容器），维持电极性能。</w:t>
      </w:r>
    </w:p>
    <w:p w14:paraId="79203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在线浊度传感器</w:t>
      </w:r>
    </w:p>
    <w:p w14:paraId="6E542AF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（1）外表面清洁自来水冲洗表面，软布擦拭残留碎屑，顽固污垢可用稀释家用洗涤液清洗。  </w:t>
      </w:r>
    </w:p>
    <w:p w14:paraId="398D667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（2）线缆检查确保线缆松弛无绷紧，避免内部断裂导致故障。  </w:t>
      </w:r>
    </w:p>
    <w:p w14:paraId="0D72322D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（3）测量窗口维护检查测量窗口是否脏污，清洁刷是否正常工作。</w:t>
      </w:r>
    </w:p>
    <w:p w14:paraId="304F31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23065F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（1）用软毛刷清除附着物（防划伤），蒸馏水洗净后校准。  </w:t>
      </w:r>
    </w:p>
    <w:p w14:paraId="33282487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  <w:lang w:eastAsia="zh-CN"/>
        </w:rPr>
        <w:t>（2）根据工况调整校准频率，确保测量准确性。</w:t>
      </w:r>
    </w:p>
    <w:p w14:paraId="484C46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1B76831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（1）使用后及时安装电极保护套，保证套内海绵湿润；新传感器需在自来水中活化24小时，确保测试准确性。</w:t>
      </w:r>
    </w:p>
    <w:p w14:paraId="65200647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162EC12B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（3）检查线缆是否绷紧或与硬物摩擦，确保正常安装时线缆处于合适状态，防止内部电线断裂或表皮破损进水。</w:t>
      </w:r>
    </w:p>
    <w:p w14:paraId="7F2C7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</w:t>
      </w:r>
      <w:r>
        <w:rPr>
          <w:rFonts w:hint="eastAsia" w:cs="宋体"/>
          <w:b/>
          <w:bCs/>
          <w:highlight w:val="none"/>
          <w:lang w:val="en-US" w:eastAsia="zh-CN"/>
        </w:rPr>
        <w:t>高锰酸盐指数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氨氮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总磷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总氮分析仪</w:t>
      </w:r>
    </w:p>
    <w:p w14:paraId="09AE18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（1）定期用温和的清洁剂清洗仪器外部，去除灰尘和污渍。</w:t>
      </w:r>
    </w:p>
    <w:p w14:paraId="76DFDDE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（2）检查试剂余量，及时添加或更换。注意试剂保质期，避免使用过期试剂。定期更换试剂管路，防止堵塞和交叉污染，更换频率根据使用情况确定。</w:t>
      </w:r>
    </w:p>
    <w:p w14:paraId="05520C0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（3）按照仪器使用手册规定的时间进行校准，包括零点校准和量程校准，使用标准溶液进行操作，确保测量结果的准确性。</w:t>
      </w:r>
    </w:p>
    <w:p w14:paraId="2280984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（4）检查采样泵、蠕动泵等部件的工作状态，查看是否有泄漏、异常噪音或磨损。检查仪器的连接部件是否松动，及时紧固，保证仪器稳定运行。</w:t>
      </w:r>
    </w:p>
    <w:p w14:paraId="6DDC1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</w:rPr>
        <w:t>雷达流量计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液位计</w:t>
      </w:r>
    </w:p>
    <w:p w14:paraId="0E66972E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（1）定期用柔软干布擦拭雷达流量计的天线和外壳，清除灰尘、污垢，避免影响信号发射与接收。若有顽固污渍，用湿布蘸温和清洁剂轻轻擦拭，之后擦干。</w:t>
      </w:r>
    </w:p>
    <w:p w14:paraId="507DA845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（2）检查安装位置是否偏移，确保设备稳固安装在指定位置，且对准测量区域。查看安装支架有无松动、变形，及时紧固或修复。</w:t>
      </w:r>
    </w:p>
    <w:p w14:paraId="20ED1279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（3）检查连接线缆是否破损、老化，接线处是否松动。若发现问题，及时更换线缆或紧固接线，保证信号传输稳定。</w:t>
      </w:r>
    </w:p>
    <w:p w14:paraId="20DCE70D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（4）定期分析测量数据，观察数据变化趋势。若数据异常波动或与实际不符，排查设备故障或测量环境变化因素。</w:t>
      </w:r>
    </w:p>
    <w:p w14:paraId="32EE833C">
      <w:pPr>
        <w:ind w:firstLine="0" w:firstLineChars="0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便携式多参数分析仪</w:t>
      </w:r>
    </w:p>
    <w:p w14:paraId="580D7483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（1）平常不用时拔掉电源插头。若有反应液体溅到载物台或仪器外壁，及时用湿抹布擦去，必要时消毒。每次使用完毕用湿抹布擦拭保持洁净。</w:t>
      </w:r>
    </w:p>
    <w:p w14:paraId="15DC1935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仪器有开机自检功能，出现故障时，依据故障提示或常见故障排查方法处理。如水质检测仪不能启动，检查电源；自检不正常，查看光源灯、重新设置波长值或更换滤光片；检测结果不正确，根据具体原因更换光源灯、滤光片、试剂，排除干扰源，重新校准标定或处理样本；</w:t>
      </w:r>
    </w:p>
    <w:p w14:paraId="49E3E05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本仪器属于计量类仪器，出现检测结果超出规定范围、实验条件改变、用标准溶液检验出现误差等情形时，需使用标准溶液重新进行校准和标定，标液可选用国家标物中心发行的质控品、从厂家购买或用户自行配置（配置应严格按照对应检测项目最新版本的环境标准），以保证测定结果的准确性。</w:t>
      </w:r>
    </w:p>
    <w:p w14:paraId="113AE88B">
      <w:pPr>
        <w:bidi w:val="0"/>
        <w:rPr>
          <w:rFonts w:hint="eastAsia"/>
          <w:highlight w:val="none"/>
        </w:rPr>
      </w:pPr>
    </w:p>
    <w:p w14:paraId="473CA6AC">
      <w:pPr>
        <w:pStyle w:val="3"/>
        <w:rPr>
          <w:rFonts w:hint="eastAsia"/>
          <w:color w:val="auto"/>
          <w:highlight w:val="none"/>
        </w:rPr>
      </w:pPr>
      <w:bookmarkStart w:id="25" w:name="_Toc20591"/>
      <w:bookmarkStart w:id="26" w:name="_Toc26758"/>
      <w:bookmarkStart w:id="27" w:name="_Toc20620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维护注意事项</w:t>
      </w:r>
      <w:bookmarkEnd w:id="25"/>
      <w:bookmarkEnd w:id="26"/>
      <w:bookmarkEnd w:id="27"/>
    </w:p>
    <w:p w14:paraId="56A22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在线全光谱多参数传感器</w:t>
      </w:r>
    </w:p>
    <w:p w14:paraId="33F771BF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（1）防止传感器受到剧烈机械撞击，使用中避免对其直接施加机械应力（压力、划痕等）。</w:t>
      </w:r>
    </w:p>
    <w:p w14:paraId="2CE52806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（2）避免传感器被阳光暴晒，不要用手触摸传感器。</w:t>
      </w:r>
    </w:p>
    <w:p w14:paraId="4A5DFCE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（3）测量和校准时，确保传感器表面无气泡附着。</w:t>
      </w:r>
    </w:p>
    <w:p w14:paraId="4A073B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在线PH传感器</w:t>
      </w:r>
    </w:p>
    <w:p w14:paraId="5D04BD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196313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在线浊度传感器</w:t>
      </w:r>
    </w:p>
    <w:p w14:paraId="6E081AD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（1）使用时取下保护套，闲置时及时安装，防止探头划伤。  </w:t>
      </w:r>
    </w:p>
    <w:p w14:paraId="355968E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（2）避免探头附着气泡，保持探头离容器底/壁≥100mm。  </w:t>
      </w:r>
    </w:p>
    <w:p w14:paraId="6E0EAC9E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（3）避免剧烈撞击，防止光学/电子部件损坏。  </w:t>
      </w:r>
    </w:p>
    <w:p w14:paraId="3904AC8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（4）禁止在含荧光物质的容器中测试，防止干扰。  </w:t>
      </w:r>
    </w:p>
    <w:p w14:paraId="2D83C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在线电导率传感器</w:t>
      </w:r>
    </w:p>
    <w:p w14:paraId="19016FE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（1）校准与测试时电极需完全浸入标准液（无气泡），距容器底/壁≥2cm。  </w:t>
      </w:r>
    </w:p>
    <w:p w14:paraId="23A8AEA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（2）石墨电极使用前需用自来水浸泡1小时，闲置时保持湿润。  </w:t>
      </w:r>
    </w:p>
    <w:p w14:paraId="3C7EECC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（3）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（4）避免与有机硅油脂接触。  </w:t>
      </w:r>
    </w:p>
    <w:p w14:paraId="24EC4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4FE1C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（1）传感器含有敏感部件，安装和测量时避免其受到剧烈机械撞击。</w:t>
      </w:r>
    </w:p>
    <w:p w14:paraId="79108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7159CD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</w:t>
      </w:r>
      <w:r>
        <w:rPr>
          <w:rFonts w:hint="eastAsia" w:cs="宋体"/>
          <w:b/>
          <w:bCs/>
          <w:highlight w:val="none"/>
          <w:lang w:val="en-US" w:eastAsia="zh-CN"/>
        </w:rPr>
        <w:t>高锰酸盐指数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氨氮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总磷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总氮分析仪</w:t>
      </w:r>
    </w:p>
    <w:p w14:paraId="1F7252E3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（1）严格按照操作手册进行操作，避免误操作损坏仪器。维护过程中如需接触试剂，应佩戴防护手套和护目镜，防止试剂腐蚀。</w:t>
      </w:r>
    </w:p>
    <w:p w14:paraId="7FE27F3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（2）仪器应安装在干燥、通风良好的环境中，避免阳光直射和高温高湿环境。远离强电磁场干扰源，防止影响测量精度。</w:t>
      </w:r>
    </w:p>
    <w:p w14:paraId="2F3850E1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（3）仪器出现故障时，不要擅自拆解维修，应联系专业维修人员。记录故障现象和发生时间，为维修提供参考。</w:t>
      </w:r>
    </w:p>
    <w:p w14:paraId="3CBF2676">
      <w:pPr>
        <w:bidi w:val="0"/>
        <w:rPr>
          <w:rFonts w:hint="eastAsia"/>
          <w:highlight w:val="none"/>
        </w:rPr>
      </w:pPr>
      <w:r>
        <w:rPr>
          <w:rFonts w:hint="eastAsia"/>
          <w:highlight w:val="none"/>
        </w:rPr>
        <w:t>（4）定期检查仪器的接地情况，确保使用安全。对废弃试剂进行妥善处理，按照环保要求进行回收或中和排放，避免污染环境。</w:t>
      </w:r>
    </w:p>
    <w:p w14:paraId="42701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</w:rPr>
        <w:t>雷达流量计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液位计</w:t>
      </w:r>
    </w:p>
    <w:p w14:paraId="681429B0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（1）严格按照操作手册进行操作，维护前切断电源，避免带电操作引发危险。非专业人员不要擅自拆解设备。</w:t>
      </w:r>
    </w:p>
    <w:p w14:paraId="6CC51E9F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（2）避免设备在强电磁干扰环境下工作，远离大型电机、变压器等设备。同时，做好防水、防晒措施，防止因恶劣天气损坏设备。</w:t>
      </w:r>
    </w:p>
    <w:p w14:paraId="44BB1FB1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（3）按照规定的时间间隔进行校准，使用专业校准设备和方法，确保测量精度。校准过程需由专业人员操作。</w:t>
      </w:r>
    </w:p>
    <w:p w14:paraId="07ABF8D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（4）设备出现故障时，及时记录故障现象，联系厂家或专业维修人员进行维修，不可自行尝试修复，以免造成更大损坏。</w:t>
      </w:r>
    </w:p>
    <w:p w14:paraId="794DC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</w:rPr>
        <w:t>雷达流量计</w:t>
      </w:r>
      <w:r>
        <w:rPr>
          <w:rFonts w:hint="eastAsia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液位计</w:t>
      </w:r>
    </w:p>
    <w:p w14:paraId="41001433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（1）严格按照操作手册进行操作，维护前切断电源，避免带电操作引发危险。非专业人员不要擅自拆解设备。</w:t>
      </w:r>
    </w:p>
    <w:p w14:paraId="47EA97AE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（2）避免设备在强电磁干扰环境下工作，远离大型电机、变压器等设备。同时，做好防水、防晒措施，防止因恶劣天气损坏设备。</w:t>
      </w:r>
    </w:p>
    <w:p w14:paraId="7BE79629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（3）按照规定的时间间隔进行校准，使用专业校准设备和方法，确保测量精度。校准过程需由专业人员操作。</w:t>
      </w:r>
    </w:p>
    <w:p w14:paraId="387DAB6E">
      <w:pPr>
        <w:bidi w:val="0"/>
        <w:rPr>
          <w:rFonts w:hint="eastAsia"/>
          <w:highlight w:val="none"/>
        </w:rPr>
      </w:pPr>
      <w:r>
        <w:rPr>
          <w:rFonts w:hint="eastAsia"/>
          <w:b w:val="0"/>
          <w:bCs w:val="0"/>
          <w:highlight w:val="none"/>
        </w:rPr>
        <w:t xml:space="preserve">（4）设备出现故障时，及时记录故障现象，联系厂家或专业维修人员进行维修，不可自行尝试修复，以免造成更大损坏。 </w:t>
      </w:r>
    </w:p>
    <w:p w14:paraId="1777E60C">
      <w:pPr>
        <w:ind w:firstLine="0" w:firstLineChars="0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便携式多参数分析仪</w:t>
      </w:r>
    </w:p>
    <w:p w14:paraId="326F4DC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（1）仪器的维修需要专业人员操作，非专业人员请勿自行维修。维修或因其他原因拆卸外壳时必须切断电源。</w:t>
      </w:r>
    </w:p>
    <w:p w14:paraId="6EF5924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（2）使用设备前做好防护措施，避免接触质量控制物、标准样本、废弃液体等可能有生物危害、腐蚀或有毒的物质。使用本仪器配套或推荐的试剂，禁止在强辐射源旁使用设备。</w:t>
      </w:r>
    </w:p>
    <w:p w14:paraId="0C99345A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仪器正常工作环境温度为5℃～40℃，相对湿度30%～80%，需远离强电磁场干扰源，工作场地防尘、防振，空气中无酸、盐等腐蚀性气体。运输时包装完好，防止剧烈冲击、雨淋和暴晒，中转时合理堆放。贮存时放置在阴凉干燥、防湿通风处，不能露天堆放，避免雨雪浸入，贮存运输环境温度 -20℃～ +55℃，相对湿度≤93%，无腐蚀性气体且通风良好。</w:t>
      </w:r>
    </w:p>
    <w:p w14:paraId="768C9BB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（4）请勿让任何溶剂、油脂类、腐蚀性物质接触仪器。仪器使用期限为6年，效期结束后按规定处理或联系回收，避免污染环境。 </w:t>
      </w:r>
    </w:p>
    <w:p w14:paraId="03D92878">
      <w:pPr>
        <w:rPr>
          <w:rFonts w:hint="eastAsia"/>
          <w:color w:val="auto"/>
          <w:highlight w:val="none"/>
          <w:lang w:val="en-US" w:eastAsia="zh-CN"/>
        </w:rPr>
      </w:pPr>
    </w:p>
    <w:p w14:paraId="0000BF6B">
      <w:pPr>
        <w:pStyle w:val="2"/>
        <w:bidi w:val="0"/>
        <w:rPr>
          <w:rFonts w:hint="default"/>
          <w:color w:val="auto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28" w:name="_Toc18219"/>
    </w:p>
    <w:p w14:paraId="536B31F0">
      <w:pPr>
        <w:pStyle w:val="2"/>
        <w:bidi w:val="0"/>
        <w:rPr>
          <w:rFonts w:hint="default"/>
          <w:color w:val="auto"/>
          <w:highlight w:val="none"/>
          <w:lang w:val="en-US" w:eastAsia="zh-CN"/>
        </w:rPr>
      </w:pPr>
      <w:bookmarkStart w:id="29" w:name="_Toc5246"/>
      <w:r>
        <w:rPr>
          <w:rFonts w:hint="eastAsia"/>
          <w:color w:val="auto"/>
          <w:highlight w:val="none"/>
          <w:lang w:val="en-US" w:eastAsia="zh-CN"/>
        </w:rPr>
        <w:t>案例展示</w:t>
      </w:r>
      <w:bookmarkEnd w:id="28"/>
      <w:bookmarkEnd w:id="29"/>
    </w:p>
    <w:p w14:paraId="3D11A92C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30" w:name="_Toc22280"/>
      <w:r>
        <w:rPr>
          <w:rFonts w:hint="eastAsia"/>
          <w:color w:val="auto"/>
          <w:highlight w:val="none"/>
          <w:lang w:val="en-US" w:eastAsia="zh-CN"/>
        </w:rPr>
        <w:t>案例1：江苏南通某断面水质在线监测</w:t>
      </w:r>
      <w:bookmarkEnd w:id="30"/>
    </w:p>
    <w:p w14:paraId="7E413837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监测参数：PH、电导率、浊度、溶解氧、高锰酸盐指数、氨氮、总磷、总氮</w:t>
      </w:r>
    </w:p>
    <w:p w14:paraId="65D0023A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2247900" cy="2997835"/>
            <wp:effectExtent l="0" t="0" r="7620" b="4445"/>
            <wp:docPr id="1" name="图片 1" descr="图片1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(17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highlight w:val="none"/>
          <w:lang w:val="en-US" w:eastAsia="zh-CN"/>
        </w:rPr>
        <w:drawing>
          <wp:inline distT="0" distB="0" distL="114300" distR="114300">
            <wp:extent cx="2124075" cy="2833370"/>
            <wp:effectExtent l="0" t="0" r="9525" b="1270"/>
            <wp:docPr id="7" name="图片 7" descr="图片1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(18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F5B3B">
    <w:pPr>
      <w:pStyle w:val="12"/>
      <w:rPr>
        <w:rFonts w:hint="eastAsia"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0D0AF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61EA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899FA3"/>
    <w:multiLevelType w:val="singleLevel"/>
    <w:tmpl w:val="DF899FA3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6EAB0D77"/>
    <w:multiLevelType w:val="singleLevel"/>
    <w:tmpl w:val="6EAB0D7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7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B326D"/>
    <w:rsid w:val="008753CB"/>
    <w:rsid w:val="008D7448"/>
    <w:rsid w:val="00A10114"/>
    <w:rsid w:val="00A30227"/>
    <w:rsid w:val="09DF435C"/>
    <w:rsid w:val="0C365ED4"/>
    <w:rsid w:val="0CF05FA0"/>
    <w:rsid w:val="0D67456A"/>
    <w:rsid w:val="125341B8"/>
    <w:rsid w:val="12AE6653"/>
    <w:rsid w:val="1456008E"/>
    <w:rsid w:val="15FB79DC"/>
    <w:rsid w:val="1C753D73"/>
    <w:rsid w:val="1D1D4E2C"/>
    <w:rsid w:val="1FE35C4B"/>
    <w:rsid w:val="232E2E6E"/>
    <w:rsid w:val="25E76B6C"/>
    <w:rsid w:val="26E1333F"/>
    <w:rsid w:val="3CAD2E9B"/>
    <w:rsid w:val="416830A7"/>
    <w:rsid w:val="41E23AAD"/>
    <w:rsid w:val="4283171C"/>
    <w:rsid w:val="42C17A0D"/>
    <w:rsid w:val="485B5172"/>
    <w:rsid w:val="4C9431FA"/>
    <w:rsid w:val="4DA8648A"/>
    <w:rsid w:val="5A9164F8"/>
    <w:rsid w:val="5C2514E6"/>
    <w:rsid w:val="636B69F0"/>
    <w:rsid w:val="67917192"/>
    <w:rsid w:val="799F35BE"/>
    <w:rsid w:val="7E3D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ind w:left="432" w:hanging="432"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numPr>
        <w:ilvl w:val="3"/>
        <w:numId w:val="1"/>
      </w:numPr>
      <w:ind w:left="0" w:firstLine="720" w:firstLineChars="200"/>
      <w:outlineLvl w:val="3"/>
    </w:pPr>
    <w:rPr>
      <w:rFonts w:cstheme="majorBidi"/>
      <w:b/>
      <w:color w:val="auto"/>
      <w:sz w:val="28"/>
      <w:szCs w:val="28"/>
    </w:rPr>
  </w:style>
  <w:style w:type="paragraph" w:styleId="6">
    <w:name w:val="heading 5"/>
    <w:basedOn w:val="5"/>
    <w:next w:val="1"/>
    <w:link w:val="26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 w:firstLineChars="0"/>
      <w:outlineLvl w:val="4"/>
    </w:pPr>
    <w:rPr>
      <w:rFonts w:ascii="宋体" w:hAnsi="宋体" w:eastAsia="宋体"/>
      <w:color w:val="auto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left="1151" w:hanging="1151"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left="1296" w:hanging="1296"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numPr>
        <w:ilvl w:val="7"/>
        <w:numId w:val="1"/>
      </w:numPr>
      <w:ind w:left="1440" w:hanging="1440"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numPr>
        <w:ilvl w:val="8"/>
        <w:numId w:val="1"/>
      </w:numPr>
      <w:ind w:left="1583" w:hanging="1583"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/>
      <w:u w:val="single"/>
    </w:rPr>
  </w:style>
  <w:style w:type="character" w:customStyle="1" w:styleId="22">
    <w:name w:val="标题 1 字符"/>
    <w:basedOn w:val="20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3">
    <w:name w:val="标题 2 字符"/>
    <w:basedOn w:val="20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4">
    <w:name w:val="标题 3 字符"/>
    <w:basedOn w:val="20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2">
    <w:name w:val="列出段落1"/>
    <w:basedOn w:val="1"/>
    <w:qFormat/>
    <w:uiPriority w:val="0"/>
    <w:pPr>
      <w:suppressAutoHyphens/>
      <w:ind w:firstLine="420"/>
      <w:jc w:val="left"/>
    </w:pPr>
    <w:rPr>
      <w:rFonts w:ascii="Times" w:hAnsi="Times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3376</Words>
  <Characters>3811</Characters>
  <Lines>1</Lines>
  <Paragraphs>1</Paragraphs>
  <TotalTime>1</TotalTime>
  <ScaleCrop>false</ScaleCrop>
  <LinksUpToDate>false</LinksUpToDate>
  <CharactersWithSpaces>3901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2025-07-25T07:10:31Z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