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4CCC34">
      <w:pPr>
        <w:rPr>
          <w:rFonts w:hint="eastAsia"/>
          <w:color w:val="auto"/>
          <w:highlight w:val="none"/>
        </w:rPr>
      </w:pPr>
    </w:p>
    <w:p w14:paraId="7C6688AF">
      <w:pPr>
        <w:rPr>
          <w:rFonts w:hint="eastAsia"/>
          <w:color w:val="auto"/>
          <w:highlight w:val="none"/>
        </w:rPr>
      </w:pPr>
    </w:p>
    <w:p w14:paraId="65B69CCC">
      <w:pPr>
        <w:rPr>
          <w:rFonts w:hint="eastAsia"/>
          <w:color w:val="auto"/>
          <w:highlight w:val="none"/>
        </w:rPr>
      </w:pPr>
    </w:p>
    <w:p w14:paraId="0E7AB5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b/>
          <w:bCs/>
          <w:color w:val="auto"/>
          <w:sz w:val="52"/>
          <w:szCs w:val="5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52"/>
          <w:szCs w:val="52"/>
          <w:highlight w:val="none"/>
          <w:lang w:val="en-US" w:eastAsia="zh-CN"/>
        </w:rPr>
        <w:t>水环境行业细分场景</w:t>
      </w:r>
    </w:p>
    <w:p w14:paraId="36EA5C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right"/>
        <w:textAlignment w:val="auto"/>
        <w:rPr>
          <w:rFonts w:hint="default" w:eastAsia="宋体"/>
          <w:b/>
          <w:bCs/>
          <w:color w:val="auto"/>
          <w:sz w:val="52"/>
          <w:szCs w:val="5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52"/>
          <w:szCs w:val="52"/>
          <w:highlight w:val="none"/>
          <w:lang w:val="en-US" w:eastAsia="zh-CN"/>
        </w:rPr>
        <w:t>——地下水水质监测方案</w:t>
      </w:r>
    </w:p>
    <w:p w14:paraId="5F987076">
      <w:pPr>
        <w:rPr>
          <w:rFonts w:hint="eastAsia"/>
          <w:color w:val="auto"/>
          <w:highlight w:val="none"/>
        </w:rPr>
      </w:pPr>
    </w:p>
    <w:p w14:paraId="3401E6BD">
      <w:pPr>
        <w:rPr>
          <w:rFonts w:hint="eastAsia"/>
          <w:color w:val="auto"/>
          <w:highlight w:val="none"/>
        </w:rPr>
      </w:pPr>
    </w:p>
    <w:p w14:paraId="1C915416">
      <w:pPr>
        <w:rPr>
          <w:rFonts w:hint="eastAsia"/>
          <w:color w:val="auto"/>
          <w:highlight w:val="none"/>
        </w:rPr>
      </w:pPr>
    </w:p>
    <w:p w14:paraId="35B99434">
      <w:pPr>
        <w:rPr>
          <w:rFonts w:hint="eastAsia"/>
          <w:color w:val="auto"/>
          <w:highlight w:val="none"/>
        </w:rPr>
      </w:pPr>
    </w:p>
    <w:p w14:paraId="21E5C6ED">
      <w:pPr>
        <w:rPr>
          <w:rFonts w:hint="eastAsia"/>
          <w:color w:val="auto"/>
          <w:highlight w:val="none"/>
        </w:rPr>
      </w:pPr>
    </w:p>
    <w:p w14:paraId="37D95FEA">
      <w:pPr>
        <w:rPr>
          <w:rFonts w:hint="eastAsia"/>
          <w:color w:val="auto"/>
          <w:highlight w:val="none"/>
        </w:rPr>
      </w:pPr>
    </w:p>
    <w:p w14:paraId="5D093C07">
      <w:pPr>
        <w:rPr>
          <w:rFonts w:hint="eastAsia"/>
          <w:color w:val="auto"/>
          <w:highlight w:val="none"/>
        </w:rPr>
      </w:pPr>
    </w:p>
    <w:p w14:paraId="0C33701D">
      <w:pPr>
        <w:rPr>
          <w:rFonts w:hint="eastAsia"/>
          <w:color w:val="auto"/>
          <w:highlight w:val="none"/>
        </w:rPr>
      </w:pPr>
    </w:p>
    <w:p w14:paraId="19E303D8">
      <w:pPr>
        <w:rPr>
          <w:rFonts w:hint="eastAsia"/>
          <w:color w:val="auto"/>
          <w:highlight w:val="none"/>
        </w:rPr>
      </w:pPr>
    </w:p>
    <w:p w14:paraId="7A24F120">
      <w:pPr>
        <w:rPr>
          <w:rFonts w:hint="eastAsia"/>
          <w:color w:val="auto"/>
          <w:highlight w:val="none"/>
        </w:rPr>
      </w:pPr>
    </w:p>
    <w:p w14:paraId="05C0723D">
      <w:pPr>
        <w:rPr>
          <w:rFonts w:hint="eastAsia"/>
          <w:color w:val="auto"/>
          <w:highlight w:val="none"/>
        </w:rPr>
      </w:pPr>
    </w:p>
    <w:p w14:paraId="2C2C71A1">
      <w:pPr>
        <w:rPr>
          <w:rFonts w:hint="eastAsia"/>
          <w:color w:val="auto"/>
          <w:highlight w:val="none"/>
        </w:rPr>
      </w:pPr>
    </w:p>
    <w:p w14:paraId="2F2A290D">
      <w:pPr>
        <w:rPr>
          <w:rFonts w:hint="eastAsia"/>
          <w:color w:val="auto"/>
          <w:highlight w:val="none"/>
        </w:rPr>
      </w:pPr>
    </w:p>
    <w:p w14:paraId="19888132">
      <w:pPr>
        <w:rPr>
          <w:rFonts w:hint="eastAsia"/>
          <w:color w:val="auto"/>
          <w:highlight w:val="none"/>
        </w:rPr>
      </w:pPr>
    </w:p>
    <w:p w14:paraId="776B9B5F">
      <w:pPr>
        <w:rPr>
          <w:rFonts w:hint="eastAsia"/>
          <w:color w:val="auto"/>
          <w:highlight w:val="none"/>
        </w:rPr>
      </w:pPr>
    </w:p>
    <w:p w14:paraId="256D5A4B">
      <w:pPr>
        <w:rPr>
          <w:rFonts w:hint="eastAsia"/>
          <w:color w:val="auto"/>
          <w:highlight w:val="none"/>
        </w:rPr>
      </w:pPr>
    </w:p>
    <w:p w14:paraId="274A8AFE">
      <w:pPr>
        <w:rPr>
          <w:rFonts w:hint="eastAsia"/>
          <w:color w:val="auto"/>
          <w:highlight w:val="none"/>
        </w:rPr>
      </w:pPr>
    </w:p>
    <w:p w14:paraId="5DBBFBCE">
      <w:pPr>
        <w:rPr>
          <w:rFonts w:hint="eastAsia"/>
          <w:color w:val="auto"/>
          <w:highlight w:val="none"/>
        </w:rPr>
      </w:pPr>
    </w:p>
    <w:p w14:paraId="7D2B2984">
      <w:pPr>
        <w:rPr>
          <w:rFonts w:hint="eastAsia"/>
          <w:color w:val="auto"/>
          <w:highlight w:val="none"/>
        </w:rPr>
      </w:pPr>
    </w:p>
    <w:p w14:paraId="7E21D1EE">
      <w:pPr>
        <w:rPr>
          <w:rFonts w:hint="eastAsia"/>
          <w:color w:val="auto"/>
          <w:highlight w:val="none"/>
        </w:rPr>
      </w:pPr>
    </w:p>
    <w:p w14:paraId="27E7BB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b/>
          <w:bCs/>
          <w:color w:val="auto"/>
          <w:sz w:val="40"/>
          <w:szCs w:val="40"/>
          <w:highlight w:val="none"/>
          <w:lang w:val="zh-CN"/>
        </w:rPr>
      </w:pPr>
      <w:r>
        <w:rPr>
          <w:b/>
          <w:bCs/>
          <w:color w:val="auto"/>
          <w:sz w:val="40"/>
          <w:szCs w:val="40"/>
          <w:highlight w:val="none"/>
        </w:rPr>
        <w:t>202</w:t>
      </w:r>
      <w:r>
        <w:rPr>
          <w:rFonts w:hint="eastAsia"/>
          <w:b/>
          <w:bCs/>
          <w:color w:val="auto"/>
          <w:sz w:val="40"/>
          <w:szCs w:val="40"/>
          <w:highlight w:val="none"/>
        </w:rPr>
        <w:t>5</w:t>
      </w:r>
      <w:r>
        <w:rPr>
          <w:b/>
          <w:bCs/>
          <w:color w:val="auto"/>
          <w:sz w:val="40"/>
          <w:szCs w:val="40"/>
          <w:highlight w:val="none"/>
          <w:lang w:val="zh-CN"/>
        </w:rPr>
        <w:t>年</w:t>
      </w:r>
      <w:r>
        <w:rPr>
          <w:rFonts w:hint="eastAsia"/>
          <w:b/>
          <w:bCs/>
          <w:color w:val="auto"/>
          <w:sz w:val="40"/>
          <w:szCs w:val="40"/>
          <w:highlight w:val="none"/>
          <w:lang w:val="en-US" w:eastAsia="zh-CN"/>
        </w:rPr>
        <w:t>2</w:t>
      </w:r>
      <w:r>
        <w:rPr>
          <w:b/>
          <w:bCs/>
          <w:color w:val="auto"/>
          <w:sz w:val="40"/>
          <w:szCs w:val="40"/>
          <w:highlight w:val="none"/>
          <w:lang w:val="zh-CN"/>
        </w:rPr>
        <w:t>月</w:t>
      </w:r>
    </w:p>
    <w:p w14:paraId="10808181">
      <w:pPr>
        <w:rPr>
          <w:rFonts w:hint="eastAsia"/>
          <w:color w:val="auto"/>
          <w:highlight w:val="none"/>
        </w:rPr>
      </w:pPr>
    </w:p>
    <w:p w14:paraId="360BE464">
      <w:pPr>
        <w:rPr>
          <w:rFonts w:hint="eastAsia"/>
          <w:color w:val="auto"/>
          <w:highlight w:val="none"/>
        </w:rPr>
        <w:sectPr>
          <w:head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3D44955E">
      <w:pPr>
        <w:rPr>
          <w:rFonts w:hint="eastAsia"/>
          <w:color w:val="auto"/>
          <w:highlight w:val="none"/>
        </w:rPr>
      </w:pPr>
    </w:p>
    <w:sdt>
      <w:sdtPr>
        <w:rPr>
          <w:rFonts w:ascii="宋体" w:hAnsi="宋体" w:eastAsia="宋体" w:cs="宋体"/>
          <w:b/>
          <w:bCs/>
          <w:color w:val="auto"/>
          <w:kern w:val="2"/>
          <w:sz w:val="36"/>
          <w:szCs w:val="36"/>
          <w:highlight w:val="none"/>
          <w:lang w:val="en-US" w:eastAsia="zh-CN" w:bidi="ar-SA"/>
        </w:rPr>
        <w:id w:val="147462421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</w:sdtEndPr>
      <w:sdtContent>
        <w:p w14:paraId="6D3CA3C9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color w:val="auto"/>
              <w:sz w:val="36"/>
              <w:szCs w:val="36"/>
              <w:highlight w:val="none"/>
            </w:rPr>
          </w:pPr>
          <w:r>
            <w:rPr>
              <w:rFonts w:ascii="宋体" w:hAnsi="宋体" w:eastAsia="宋体"/>
              <w:b/>
              <w:bCs/>
              <w:color w:val="auto"/>
              <w:sz w:val="36"/>
              <w:szCs w:val="36"/>
              <w:highlight w:val="none"/>
            </w:rPr>
            <w:t>目录</w:t>
          </w:r>
        </w:p>
        <w:p w14:paraId="44786835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 w:val="24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color w:val="auto"/>
              <w:kern w:val="2"/>
              <w:sz w:val="24"/>
              <w:szCs w:val="24"/>
              <w:highlight w:val="none"/>
              <w:lang w:val="en-US" w:eastAsia="zh-CN" w:bidi="ar-SA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color w:val="auto"/>
              <w:kern w:val="2"/>
              <w:sz w:val="24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_Toc12823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一、 </w:t>
          </w:r>
          <w:r>
            <w:rPr>
              <w:rFonts w:hint="eastAsia"/>
              <w:highlight w:val="none"/>
              <w:lang w:val="en-US" w:eastAsia="zh-CN"/>
            </w:rPr>
            <w:t>公司简介</w:t>
          </w:r>
          <w:r>
            <w:tab/>
          </w:r>
          <w:r>
            <w:fldChar w:fldCharType="begin"/>
          </w:r>
          <w:r>
            <w:instrText xml:space="preserve"> PAGEREF _Toc12823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5D8ED251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_Toc14712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二、 </w:t>
          </w:r>
          <w:r>
            <w:rPr>
              <w:rFonts w:hint="eastAsia"/>
              <w:highlight w:val="none"/>
              <w:lang w:val="en-US" w:eastAsia="zh-CN"/>
            </w:rPr>
            <w:t>地下水监测概述</w:t>
          </w:r>
          <w:r>
            <w:tab/>
          </w:r>
          <w:r>
            <w:fldChar w:fldCharType="begin"/>
          </w:r>
          <w:r>
            <w:instrText xml:space="preserve"> PAGEREF _Toc14712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10E06A31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_Toc4071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2.1. </w:t>
          </w:r>
          <w:r>
            <w:rPr>
              <w:rFonts w:hint="eastAsia"/>
              <w:highlight w:val="none"/>
              <w:lang w:val="en-US" w:eastAsia="zh-CN"/>
            </w:rPr>
            <w:t>水环境行业背景</w:t>
          </w:r>
          <w:r>
            <w:tab/>
          </w:r>
          <w:r>
            <w:fldChar w:fldCharType="begin"/>
          </w:r>
          <w:r>
            <w:instrText xml:space="preserve"> PAGEREF _Toc4071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2A081022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_Toc32537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2.2. </w:t>
          </w:r>
          <w:r>
            <w:rPr>
              <w:rFonts w:hint="eastAsia"/>
              <w:highlight w:val="none"/>
              <w:lang w:val="en-US" w:eastAsia="zh-CN"/>
            </w:rPr>
            <w:t>地下水监测特点</w:t>
          </w:r>
          <w:r>
            <w:tab/>
          </w:r>
          <w:r>
            <w:fldChar w:fldCharType="begin"/>
          </w:r>
          <w:r>
            <w:instrText xml:space="preserve"> PAGEREF _Toc32537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5435142F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_Toc29045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三、 </w:t>
          </w:r>
          <w:r>
            <w:rPr>
              <w:rFonts w:hint="eastAsia"/>
              <w:highlight w:val="none"/>
              <w:lang w:val="en-US" w:eastAsia="zh-CN"/>
            </w:rPr>
            <w:t>建设方案设计</w:t>
          </w:r>
          <w:r>
            <w:tab/>
          </w:r>
          <w:r>
            <w:fldChar w:fldCharType="begin"/>
          </w:r>
          <w:r>
            <w:instrText xml:space="preserve"> PAGEREF _Toc29045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15D30E07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_Toc21560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3.1. </w:t>
          </w:r>
          <w:r>
            <w:rPr>
              <w:rFonts w:hint="eastAsia"/>
              <w:highlight w:val="none"/>
              <w:lang w:val="en-US" w:eastAsia="zh-CN"/>
            </w:rPr>
            <w:t>系统框架图</w:t>
          </w:r>
          <w:r>
            <w:tab/>
          </w:r>
          <w:r>
            <w:fldChar w:fldCharType="begin"/>
          </w:r>
          <w:r>
            <w:instrText xml:space="preserve"> PAGEREF _Toc21560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281FD7E8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_Toc20823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3.2. </w:t>
          </w:r>
          <w:r>
            <w:rPr>
              <w:rFonts w:hint="eastAsia"/>
              <w:highlight w:val="none"/>
              <w:lang w:val="en-US" w:eastAsia="zh-CN"/>
            </w:rPr>
            <w:t>设备选型策略</w:t>
          </w:r>
          <w:r>
            <w:tab/>
          </w:r>
          <w:r>
            <w:fldChar w:fldCharType="begin"/>
          </w:r>
          <w:r>
            <w:instrText xml:space="preserve"> PAGEREF _Toc20823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4ECD2245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_Toc12532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四、 </w:t>
          </w:r>
          <w:r>
            <w:rPr>
              <w:rFonts w:hint="eastAsia"/>
              <w:highlight w:val="none"/>
              <w:lang w:val="en-US" w:eastAsia="zh-CN"/>
            </w:rPr>
            <w:t>产品介绍</w:t>
          </w:r>
          <w:r>
            <w:tab/>
          </w:r>
          <w:r>
            <w:fldChar w:fldCharType="begin"/>
          </w:r>
          <w:r>
            <w:instrText xml:space="preserve"> PAGEREF _Toc12532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3D4154E1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_Toc30629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4.1. </w:t>
          </w:r>
          <w:r>
            <w:rPr>
              <w:rFonts w:hint="eastAsia"/>
              <w:highlight w:val="none"/>
              <w:lang w:val="en-US" w:eastAsia="zh-CN"/>
            </w:rPr>
            <w:t>技术参数</w:t>
          </w:r>
          <w:r>
            <w:tab/>
          </w:r>
          <w:r>
            <w:fldChar w:fldCharType="begin"/>
          </w:r>
          <w:r>
            <w:instrText xml:space="preserve"> PAGEREF _Toc30629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055CD1AD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_Toc29608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4.2. </w:t>
          </w:r>
          <w:r>
            <w:rPr>
              <w:rFonts w:hint="eastAsia"/>
              <w:highlight w:val="none"/>
              <w:lang w:val="en-US" w:eastAsia="zh-CN"/>
            </w:rPr>
            <w:t>场景适配性</w:t>
          </w:r>
          <w:r>
            <w:tab/>
          </w:r>
          <w:r>
            <w:fldChar w:fldCharType="begin"/>
          </w:r>
          <w:r>
            <w:instrText xml:space="preserve"> PAGEREF _Toc29608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597F49CA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_Toc19787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五、 </w:t>
          </w:r>
          <w:r>
            <w:rPr>
              <w:rFonts w:hint="eastAsia"/>
              <w:highlight w:val="none"/>
              <w:lang w:val="en-US" w:eastAsia="zh-CN"/>
            </w:rPr>
            <w:t>设备寿命及维护</w:t>
          </w:r>
          <w:r>
            <w:tab/>
          </w:r>
          <w:r>
            <w:fldChar w:fldCharType="begin"/>
          </w:r>
          <w:r>
            <w:instrText xml:space="preserve"> PAGEREF _Toc19787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2F8CD6E4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_Toc23951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</w:rPr>
            <w:t xml:space="preserve">5.1. </w:t>
          </w:r>
          <w:r>
            <w:rPr>
              <w:rFonts w:hint="eastAsia"/>
              <w:highlight w:val="none"/>
            </w:rPr>
            <w:t>设备寿命周期与维护周期表</w:t>
          </w:r>
          <w:r>
            <w:tab/>
          </w:r>
          <w:r>
            <w:fldChar w:fldCharType="begin"/>
          </w:r>
          <w:r>
            <w:instrText xml:space="preserve"> PAGEREF _Toc23951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70845555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_Toc684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</w:rPr>
            <w:t xml:space="preserve">5.2. </w:t>
          </w:r>
          <w:r>
            <w:rPr>
              <w:rFonts w:hint="eastAsia"/>
              <w:highlight w:val="none"/>
            </w:rPr>
            <w:t>传感器日常维护</w:t>
          </w:r>
          <w:r>
            <w:tab/>
          </w:r>
          <w:r>
            <w:fldChar w:fldCharType="begin"/>
          </w:r>
          <w:r>
            <w:instrText xml:space="preserve"> PAGEREF _Toc684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3F7FAB79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_Toc18758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</w:rPr>
            <w:t xml:space="preserve">5.3. </w:t>
          </w:r>
          <w:r>
            <w:rPr>
              <w:rFonts w:hint="eastAsia"/>
              <w:highlight w:val="none"/>
            </w:rPr>
            <w:t>传感器维护注意事项</w:t>
          </w:r>
          <w:r>
            <w:tab/>
          </w:r>
          <w:r>
            <w:fldChar w:fldCharType="begin"/>
          </w:r>
          <w:r>
            <w:instrText xml:space="preserve"> PAGEREF _Toc18758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1233C23B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_Toc27798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六、 </w:t>
          </w:r>
          <w:r>
            <w:rPr>
              <w:rFonts w:hint="eastAsia"/>
              <w:highlight w:val="none"/>
              <w:lang w:val="en-US" w:eastAsia="zh-CN"/>
            </w:rPr>
            <w:t>案例展示</w:t>
          </w:r>
          <w:r>
            <w:tab/>
          </w:r>
          <w:r>
            <w:fldChar w:fldCharType="begin"/>
          </w:r>
          <w:r>
            <w:instrText xml:space="preserve"> PAGEREF _Toc27798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39016997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_Toc4738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6.1. </w:t>
          </w:r>
          <w:r>
            <w:rPr>
              <w:rFonts w:hint="eastAsia"/>
              <w:highlight w:val="none"/>
              <w:lang w:val="en-US" w:eastAsia="zh-CN"/>
            </w:rPr>
            <w:t>案例1：河北唐山某地下水监测</w:t>
          </w:r>
          <w:r>
            <w:tab/>
          </w:r>
          <w:r>
            <w:fldChar w:fldCharType="begin"/>
          </w:r>
          <w:r>
            <w:instrText xml:space="preserve"> PAGEREF _Toc4738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40F13162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rPr>
              <w:rFonts w:hint="eastAsia" w:ascii="宋体" w:hAnsi="宋体" w:eastAsia="宋体" w:cs="宋体"/>
              <w:color w:val="auto"/>
              <w:kern w:val="2"/>
              <w:sz w:val="24"/>
              <w:szCs w:val="24"/>
              <w:highlight w:val="none"/>
              <w:lang w:val="en-US" w:eastAsia="zh-CN" w:bidi="ar-SA"/>
            </w:rPr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</w:sdtContent>
    </w:sdt>
    <w:p w14:paraId="34DAA2F4">
      <w:pPr>
        <w:rPr>
          <w:rFonts w:hint="eastAsia"/>
          <w:color w:val="auto"/>
          <w:highlight w:val="none"/>
        </w:rPr>
      </w:pPr>
    </w:p>
    <w:p w14:paraId="004B449F">
      <w:pPr>
        <w:rPr>
          <w:rFonts w:hint="eastAsia"/>
          <w:color w:val="auto"/>
          <w:highlight w:val="none"/>
        </w:rPr>
        <w:sectPr>
          <w:headerReference r:id="rId6" w:type="default"/>
          <w:footerReference r:id="rId7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522919CD">
      <w:pPr>
        <w:pStyle w:val="2"/>
        <w:bidi w:val="0"/>
        <w:rPr>
          <w:rFonts w:hint="eastAsia"/>
          <w:color w:val="auto"/>
          <w:highlight w:val="none"/>
          <w:lang w:val="en-US" w:eastAsia="zh-CN"/>
        </w:rPr>
      </w:pPr>
      <w:bookmarkStart w:id="0" w:name="_Toc3865"/>
      <w:bookmarkStart w:id="1" w:name="_Toc12823"/>
      <w:r>
        <w:rPr>
          <w:rFonts w:hint="eastAsia"/>
          <w:color w:val="auto"/>
          <w:highlight w:val="none"/>
          <w:lang w:val="en-US" w:eastAsia="zh-CN"/>
        </w:rPr>
        <w:t>公司简介</w:t>
      </w:r>
      <w:bookmarkEnd w:id="0"/>
      <w:bookmarkEnd w:id="1"/>
    </w:p>
    <w:p w14:paraId="005BDF9F">
      <w:pPr>
        <w:rPr>
          <w:rFonts w:hint="eastAsia"/>
          <w:color w:val="auto"/>
          <w:highlight w:val="none"/>
          <w:lang w:val="en-US" w:eastAsia="zh-CN"/>
        </w:rPr>
      </w:pPr>
    </w:p>
    <w:p w14:paraId="73B189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4585970" cy="3395980"/>
            <wp:effectExtent l="0" t="0" r="127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EB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color w:val="auto"/>
          <w:highlight w:val="none"/>
        </w:rPr>
      </w:pPr>
    </w:p>
    <w:p w14:paraId="05A25232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青岛精诚仪器仪表有限公司（简称青岛精诚），是一家专业从事生态环境、水利水务、工业过程控制、智慧农业、海洋监测等应用的水质分析仪器研发制造商，以自主研发生产的水质自动监测仪器为核心，应用自动化控制与系统集成技术，为客户提供自动化、智能化的环境监测系统解决方案，并为客户提供环境监测设施的第三方运营服务。</w:t>
      </w:r>
    </w:p>
    <w:p w14:paraId="6D03DE0F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我公司拥有完善的研发、生产、销售和技术服务团队，是国内水质数字传感领导品牌，为国内近百个市、县（区）政府和生态环境部门提供水环境监测技术支撑。</w:t>
      </w:r>
    </w:p>
    <w:p w14:paraId="61776EF0">
      <w:pPr>
        <w:rPr>
          <w:rFonts w:hint="eastAsia"/>
          <w:color w:val="auto"/>
          <w:highlight w:val="none"/>
          <w:lang w:val="en-US" w:eastAsia="zh-CN"/>
        </w:rPr>
      </w:pPr>
    </w:p>
    <w:p w14:paraId="2F6F7128">
      <w:pPr>
        <w:rPr>
          <w:rFonts w:hint="eastAsia"/>
          <w:color w:val="auto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0EAF1881">
      <w:pPr>
        <w:pStyle w:val="2"/>
        <w:bidi w:val="0"/>
        <w:rPr>
          <w:rFonts w:hint="eastAsia"/>
          <w:color w:val="auto"/>
          <w:highlight w:val="none"/>
          <w:lang w:val="en-US" w:eastAsia="zh-CN"/>
        </w:rPr>
      </w:pPr>
      <w:bookmarkStart w:id="2" w:name="_Toc14712"/>
      <w:bookmarkStart w:id="3" w:name="_Toc28553"/>
      <w:r>
        <w:rPr>
          <w:rFonts w:hint="eastAsia"/>
          <w:color w:val="auto"/>
          <w:highlight w:val="none"/>
          <w:lang w:val="en-US" w:eastAsia="zh-CN"/>
        </w:rPr>
        <w:t>地下水水质监测概述</w:t>
      </w:r>
      <w:bookmarkEnd w:id="2"/>
      <w:bookmarkEnd w:id="3"/>
    </w:p>
    <w:p w14:paraId="41488666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4" w:name="_Toc4071"/>
      <w:r>
        <w:rPr>
          <w:rFonts w:hint="eastAsia"/>
          <w:color w:val="auto"/>
          <w:highlight w:val="none"/>
          <w:lang w:val="en-US" w:eastAsia="zh-CN"/>
        </w:rPr>
        <w:t>地下水水质监测行业背景</w:t>
      </w:r>
      <w:bookmarkEnd w:id="4"/>
    </w:p>
    <w:p w14:paraId="7D347D92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现阶段国家地下水环境监测网自动化程度低，存在数据分析困难、污染溯源不准确等难题。常规的地下水自动监测，往往一个目标层对应一套自动监测设备，或原位监测指标少，无洗井设备。这样也造成地下水的监测代表性存在问题。</w:t>
      </w:r>
    </w:p>
    <w:p w14:paraId="0068D42E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地下水监测解决方案以“监测方案-监测井建设-自动分析集成-大数据管理”为技术链，能在地下水监测点位实现自动监测点位、目标层位及水质监测指标的科学选取，监测井的标准化建设，全自动洗井、采样、配样、分析和质控，数据分析、评价、污染预测、预警和溯源的一体化地下水环境智慧测评。</w:t>
      </w:r>
    </w:p>
    <w:p w14:paraId="66D49D04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根据《地下水质量标准》(GB/T14848)对长期地下水监测井要求的指标有:pH、电导率、溶解氧、氨氮、硝酸盐、亚硝酸盐、挥发酚、氰化物、砷、铬(六价)、铅、氟、镉、铁、锰、高锰酸盐指数等。对于不同区域水质问题可增加特殊性组分测试，以反映本区域背景组分、地下水污染特征。</w:t>
      </w:r>
    </w:p>
    <w:p w14:paraId="4CEB1D84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引用标准：</w:t>
      </w:r>
    </w:p>
    <w:p w14:paraId="2D3A9A10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《地下水质量标准》(GBT14848-2017)</w:t>
      </w:r>
    </w:p>
    <w:p w14:paraId="499C22F8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《地下水环境监测技术规范》(HJ164-2020)</w:t>
      </w:r>
    </w:p>
    <w:p w14:paraId="594BDC8F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《地块土壤和地下水中挥发性有机物采样技术导则》(HJ1019-2019)《区域地下水质监测网设计规范》(DZ/T0308-2017)《地下水污染动态监测实时传输技术规范》《水和废水监测分析方法》(第四版)</w:t>
      </w:r>
    </w:p>
    <w:p w14:paraId="575BCFE7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公司围绕地下水环境“可感知、可分析、可监管”的主要目标，打造“三个一”场景，赋能地下水环境管理。</w:t>
      </w:r>
    </w:p>
    <w:p w14:paraId="402FB8FE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特点一：“一张网”实现数据收集，赋能数据感知</w:t>
      </w:r>
    </w:p>
    <w:p w14:paraId="135D5931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自动监测站集成了水质分析仪、水位计等，多种高精度监测仪器和智能分析系统，能够实现对地下水环境的高频次自动监测，相比人工监测方式，自动监测站不仅显著提升监测效率，还可针对特定要求加测指标。</w:t>
      </w:r>
    </w:p>
    <w:p w14:paraId="0FDBED82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特点二：“一平台”支撑融合分析，赋能科学决策</w:t>
      </w:r>
    </w:p>
    <w:p w14:paraId="703AA391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以自动监测数据为基础，充分利用物联网、云计算等信息技术，围绕地下水环境质量、饮用水水源地保护、重点排污单位监管，构建集数据收集、分析溯源、预警管理于一体的地下水环境管理信息平台，实现地下水环境信息的“一屏统览”。</w:t>
      </w:r>
    </w:p>
    <w:p w14:paraId="4A94328E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通过数据可视化和交互式设计，实现动态监测数据、超标预警、污染程度分析等一张图展示，支持水源地保护状况查询和重点排污企业管理，支持针对行政区划、监测因子等进行多尺度分析研判，支撑对地下水环境质量的精准评估和科学决策。</w:t>
      </w:r>
    </w:p>
    <w:p w14:paraId="7369F4A8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特点三：“一终端”打通地表地下，赋能协同监管</w:t>
      </w:r>
    </w:p>
    <w:p w14:paraId="5B7A57F3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在地表水地下水交互密切的区域，建设地下水自动监测站，搭配地表水自动监测系统，实现地表水地下水协同分析，针对生态补水对地下水环境影响，开展长序列研究性监测，谋划地表水生态提升，与地下水环境保护协同共进。</w:t>
      </w:r>
    </w:p>
    <w:p w14:paraId="00852EBD">
      <w:pPr>
        <w:pStyle w:val="3"/>
        <w:bidi w:val="0"/>
        <w:outlineLvl w:val="1"/>
        <w:rPr>
          <w:rFonts w:hint="default"/>
          <w:color w:val="auto"/>
          <w:highlight w:val="none"/>
          <w:lang w:val="en-US" w:eastAsia="zh-CN"/>
        </w:rPr>
      </w:pPr>
      <w:bookmarkStart w:id="5" w:name="_Toc16844"/>
      <w:bookmarkStart w:id="6" w:name="_Toc32537"/>
      <w:r>
        <w:rPr>
          <w:rFonts w:hint="eastAsia"/>
          <w:color w:val="auto"/>
          <w:highlight w:val="none"/>
          <w:lang w:val="en-US" w:eastAsia="zh-CN"/>
        </w:rPr>
        <w:t>地下水水质监测特点</w:t>
      </w:r>
      <w:bookmarkEnd w:id="5"/>
      <w:bookmarkEnd w:id="6"/>
    </w:p>
    <w:p w14:paraId="52FD3A5E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1.隐蔽性强：水体深埋地下，流动缓慢，污染扩散路径复杂，难以及时发现污染源头。</w:t>
      </w:r>
    </w:p>
    <w:p w14:paraId="6BAB3FCA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2.动态变化滞后：污染扩散周期长（可达数十年），水质变化反馈缓慢，需长期连续监测。</w:t>
      </w:r>
    </w:p>
    <w:p w14:paraId="23DC4992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3.参数复杂性：需涵盖物理（温度、浊度）、化学（重金属、硝酸盐），检测精度要求高。</w:t>
      </w:r>
    </w:p>
    <w:p w14:paraId="6ABE439E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4.技术挑战性</w:t>
      </w:r>
      <w:r>
        <w:rPr>
          <w:rFonts w:hint="eastAsia"/>
          <w:highlight w:val="none"/>
          <w:lang w:val="en-US" w:eastAsia="zh-CN"/>
        </w:rPr>
        <w:t xml:space="preserve"> </w:t>
      </w:r>
      <w:r>
        <w:rPr>
          <w:rFonts w:hint="default"/>
          <w:highlight w:val="none"/>
          <w:lang w:val="en-US" w:eastAsia="zh-CN"/>
        </w:rPr>
        <w:t>：监测井建设成本高，深层地下水监测设备需具备耐高压、抗腐蚀性能；修复技术（如原位生物降解）应用难度大。</w:t>
      </w:r>
    </w:p>
    <w:p w14:paraId="0098C7EB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5.管理特殊性：涉及水利、环保等多部门协同，需建立“天地井”一体化监测网络，强化污染源追溯与生态补偿机制。</w:t>
      </w:r>
    </w:p>
    <w:p w14:paraId="4AC42EA9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6.战略重要性：作为饮用水源和生态系</w:t>
      </w:r>
      <w:bookmarkStart w:id="28" w:name="_GoBack"/>
      <w:bookmarkEnd w:id="28"/>
      <w:r>
        <w:rPr>
          <w:rFonts w:hint="default"/>
          <w:highlight w:val="none"/>
          <w:lang w:val="en-US" w:eastAsia="zh-CN"/>
        </w:rPr>
        <w:t>统支撑，监测数据直接服务于超采区治理、污染防控及国家水安全保障。</w:t>
      </w:r>
    </w:p>
    <w:p w14:paraId="35D2CF63">
      <w:pPr>
        <w:pStyle w:val="2"/>
        <w:bidi w:val="0"/>
        <w:rPr>
          <w:rFonts w:hint="eastAsia"/>
          <w:color w:val="auto"/>
          <w:highlight w:val="none"/>
          <w:lang w:val="en-US" w:eastAsia="zh-CN"/>
        </w:rPr>
      </w:pPr>
      <w:bookmarkStart w:id="7" w:name="_Toc15099"/>
      <w:bookmarkStart w:id="8" w:name="_Toc29045"/>
      <w:r>
        <w:rPr>
          <w:rFonts w:hint="eastAsia"/>
          <w:color w:val="auto"/>
          <w:highlight w:val="none"/>
          <w:lang w:val="en-US" w:eastAsia="zh-CN"/>
        </w:rPr>
        <w:t>建设方案设计</w:t>
      </w:r>
      <w:bookmarkEnd w:id="7"/>
      <w:bookmarkEnd w:id="8"/>
    </w:p>
    <w:p w14:paraId="5FB79E96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9" w:name="_Toc21560"/>
      <w:r>
        <w:rPr>
          <w:rFonts w:hint="eastAsia"/>
          <w:color w:val="auto"/>
          <w:highlight w:val="none"/>
          <w:lang w:val="en-US" w:eastAsia="zh-CN"/>
        </w:rPr>
        <w:t>系统框架图</w:t>
      </w:r>
      <w:bookmarkEnd w:id="9"/>
    </w:p>
    <w:p w14:paraId="042B4D08">
      <w:pPr>
        <w:jc w:val="center"/>
        <w:rPr>
          <w:rFonts w:hint="eastAsia"/>
          <w:color w:val="auto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4697095" cy="2976245"/>
            <wp:effectExtent l="0" t="0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17F2C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10" w:name="_Toc20823"/>
      <w:r>
        <w:rPr>
          <w:rFonts w:hint="eastAsia"/>
          <w:color w:val="auto"/>
          <w:highlight w:val="none"/>
          <w:lang w:val="en-US" w:eastAsia="zh-CN"/>
        </w:rPr>
        <w:t>设备选型策略</w:t>
      </w:r>
      <w:bookmarkEnd w:id="10"/>
    </w:p>
    <w:tbl>
      <w:tblPr>
        <w:tblStyle w:val="19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2"/>
        <w:gridCol w:w="3033"/>
        <w:gridCol w:w="2874"/>
      </w:tblGrid>
      <w:tr w14:paraId="27DC090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533" w:type="pct"/>
            <w:vAlign w:val="center"/>
          </w:tcPr>
          <w:p w14:paraId="05075592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</w:rPr>
            </w:pPr>
            <w:bookmarkStart w:id="11" w:name="_Toc24440"/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</w:rPr>
              <w:t>核心监测参数</w:t>
            </w:r>
          </w:p>
        </w:tc>
        <w:tc>
          <w:tcPr>
            <w:tcW w:w="1780" w:type="pct"/>
            <w:vAlign w:val="center"/>
          </w:tcPr>
          <w:p w14:paraId="056A731F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</w:rPr>
              <w:t>设备名称</w:t>
            </w:r>
          </w:p>
        </w:tc>
        <w:tc>
          <w:tcPr>
            <w:tcW w:w="1686" w:type="pct"/>
            <w:vAlign w:val="center"/>
          </w:tcPr>
          <w:p w14:paraId="5FCF1EC3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</w:rPr>
              <w:t>设备原理</w:t>
            </w:r>
          </w:p>
        </w:tc>
      </w:tr>
      <w:tr w14:paraId="317A9A6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shd w:val="clear" w:color="auto" w:fill="auto"/>
            <w:vAlign w:val="center"/>
          </w:tcPr>
          <w:p w14:paraId="1AEFFA3D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在线监测设备</w:t>
            </w:r>
          </w:p>
        </w:tc>
      </w:tr>
      <w:tr w14:paraId="5ECEA9E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3" w:type="pct"/>
            <w:shd w:val="clear" w:color="auto" w:fill="auto"/>
            <w:vAlign w:val="center"/>
          </w:tcPr>
          <w:p w14:paraId="29F9EFB2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PH</w:t>
            </w:r>
          </w:p>
        </w:tc>
        <w:tc>
          <w:tcPr>
            <w:tcW w:w="1780" w:type="pct"/>
            <w:shd w:val="clear" w:color="auto" w:fill="auto"/>
            <w:vAlign w:val="center"/>
          </w:tcPr>
          <w:p w14:paraId="746D52E8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在线PH传感器</w:t>
            </w:r>
          </w:p>
        </w:tc>
        <w:tc>
          <w:tcPr>
            <w:tcW w:w="1686" w:type="pct"/>
            <w:shd w:val="clear" w:color="auto" w:fill="auto"/>
            <w:vAlign w:val="center"/>
          </w:tcPr>
          <w:p w14:paraId="211286EB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theme="minorBidi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玻璃电极法</w:t>
            </w:r>
          </w:p>
        </w:tc>
      </w:tr>
      <w:tr w14:paraId="58AA7A9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3" w:type="pct"/>
            <w:vAlign w:val="center"/>
          </w:tcPr>
          <w:p w14:paraId="52706891">
            <w:pPr>
              <w:spacing w:line="240" w:lineRule="auto"/>
              <w:ind w:firstLine="0" w:firstLineChars="0"/>
              <w:jc w:val="center"/>
              <w:rPr>
                <w:rFonts w:hint="eastAsia" w:eastAsia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电导率</w:t>
            </w:r>
          </w:p>
        </w:tc>
        <w:tc>
          <w:tcPr>
            <w:tcW w:w="1780" w:type="pct"/>
            <w:vAlign w:val="center"/>
          </w:tcPr>
          <w:p w14:paraId="3D6868CE">
            <w:pPr>
              <w:spacing w:line="240" w:lineRule="auto"/>
              <w:ind w:firstLine="0" w:firstLineChars="0"/>
              <w:jc w:val="center"/>
              <w:rPr>
                <w:rFonts w:hint="default" w:eastAsia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在线电导率传感器</w:t>
            </w:r>
          </w:p>
        </w:tc>
        <w:tc>
          <w:tcPr>
            <w:tcW w:w="1686" w:type="pct"/>
            <w:vAlign w:val="center"/>
          </w:tcPr>
          <w:p w14:paraId="6989706A">
            <w:pPr>
              <w:spacing w:line="240" w:lineRule="auto"/>
              <w:ind w:firstLine="0" w:firstLineChars="0"/>
              <w:jc w:val="center"/>
              <w:rPr>
                <w:rFonts w:hint="default" w:eastAsia="宋体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  <w:t>接触式电极</w:t>
            </w:r>
          </w:p>
        </w:tc>
      </w:tr>
      <w:tr w14:paraId="100E6A7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3" w:type="pct"/>
            <w:vAlign w:val="center"/>
          </w:tcPr>
          <w:p w14:paraId="1F2D8B6F">
            <w:pPr>
              <w:spacing w:line="240" w:lineRule="auto"/>
              <w:ind w:firstLine="0" w:firstLineChars="0"/>
              <w:jc w:val="center"/>
              <w:rPr>
                <w:rFonts w:hint="eastAsia" w:eastAsia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溶解氧</w:t>
            </w:r>
          </w:p>
        </w:tc>
        <w:tc>
          <w:tcPr>
            <w:tcW w:w="1780" w:type="pct"/>
            <w:vAlign w:val="center"/>
          </w:tcPr>
          <w:p w14:paraId="314AEAFB">
            <w:pPr>
              <w:spacing w:line="240" w:lineRule="auto"/>
              <w:ind w:firstLine="0" w:firstLineChars="0"/>
              <w:jc w:val="center"/>
              <w:rPr>
                <w:rFonts w:hint="default" w:eastAsia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在线溶解氧传感器</w:t>
            </w:r>
          </w:p>
        </w:tc>
        <w:tc>
          <w:tcPr>
            <w:tcW w:w="1686" w:type="pct"/>
            <w:vAlign w:val="center"/>
          </w:tcPr>
          <w:p w14:paraId="222567DE">
            <w:pPr>
              <w:spacing w:line="240" w:lineRule="auto"/>
              <w:ind w:firstLine="0" w:firstLineChars="0"/>
              <w:jc w:val="center"/>
              <w:rPr>
                <w:rFonts w:hint="eastAsia" w:eastAsia="宋体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  <w:t>荧光法</w:t>
            </w:r>
          </w:p>
        </w:tc>
      </w:tr>
      <w:tr w14:paraId="0327B54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3" w:type="pct"/>
            <w:vAlign w:val="center"/>
          </w:tcPr>
          <w:p w14:paraId="4CF318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before="0" w:beforeAutospacing="1" w:after="0" w:afterAutospacing="1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氨氮</w:t>
            </w:r>
          </w:p>
        </w:tc>
        <w:tc>
          <w:tcPr>
            <w:tcW w:w="1780" w:type="pct"/>
            <w:vAlign w:val="center"/>
          </w:tcPr>
          <w:p w14:paraId="182498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before="0" w:beforeAutospacing="1" w:after="0" w:afterAutospacing="1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在线氨氮传感器</w:t>
            </w:r>
            <w:r>
              <w:rPr>
                <w:rFonts w:hint="eastAsia" w:cs="宋体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/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在线全光谱多参数传感器</w:t>
            </w:r>
          </w:p>
        </w:tc>
        <w:tc>
          <w:tcPr>
            <w:tcW w:w="1686" w:type="pct"/>
            <w:vAlign w:val="center"/>
          </w:tcPr>
          <w:p w14:paraId="3D7F6C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before="0" w:beforeAutospacing="1" w:after="0" w:afterAutospacing="1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离子选择</w:t>
            </w:r>
            <w:r>
              <w:rPr>
                <w:rFonts w:hint="eastAsia" w:cs="宋体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法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/全光谱</w:t>
            </w:r>
          </w:p>
        </w:tc>
      </w:tr>
      <w:tr w14:paraId="4537B02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3" w:type="pct"/>
            <w:vAlign w:val="center"/>
          </w:tcPr>
          <w:p w14:paraId="4FA08F95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硝酸盐</w:t>
            </w:r>
          </w:p>
        </w:tc>
        <w:tc>
          <w:tcPr>
            <w:tcW w:w="1780" w:type="pct"/>
            <w:vAlign w:val="center"/>
          </w:tcPr>
          <w:p w14:paraId="649D0D28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在线硝氮传感器</w:t>
            </w:r>
            <w:r>
              <w:rPr>
                <w:rFonts w:hint="eastAsia" w:cs="宋体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/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在线全光谱多参数传感器</w:t>
            </w:r>
          </w:p>
        </w:tc>
        <w:tc>
          <w:tcPr>
            <w:tcW w:w="1686" w:type="pct"/>
            <w:vAlign w:val="center"/>
          </w:tcPr>
          <w:p w14:paraId="7D262C29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  <w:t>离子选择法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/全光谱</w:t>
            </w:r>
          </w:p>
        </w:tc>
      </w:tr>
      <w:tr w14:paraId="396EADB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3" w:type="pct"/>
            <w:vAlign w:val="center"/>
          </w:tcPr>
          <w:p w14:paraId="590FE2A6">
            <w:pPr>
              <w:spacing w:line="240" w:lineRule="auto"/>
              <w:ind w:firstLine="0" w:firstLineChars="0"/>
              <w:jc w:val="center"/>
              <w:rPr>
                <w:rFonts w:hint="default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水中油</w:t>
            </w:r>
          </w:p>
        </w:tc>
        <w:tc>
          <w:tcPr>
            <w:tcW w:w="1780" w:type="pct"/>
            <w:vAlign w:val="center"/>
          </w:tcPr>
          <w:p w14:paraId="1ABA0F82">
            <w:pPr>
              <w:spacing w:line="240" w:lineRule="auto"/>
              <w:ind w:firstLine="0" w:firstLineChars="0"/>
              <w:jc w:val="center"/>
              <w:rPr>
                <w:rFonts w:hint="default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在线水中油传感器</w:t>
            </w:r>
          </w:p>
        </w:tc>
        <w:tc>
          <w:tcPr>
            <w:tcW w:w="1686" w:type="pct"/>
            <w:vAlign w:val="center"/>
          </w:tcPr>
          <w:p w14:paraId="1A90AAD7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  <w:t>荧光法</w:t>
            </w:r>
          </w:p>
        </w:tc>
      </w:tr>
      <w:tr w14:paraId="66CC990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3" w:type="pct"/>
            <w:vAlign w:val="center"/>
          </w:tcPr>
          <w:p w14:paraId="59CDAD5C">
            <w:pPr>
              <w:spacing w:line="240" w:lineRule="auto"/>
              <w:ind w:firstLine="0" w:firstLineChars="0"/>
              <w:jc w:val="center"/>
              <w:rPr>
                <w:rFonts w:hint="default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氟离子</w:t>
            </w:r>
          </w:p>
        </w:tc>
        <w:tc>
          <w:tcPr>
            <w:tcW w:w="1780" w:type="pct"/>
            <w:vAlign w:val="center"/>
          </w:tcPr>
          <w:p w14:paraId="6AC9A02A">
            <w:pPr>
              <w:spacing w:line="240" w:lineRule="auto"/>
              <w:ind w:firstLine="0" w:firstLineChars="0"/>
              <w:jc w:val="center"/>
              <w:rPr>
                <w:rFonts w:hint="default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在线氟离子传感器</w:t>
            </w:r>
          </w:p>
        </w:tc>
        <w:tc>
          <w:tcPr>
            <w:tcW w:w="1686" w:type="pct"/>
            <w:vAlign w:val="center"/>
          </w:tcPr>
          <w:p w14:paraId="5D668D50">
            <w:pPr>
              <w:spacing w:line="240" w:lineRule="auto"/>
              <w:ind w:firstLine="0" w:firstLineChars="0"/>
              <w:jc w:val="center"/>
              <w:rPr>
                <w:rFonts w:hint="default" w:cstheme="minorBidi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离子选择</w:t>
            </w:r>
            <w:r>
              <w:rPr>
                <w:rFonts w:hint="eastAsia" w:cs="宋体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法</w:t>
            </w:r>
          </w:p>
        </w:tc>
      </w:tr>
      <w:tr w14:paraId="167F0C8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3" w:type="pct"/>
            <w:vAlign w:val="center"/>
          </w:tcPr>
          <w:p w14:paraId="63A50274">
            <w:pPr>
              <w:spacing w:line="240" w:lineRule="auto"/>
              <w:ind w:firstLine="0" w:firstLineChars="0"/>
              <w:jc w:val="center"/>
              <w:rPr>
                <w:rFonts w:hint="default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氯离子</w:t>
            </w:r>
          </w:p>
        </w:tc>
        <w:tc>
          <w:tcPr>
            <w:tcW w:w="1780" w:type="pct"/>
            <w:vAlign w:val="center"/>
          </w:tcPr>
          <w:p w14:paraId="360F2A89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在线氯离子传感器</w:t>
            </w:r>
          </w:p>
        </w:tc>
        <w:tc>
          <w:tcPr>
            <w:tcW w:w="1686" w:type="pct"/>
            <w:vAlign w:val="center"/>
          </w:tcPr>
          <w:p w14:paraId="63DA1B0C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离子选择</w:t>
            </w:r>
          </w:p>
        </w:tc>
      </w:tr>
      <w:tr w14:paraId="1926080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3" w:type="pct"/>
            <w:vAlign w:val="center"/>
          </w:tcPr>
          <w:p w14:paraId="58781A08">
            <w:pPr>
              <w:spacing w:line="240" w:lineRule="auto"/>
              <w:ind w:firstLine="0" w:firstLineChars="0"/>
              <w:jc w:val="center"/>
              <w:rPr>
                <w:rFonts w:hint="default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ORP</w:t>
            </w:r>
          </w:p>
        </w:tc>
        <w:tc>
          <w:tcPr>
            <w:tcW w:w="1780" w:type="pct"/>
            <w:vAlign w:val="center"/>
          </w:tcPr>
          <w:p w14:paraId="2F83E5FB">
            <w:pPr>
              <w:spacing w:line="240" w:lineRule="auto"/>
              <w:ind w:firstLine="0" w:firstLineChars="0"/>
              <w:jc w:val="center"/>
              <w:rPr>
                <w:rFonts w:hint="default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在线ORP传感器</w:t>
            </w:r>
          </w:p>
        </w:tc>
        <w:tc>
          <w:tcPr>
            <w:tcW w:w="1686" w:type="pct"/>
            <w:vAlign w:val="center"/>
          </w:tcPr>
          <w:p w14:paraId="1EE92E9D">
            <w:pPr>
              <w:spacing w:line="240" w:lineRule="auto"/>
              <w:ind w:firstLine="0" w:firstLineChars="0"/>
              <w:jc w:val="center"/>
              <w:rPr>
                <w:rFonts w:hint="default" w:cstheme="minorBidi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  <w:t>铂电极法</w:t>
            </w:r>
          </w:p>
        </w:tc>
      </w:tr>
      <w:tr w14:paraId="3CACD61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3" w:type="pct"/>
            <w:vAlign w:val="center"/>
          </w:tcPr>
          <w:p w14:paraId="79368DE0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亚硝酸盐</w:t>
            </w:r>
          </w:p>
        </w:tc>
        <w:tc>
          <w:tcPr>
            <w:tcW w:w="1780" w:type="pct"/>
            <w:vAlign w:val="center"/>
          </w:tcPr>
          <w:p w14:paraId="061B768E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在线亚硝酸盐传感器</w:t>
            </w:r>
            <w:r>
              <w:rPr>
                <w:rFonts w:hint="eastAsia" w:cs="宋体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/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在线全光谱多参数传感器</w:t>
            </w:r>
          </w:p>
        </w:tc>
        <w:tc>
          <w:tcPr>
            <w:tcW w:w="1686" w:type="pct"/>
            <w:vAlign w:val="center"/>
          </w:tcPr>
          <w:p w14:paraId="3F1DD1AD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  <w:t>离子选择法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/全光谱</w:t>
            </w:r>
          </w:p>
        </w:tc>
      </w:tr>
      <w:tr w14:paraId="7517B5F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3" w:type="pct"/>
            <w:vAlign w:val="center"/>
          </w:tcPr>
          <w:p w14:paraId="3DC4CDE5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液位</w:t>
            </w:r>
          </w:p>
        </w:tc>
        <w:tc>
          <w:tcPr>
            <w:tcW w:w="1780" w:type="pct"/>
            <w:vAlign w:val="center"/>
          </w:tcPr>
          <w:p w14:paraId="5A3ED942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静压式液位计</w:t>
            </w:r>
          </w:p>
        </w:tc>
        <w:tc>
          <w:tcPr>
            <w:tcW w:w="1686" w:type="pct"/>
            <w:vAlign w:val="center"/>
          </w:tcPr>
          <w:p w14:paraId="011B906E">
            <w:pPr>
              <w:spacing w:line="240" w:lineRule="auto"/>
              <w:ind w:firstLine="0" w:firstLineChars="0"/>
              <w:jc w:val="center"/>
              <w:rPr>
                <w:rFonts w:hint="default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压力式</w:t>
            </w:r>
          </w:p>
        </w:tc>
      </w:tr>
      <w:tr w14:paraId="072D56C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 w14:paraId="21531247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便携式监测设备</w:t>
            </w:r>
          </w:p>
        </w:tc>
      </w:tr>
      <w:tr w14:paraId="45AA7F3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3" w:type="pct"/>
            <w:vAlign w:val="center"/>
          </w:tcPr>
          <w:p w14:paraId="04D692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before="0" w:beforeAutospacing="1" w:after="0" w:afterAutospacing="1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氨氮</w:t>
            </w:r>
          </w:p>
        </w:tc>
        <w:tc>
          <w:tcPr>
            <w:tcW w:w="1780" w:type="pct"/>
            <w:vMerge w:val="restart"/>
            <w:vAlign w:val="center"/>
          </w:tcPr>
          <w:p w14:paraId="19AFCC35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便携式多参数分析仪</w:t>
            </w:r>
          </w:p>
        </w:tc>
        <w:tc>
          <w:tcPr>
            <w:tcW w:w="1686" w:type="pct"/>
            <w:vMerge w:val="restart"/>
            <w:vAlign w:val="center"/>
          </w:tcPr>
          <w:p w14:paraId="3798AA99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光电比色法</w:t>
            </w:r>
          </w:p>
        </w:tc>
      </w:tr>
      <w:tr w14:paraId="359E18D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3" w:type="pct"/>
            <w:vAlign w:val="center"/>
          </w:tcPr>
          <w:p w14:paraId="13C47049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硝酸盐</w:t>
            </w:r>
          </w:p>
        </w:tc>
        <w:tc>
          <w:tcPr>
            <w:tcW w:w="1780" w:type="pct"/>
            <w:vMerge w:val="continue"/>
            <w:vAlign w:val="center"/>
          </w:tcPr>
          <w:p w14:paraId="443DBB90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686" w:type="pct"/>
            <w:vMerge w:val="continue"/>
            <w:vAlign w:val="center"/>
          </w:tcPr>
          <w:p w14:paraId="3045327F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 w14:paraId="11BE347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3" w:type="pct"/>
            <w:vAlign w:val="center"/>
          </w:tcPr>
          <w:p w14:paraId="5EA0EDE9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亚硝酸盐</w:t>
            </w:r>
          </w:p>
        </w:tc>
        <w:tc>
          <w:tcPr>
            <w:tcW w:w="1780" w:type="pct"/>
            <w:vMerge w:val="continue"/>
            <w:vAlign w:val="center"/>
          </w:tcPr>
          <w:p w14:paraId="1E0C5C73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686" w:type="pct"/>
            <w:vMerge w:val="continue"/>
            <w:vAlign w:val="center"/>
          </w:tcPr>
          <w:p w14:paraId="0253CE39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 w14:paraId="6EAE3E9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3" w:type="pct"/>
            <w:vAlign w:val="center"/>
          </w:tcPr>
          <w:p w14:paraId="2DF75E1B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重金属（铜镍锌锰）</w:t>
            </w:r>
          </w:p>
        </w:tc>
        <w:tc>
          <w:tcPr>
            <w:tcW w:w="1780" w:type="pct"/>
            <w:vMerge w:val="continue"/>
            <w:vAlign w:val="center"/>
          </w:tcPr>
          <w:p w14:paraId="5FFD99DC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686" w:type="pct"/>
            <w:vMerge w:val="continue"/>
            <w:vAlign w:val="center"/>
          </w:tcPr>
          <w:p w14:paraId="32396D62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</w:tr>
    </w:tbl>
    <w:p w14:paraId="7FAC930D">
      <w:pPr>
        <w:pStyle w:val="2"/>
        <w:bidi w:val="0"/>
        <w:rPr>
          <w:rFonts w:hint="eastAsia"/>
          <w:color w:val="auto"/>
          <w:highlight w:val="none"/>
          <w:lang w:val="en-US" w:eastAsia="zh-CN"/>
        </w:rPr>
      </w:pPr>
      <w:bookmarkStart w:id="12" w:name="_Toc12532"/>
      <w:r>
        <w:rPr>
          <w:rFonts w:hint="eastAsia"/>
          <w:color w:val="auto"/>
          <w:highlight w:val="none"/>
          <w:lang w:val="en-US" w:eastAsia="zh-CN"/>
        </w:rPr>
        <w:t>产品介绍</w:t>
      </w:r>
      <w:bookmarkEnd w:id="11"/>
      <w:bookmarkEnd w:id="12"/>
    </w:p>
    <w:p w14:paraId="5630B0FF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13" w:name="_Toc30629"/>
      <w:r>
        <w:rPr>
          <w:rFonts w:hint="eastAsia"/>
          <w:color w:val="auto"/>
          <w:highlight w:val="none"/>
          <w:lang w:val="en-US" w:eastAsia="zh-CN"/>
        </w:rPr>
        <w:t>技术参数</w:t>
      </w:r>
      <w:bookmarkEnd w:id="13"/>
    </w:p>
    <w:tbl>
      <w:tblPr>
        <w:tblStyle w:val="19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0"/>
        <w:gridCol w:w="4185"/>
        <w:gridCol w:w="2754"/>
      </w:tblGrid>
      <w:tr w14:paraId="73F7111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927" w:type="pct"/>
            <w:vAlign w:val="center"/>
          </w:tcPr>
          <w:p w14:paraId="614C5F2A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设备名称</w:t>
            </w:r>
          </w:p>
        </w:tc>
        <w:tc>
          <w:tcPr>
            <w:tcW w:w="2456" w:type="pct"/>
            <w:vAlign w:val="center"/>
          </w:tcPr>
          <w:p w14:paraId="49EBB5BC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监测参数</w:t>
            </w:r>
          </w:p>
        </w:tc>
        <w:tc>
          <w:tcPr>
            <w:tcW w:w="1616" w:type="pct"/>
            <w:vAlign w:val="center"/>
          </w:tcPr>
          <w:p w14:paraId="28AC459B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图片示例</w:t>
            </w:r>
          </w:p>
        </w:tc>
      </w:tr>
      <w:tr w14:paraId="39A7B92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</w:trPr>
        <w:tc>
          <w:tcPr>
            <w:tcW w:w="927" w:type="pct"/>
            <w:shd w:val="clear" w:color="auto" w:fill="auto"/>
            <w:vAlign w:val="center"/>
          </w:tcPr>
          <w:p w14:paraId="00F46B84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线多参数自清洁数字式传感器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FD15DA4">
            <w:pPr>
              <w:spacing w:line="240" w:lineRule="auto"/>
              <w:ind w:firstLine="0" w:firstLineChars="0"/>
              <w:jc w:val="left"/>
              <w:rPr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PH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highlight w:val="none"/>
              </w:rPr>
              <w:t>电导率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highlight w:val="none"/>
              </w:rPr>
              <w:t>溶解氧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highlight w:val="none"/>
              </w:rPr>
              <w:t>氨氮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highlight w:val="none"/>
              </w:rPr>
              <w:t>硝酸盐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highlight w:val="none"/>
              </w:rPr>
              <w:t>亚硝酸盐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5843943A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highlight w:val="none"/>
                <w:lang w:val="en-US" w:eastAsia="zh-CN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499745" cy="1931035"/>
                  <wp:effectExtent l="0" t="0" r="3175" b="4445"/>
                  <wp:docPr id="7" name="图片 1" descr="/tmp/webword_1521778554/upload_post_object_v2_3268246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/tmp/webword_1521778554/upload_post_object_v2_32682461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39755" t="5331" r="35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7F058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</w:trPr>
        <w:tc>
          <w:tcPr>
            <w:tcW w:w="927" w:type="pct"/>
            <w:shd w:val="clear" w:color="auto" w:fill="auto"/>
            <w:vAlign w:val="center"/>
          </w:tcPr>
          <w:p w14:paraId="76793C8E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在线全光谱多参数传感器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612F1FE7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：全光谱吸收法</w:t>
            </w:r>
          </w:p>
          <w:p w14:paraId="0B06B7F8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</w:t>
            </w:r>
          </w:p>
          <w:p w14:paraId="0528073A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COD：0～200mg/Lequiv. KHP；色度：0～500Hazen；TOC：0～150mg/L；浊度：0～400NTU；BOD：0～150mg/L；UV254：0～1.5AU；TP：0～15mg/L；TN：0～100mg/L；NHN：0～80mg/L；硝酸盐：0～15mg/L；亚硝酸盐：0～10mg/L；CODMn：0～100mg/L</w:t>
            </w:r>
          </w:p>
          <w:p w14:paraId="5E53B6BE">
            <w:pPr>
              <w:spacing w:line="240" w:lineRule="auto"/>
              <w:ind w:firstLine="0" w:firstLineChars="0"/>
              <w:jc w:val="left"/>
              <w:rPr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：±5%F.S.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0D56A548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  <w:lang w:val="en-US" w:eastAsia="zh-CN"/>
              </w:rPr>
              <w:drawing>
                <wp:inline distT="0" distB="0" distL="114300" distR="114300">
                  <wp:extent cx="426085" cy="1622425"/>
                  <wp:effectExtent l="0" t="0" r="0" b="0"/>
                  <wp:docPr id="13" name="图片 7" descr="C:/Users/lina/Desktop/FUV-408-.pngFUV-408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C:/Users/lina/Desktop/FUV-408-.pngFUV-408-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9555" r="30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929A9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927" w:type="pct"/>
            <w:shd w:val="clear" w:color="auto" w:fill="auto"/>
            <w:vAlign w:val="center"/>
          </w:tcPr>
          <w:p w14:paraId="31308EFA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在线PH传感器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2A63C54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原理：玻璃电极法</w:t>
            </w:r>
          </w:p>
          <w:p w14:paraId="165B91FF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量程：0-14 pH</w:t>
            </w:r>
          </w:p>
          <w:p w14:paraId="6D15678B">
            <w:pPr>
              <w:spacing w:line="240" w:lineRule="auto"/>
              <w:ind w:firstLine="0" w:firstLineChars="0"/>
              <w:rPr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精度：±0.1 pH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C17BE14">
            <w:pPr>
              <w:spacing w:line="24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0" distR="0">
                  <wp:extent cx="225425" cy="1291590"/>
                  <wp:effectExtent l="0" t="229235" r="0" b="26162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92" t="5693" r="42466" b="8031"/>
                          <a:stretch>
                            <a:fillRect/>
                          </a:stretch>
                        </pic:blipFill>
                        <pic:spPr>
                          <a:xfrm rot="3720000">
                            <a:off x="0" y="0"/>
                            <a:ext cx="225425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E127B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927" w:type="pct"/>
            <w:shd w:val="clear" w:color="auto" w:fill="auto"/>
            <w:vAlign w:val="center"/>
          </w:tcPr>
          <w:p w14:paraId="0F6DFC94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在线电导率传感器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35027A78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：接触式电极法</w:t>
            </w:r>
          </w:p>
          <w:p w14:paraId="12C5BE0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：0～5000 μS/cm</w:t>
            </w:r>
          </w:p>
          <w:p w14:paraId="3ABB313E">
            <w:pPr>
              <w:spacing w:line="240" w:lineRule="auto"/>
              <w:ind w:firstLine="0" w:firstLineChars="0"/>
              <w:rPr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：读数的±1%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567A72AC">
            <w:pPr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/>
                <w:highlight w:val="none"/>
                <w:lang w:eastAsia="zh-CN"/>
              </w:rPr>
            </w:pPr>
            <w:r>
              <w:rPr>
                <w:rFonts w:hint="eastAsia"/>
                <w:sz w:val="28"/>
                <w:szCs w:val="28"/>
                <w:highlight w:val="none"/>
              </w:rPr>
              <w:drawing>
                <wp:inline distT="0" distB="0" distL="114300" distR="114300">
                  <wp:extent cx="213995" cy="1263650"/>
                  <wp:effectExtent l="0" t="214630" r="0" b="272415"/>
                  <wp:docPr id="41" name="图片 41" descr="/tmp/webword_3698093873/upload_post_object_v2_1818898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/tmp/webword_3698093873/upload_post_object_v2_18188983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35077" t="3022" r="44981" b="9115"/>
                          <a:stretch>
                            <a:fillRect/>
                          </a:stretch>
                        </pic:blipFill>
                        <pic:spPr>
                          <a:xfrm rot="3780000">
                            <a:off x="0" y="0"/>
                            <a:ext cx="213995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37E8F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7" w:type="pct"/>
            <w:vAlign w:val="center"/>
          </w:tcPr>
          <w:p w14:paraId="6EB11DEF">
            <w:pPr>
              <w:spacing w:line="240" w:lineRule="auto"/>
              <w:ind w:firstLine="0" w:firstLineChars="0"/>
              <w:jc w:val="center"/>
              <w:rPr>
                <w:rFonts w:hint="default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在线溶解氧传感器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399211FD">
            <w:pPr>
              <w:spacing w:line="240" w:lineRule="auto"/>
              <w:ind w:firstLine="0" w:firstLineChars="0"/>
              <w:jc w:val="both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原理：荧光法</w:t>
            </w:r>
          </w:p>
          <w:p w14:paraId="7E9EDBDA">
            <w:pPr>
              <w:spacing w:line="240" w:lineRule="auto"/>
              <w:ind w:firstLine="0" w:firstLineChars="0"/>
              <w:jc w:val="both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量程：0～20.00 mg/L</w:t>
            </w:r>
          </w:p>
          <w:p w14:paraId="6BD25515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精度：±2%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7ECA8FC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07645" cy="1303655"/>
                  <wp:effectExtent l="0" t="294005" r="0" b="306070"/>
                  <wp:docPr id="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5793" t="4709" r="38342" b="6442"/>
                          <a:stretch>
                            <a:fillRect/>
                          </a:stretch>
                        </pic:blipFill>
                        <pic:spPr>
                          <a:xfrm rot="3720000">
                            <a:off x="0" y="0"/>
                            <a:ext cx="20764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DCEDA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7" w:type="pct"/>
            <w:shd w:val="clear" w:color="auto" w:fill="auto"/>
            <w:vAlign w:val="center"/>
          </w:tcPr>
          <w:p w14:paraId="7CD49FDC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在线氨氮传感器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4E7A525C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原理：</w:t>
            </w:r>
            <w:r>
              <w:rPr>
                <w:rFonts w:hint="eastAsia"/>
                <w:sz w:val="21"/>
                <w:szCs w:val="21"/>
                <w:highlight w:val="none"/>
              </w:rPr>
              <w:t>双波长紫外吸收法</w:t>
            </w:r>
          </w:p>
          <w:p w14:paraId="4F4036C0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量程：</w:t>
            </w:r>
            <w:r>
              <w:rPr>
                <w:rFonts w:hint="eastAsia"/>
                <w:sz w:val="21"/>
                <w:szCs w:val="21"/>
                <w:highlight w:val="none"/>
              </w:rPr>
              <w:t>0～500.0 mg/L</w:t>
            </w:r>
          </w:p>
          <w:p w14:paraId="399C778C">
            <w:pPr>
              <w:spacing w:line="240" w:lineRule="auto"/>
              <w:ind w:firstLine="0" w:firstLineChars="0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sz w:val="21"/>
                <w:szCs w:val="21"/>
                <w:highlight w:val="none"/>
              </w:rPr>
              <w:t>精度：</w:t>
            </w:r>
            <w:r>
              <w:rPr>
                <w:rFonts w:hint="eastAsia"/>
                <w:sz w:val="21"/>
                <w:szCs w:val="21"/>
                <w:highlight w:val="none"/>
              </w:rPr>
              <w:t>读数的±5%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72031331">
            <w:pPr>
              <w:spacing w:line="24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69240" cy="1250950"/>
                  <wp:effectExtent l="0" t="286385" r="0" b="297815"/>
                  <wp:docPr id="4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3660000">
                            <a:off x="0" y="0"/>
                            <a:ext cx="26924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6B4F8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1580" w:type="dxa"/>
            <w:shd w:val="clear" w:color="auto" w:fill="auto"/>
            <w:vAlign w:val="center"/>
          </w:tcPr>
          <w:p w14:paraId="254201C2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</w:t>
            </w: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硝氮</w:t>
            </w:r>
            <w:r>
              <w:rPr>
                <w:rFonts w:hint="eastAsia"/>
                <w:sz w:val="21"/>
                <w:szCs w:val="21"/>
                <w:highlight w:val="none"/>
              </w:rPr>
              <w:t>传感器</w:t>
            </w:r>
          </w:p>
        </w:tc>
        <w:tc>
          <w:tcPr>
            <w:tcW w:w="4185" w:type="dxa"/>
            <w:shd w:val="clear" w:color="auto" w:fill="auto"/>
            <w:vAlign w:val="center"/>
          </w:tcPr>
          <w:p w14:paraId="52EACF63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：离子选择电极法</w:t>
            </w:r>
          </w:p>
          <w:p w14:paraId="10CECB3A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：0~100.0 mg/L</w:t>
            </w:r>
          </w:p>
          <w:p w14:paraId="1B837DCB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：读数的±5%或±2 mg/L以大者为准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31445F3">
            <w:pPr>
              <w:spacing w:line="240" w:lineRule="auto"/>
              <w:ind w:firstLine="0" w:firstLineChars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eastAsiaTheme="minorEastAsia"/>
                <w:highlight w:val="none"/>
                <w:lang w:eastAsia="zh-CN"/>
              </w:rPr>
              <w:drawing>
                <wp:inline distT="0" distB="0" distL="114300" distR="114300">
                  <wp:extent cx="219710" cy="1325245"/>
                  <wp:effectExtent l="0" t="316865" r="0" b="316865"/>
                  <wp:docPr id="23" name="图片 23" descr="NON-20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NON-206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37139" t="3385" r="43157" b="7701"/>
                          <a:stretch>
                            <a:fillRect/>
                          </a:stretch>
                        </pic:blipFill>
                        <pic:spPr>
                          <a:xfrm rot="3600000">
                            <a:off x="0" y="0"/>
                            <a:ext cx="219710" cy="13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7B550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1580" w:type="dxa"/>
            <w:shd w:val="clear" w:color="auto" w:fill="auto"/>
            <w:vAlign w:val="center"/>
          </w:tcPr>
          <w:p w14:paraId="5EAEF45A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在线亚硝酸盐传感器</w:t>
            </w:r>
          </w:p>
        </w:tc>
        <w:tc>
          <w:tcPr>
            <w:tcW w:w="4185" w:type="dxa"/>
            <w:shd w:val="clear" w:color="auto" w:fill="auto"/>
            <w:vAlign w:val="center"/>
          </w:tcPr>
          <w:p w14:paraId="7F8B115E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：离子选择电极法</w:t>
            </w:r>
          </w:p>
          <w:p w14:paraId="3EAD3838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：0~0.200 mg/L</w:t>
            </w:r>
          </w:p>
          <w:p w14:paraId="5CF32EFD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：±5%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35C2D3B8">
            <w:pPr>
              <w:spacing w:line="240" w:lineRule="auto"/>
              <w:ind w:firstLine="0" w:firstLineChars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eastAsiaTheme="minorEastAsia"/>
                <w:highlight w:val="none"/>
                <w:lang w:eastAsia="zh-CN"/>
              </w:rPr>
              <w:drawing>
                <wp:inline distT="0" distB="0" distL="114300" distR="114300">
                  <wp:extent cx="219710" cy="1325245"/>
                  <wp:effectExtent l="0" t="298450" r="0" b="304800"/>
                  <wp:docPr id="8" name="图片 8" descr="NON-20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NON-206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37139" t="3385" r="43157" b="7701"/>
                          <a:stretch>
                            <a:fillRect/>
                          </a:stretch>
                        </pic:blipFill>
                        <pic:spPr>
                          <a:xfrm rot="3720000">
                            <a:off x="0" y="0"/>
                            <a:ext cx="219710" cy="13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D9254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1580" w:type="dxa"/>
            <w:shd w:val="clear" w:color="auto" w:fill="auto"/>
            <w:vAlign w:val="center"/>
          </w:tcPr>
          <w:p w14:paraId="28184C0E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在线水中油传感器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2FFD6C7E">
            <w:pPr>
              <w:spacing w:line="240" w:lineRule="auto"/>
              <w:ind w:firstLine="0" w:firstLineChars="0"/>
              <w:rPr>
                <w:rFonts w:hint="eastAsia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</w:t>
            </w: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荧光法</w:t>
            </w:r>
          </w:p>
          <w:p w14:paraId="3B06D51C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：0～40.00 mg/L</w:t>
            </w:r>
          </w:p>
          <w:p w14:paraId="4DDFAC4F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：读数的±3%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553049D7">
            <w:pPr>
              <w:spacing w:line="240" w:lineRule="auto"/>
              <w:ind w:firstLine="0" w:firstLineChars="0"/>
              <w:jc w:val="center"/>
              <w:rPr>
                <w:rFonts w:hint="default" w:asciiTheme="minorEastAsia" w:hAnsiTheme="minorEastAsia" w:eastAsiaTheme="minorEastAsia"/>
                <w:b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drawing>
                <wp:inline distT="0" distB="0" distL="114300" distR="114300">
                  <wp:extent cx="1343660" cy="230505"/>
                  <wp:effectExtent l="0" t="252730" r="0" b="324485"/>
                  <wp:docPr id="12" name="图片 12" descr="E:/新建文件夹 (9)/mmexport1716363568179.pngmmexport1716363568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:/新建文件夹 (9)/mmexport1716363568179.pngmmexport171636356817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766" t="40682" r="8021" b="38909"/>
                          <a:stretch>
                            <a:fillRect/>
                          </a:stretch>
                        </pic:blipFill>
                        <pic:spPr>
                          <a:xfrm rot="19740000">
                            <a:off x="0" y="0"/>
                            <a:ext cx="13436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E164B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1580" w:type="dxa"/>
            <w:shd w:val="clear" w:color="auto" w:fill="auto"/>
            <w:vAlign w:val="center"/>
          </w:tcPr>
          <w:p w14:paraId="2BB5704E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在线氟离子传感器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2E71530C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：离子选择电极法</w:t>
            </w:r>
          </w:p>
          <w:p w14:paraId="17373FFD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：0～100.00mg/L</w:t>
            </w:r>
          </w:p>
          <w:p w14:paraId="1BF67EF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：读数的±10%或±1mg/L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73D8E46C">
            <w:pPr>
              <w:spacing w:line="240" w:lineRule="auto"/>
              <w:ind w:firstLine="0" w:firstLineChars="0"/>
              <w:jc w:val="center"/>
              <w:rPr>
                <w:rFonts w:hint="eastAsia"/>
                <w:highlight w:val="none"/>
              </w:rPr>
            </w:pPr>
            <w:r>
              <w:rPr>
                <w:rFonts w:hint="default" w:asciiTheme="minorEastAsia" w:hAnsiTheme="minorEastAsia" w:eastAsiaTheme="minorEastAsia"/>
                <w:b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235585" cy="1379855"/>
                  <wp:effectExtent l="0" t="227330" r="0" b="299085"/>
                  <wp:docPr id="10" name="图片 10" descr="FLU-20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LU-206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7253" t="6276" r="43383" b="11794"/>
                          <a:stretch>
                            <a:fillRect/>
                          </a:stretch>
                        </pic:blipFill>
                        <pic:spPr>
                          <a:xfrm rot="3660000">
                            <a:off x="0" y="0"/>
                            <a:ext cx="235585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0228A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1580" w:type="dxa"/>
            <w:shd w:val="clear" w:color="auto" w:fill="auto"/>
            <w:vAlign w:val="center"/>
          </w:tcPr>
          <w:p w14:paraId="5EA66223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在线氯离子传感器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6F133FF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：离子选择电极法</w:t>
            </w:r>
          </w:p>
          <w:p w14:paraId="3EFA5C2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：0~3500.0mg/L</w:t>
            </w:r>
          </w:p>
          <w:p w14:paraId="4144F807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：读数的±5%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39B41E67">
            <w:pPr>
              <w:spacing w:line="240" w:lineRule="auto"/>
              <w:ind w:firstLine="0" w:firstLineChars="0"/>
              <w:jc w:val="center"/>
              <w:rPr>
                <w:rFonts w:hint="eastAsia"/>
                <w:highlight w:val="none"/>
              </w:rPr>
            </w:pPr>
            <w:r>
              <w:rPr>
                <w:rFonts w:hint="default" w:asciiTheme="minorEastAsia" w:hAnsiTheme="minorEastAsia" w:eastAsiaTheme="minorEastAsia"/>
                <w:b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235585" cy="1379855"/>
                  <wp:effectExtent l="0" t="227330" r="0" b="299085"/>
                  <wp:docPr id="11" name="图片 11" descr="FLU-20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LU-206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7253" t="6276" r="43383" b="11794"/>
                          <a:stretch>
                            <a:fillRect/>
                          </a:stretch>
                        </pic:blipFill>
                        <pic:spPr>
                          <a:xfrm rot="3660000">
                            <a:off x="0" y="0"/>
                            <a:ext cx="235585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6641E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1580" w:type="dxa"/>
            <w:shd w:val="clear" w:color="auto" w:fill="auto"/>
            <w:vAlign w:val="center"/>
          </w:tcPr>
          <w:p w14:paraId="492DF3F2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在线ORP传感器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6D528E7F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：铂电极法</w:t>
            </w:r>
          </w:p>
          <w:p w14:paraId="69BB8888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：-2000～+2000mV</w:t>
            </w:r>
          </w:p>
          <w:p w14:paraId="06A31C33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：±6mV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63DE3B04">
            <w:pPr>
              <w:spacing w:line="240" w:lineRule="auto"/>
              <w:ind w:firstLine="0" w:firstLineChars="0"/>
              <w:jc w:val="center"/>
              <w:rPr>
                <w:rFonts w:hint="eastAsia"/>
                <w:highlight w:val="none"/>
              </w:rPr>
            </w:pPr>
            <w:r>
              <w:rPr>
                <w:highlight w:val="none"/>
              </w:rPr>
              <w:drawing>
                <wp:inline distT="0" distB="0" distL="0" distR="0">
                  <wp:extent cx="225425" cy="1291590"/>
                  <wp:effectExtent l="0" t="229235" r="0" b="26162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92" t="5693" r="42466" b="8031"/>
                          <a:stretch>
                            <a:fillRect/>
                          </a:stretch>
                        </pic:blipFill>
                        <pic:spPr>
                          <a:xfrm rot="3720000">
                            <a:off x="0" y="0"/>
                            <a:ext cx="225425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1B63A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927" w:type="pct"/>
            <w:shd w:val="clear" w:color="auto" w:fill="auto"/>
            <w:vAlign w:val="center"/>
          </w:tcPr>
          <w:p w14:paraId="097529F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静压式液位计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8CC9FF0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原理：</w:t>
            </w:r>
            <w:r>
              <w:rPr>
                <w:rFonts w:hint="eastAsia"/>
                <w:sz w:val="21"/>
                <w:szCs w:val="21"/>
                <w:highlight w:val="none"/>
              </w:rPr>
              <w:t>压力式</w:t>
            </w:r>
          </w:p>
          <w:p w14:paraId="48D212B9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精度：±0.1% F·S</w:t>
            </w:r>
          </w:p>
          <w:p w14:paraId="42FB98B1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量程：0～65m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52DB3209">
            <w:pPr>
              <w:spacing w:line="240" w:lineRule="auto"/>
              <w:ind w:firstLine="0" w:firstLineChars="0"/>
              <w:jc w:val="both"/>
              <w:rPr>
                <w:rFonts w:hint="eastAsia" w:ascii="Times New Roman" w:hAnsi="Times New Roman" w:eastAsia="宋体" w:cs="宋体"/>
                <w:b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</w:rPr>
              <w:drawing>
                <wp:inline distT="0" distB="0" distL="114300" distR="114300">
                  <wp:extent cx="335280" cy="1369695"/>
                  <wp:effectExtent l="0" t="113665" r="6350" b="282575"/>
                  <wp:docPr id="6" name="图片 6" descr="lQLPJxaeIUjXQtrNBrXNAvuwEcnNSGTb6ekDBCWB_4AnAA_763_1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lQLPJxaeIUjXQtrNBrXNAvuwEcnNSGTb6ekDBCWB_4AnAA_763_17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3387" r="21485"/>
                          <a:stretch>
                            <a:fillRect/>
                          </a:stretch>
                        </pic:blipFill>
                        <pic:spPr>
                          <a:xfrm rot="3660000">
                            <a:off x="0" y="0"/>
                            <a:ext cx="335280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5C983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927" w:type="pct"/>
            <w:shd w:val="clear" w:color="auto" w:fill="auto"/>
            <w:vAlign w:val="center"/>
          </w:tcPr>
          <w:p w14:paraId="0341A460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便携式多参数分析仪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F983BFA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检测参数：COD、 高锰酸盐指数、氨氮、总磷、总氮、硝酸盐氮、亚硝酸盐氮、磷酸盐、硫酸盐、亚硫酸盐、硫化物、余氯、重金属（铜镍锌锰）等</w:t>
            </w:r>
          </w:p>
          <w:p w14:paraId="359D2289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工作波长范围：420nm 520nm，580nm，610nm；波长半宽度：5±2（nm）；</w:t>
            </w:r>
          </w:p>
          <w:p w14:paraId="5B5F394D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仪器的检测范围：吸光度值0.000-3.000；</w:t>
            </w:r>
          </w:p>
          <w:p w14:paraId="117C5442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光源灯：冷光源；</w:t>
            </w:r>
          </w:p>
          <w:p w14:paraId="55F5407E">
            <w:pPr>
              <w:spacing w:line="240" w:lineRule="auto"/>
              <w:ind w:firstLine="0" w:firstLineChars="0"/>
              <w:jc w:val="left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分辨率：0.001；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54F4FFBA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 w:ascii="Times New Roman" w:hAnsi="Times New Roman" w:eastAsia="宋体"/>
                <w:highlight w:val="none"/>
                <w:lang w:eastAsia="zh-CN"/>
              </w:rPr>
            </w:pPr>
            <w:r>
              <w:rPr>
                <w:rFonts w:hint="eastAsia"/>
                <w:sz w:val="28"/>
                <w:szCs w:val="28"/>
                <w:highlight w:val="none"/>
                <w:lang w:bidi="ar"/>
              </w:rPr>
              <w:drawing>
                <wp:inline distT="0" distB="0" distL="114300" distR="114300">
                  <wp:extent cx="828675" cy="1152525"/>
                  <wp:effectExtent l="0" t="0" r="9525" b="5715"/>
                  <wp:docPr id="1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BFCFDE">
      <w:pPr>
        <w:rPr>
          <w:rFonts w:hint="eastAsia"/>
          <w:highlight w:val="none"/>
          <w:lang w:val="en-US" w:eastAsia="zh-CN"/>
        </w:rPr>
      </w:pPr>
    </w:p>
    <w:p w14:paraId="7056D658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14" w:name="_Toc4602"/>
      <w:bookmarkStart w:id="15" w:name="_Toc29608"/>
      <w:bookmarkStart w:id="16" w:name="_Toc21015"/>
      <w:r>
        <w:rPr>
          <w:rFonts w:hint="eastAsia"/>
          <w:color w:val="auto"/>
          <w:highlight w:val="none"/>
          <w:lang w:val="en-US" w:eastAsia="zh-CN"/>
        </w:rPr>
        <w:t>场景适配性</w:t>
      </w:r>
      <w:bookmarkEnd w:id="14"/>
      <w:bookmarkEnd w:id="15"/>
      <w:bookmarkEnd w:id="16"/>
    </w:p>
    <w:p w14:paraId="6D7A0C08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本地下水在线监测方案通过多维度技术设计，实现对复杂地下水环境的全面覆盖与精准监测。系统集成的在线监测设备具备多参数协同检测能力，可适应不同水文地质条件下的监测需求，包括浅层地下水、承压水及深层地下水等不同层位。设备采用耐高压、抗腐蚀材料，确保在复杂水质（如高盐、高重金属离子环境）中长期稳定运行。</w:t>
      </w:r>
    </w:p>
    <w:p w14:paraId="6F16FDF4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针对地下水污染隐蔽性强、动态变化滞后的特点，方案支持高频次自动监测与长周期连续数据采集，结合智能分析平台实现污染趋势预测与溯源。同时，通过“天地井”一体化监测网络，可协同地表水监测系统，满足地表水地下水交互区域的协同监管需求。</w:t>
      </w:r>
    </w:p>
    <w:p w14:paraId="6F822575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此外，系统兼顾标准化建设与灵活性扩展，既能满足《地下水质量标准》等规范要求的常规指标监测，也可根据区域特殊性（如工业污染特征、农业面源污染）定制化增配特征参数传感器，提升监测的针对性与科学性。便携式设备的配备进一步增强了应急监测与现场校验能力，确保数据准确性与可靠性。</w:t>
      </w:r>
    </w:p>
    <w:p w14:paraId="1CD57F6B">
      <w:pPr>
        <w:bidi w:val="0"/>
        <w:rPr>
          <w:rFonts w:hint="default"/>
          <w:color w:val="auto"/>
          <w:highlight w:val="none"/>
          <w:lang w:val="en-US" w:eastAsia="zh-CN"/>
        </w:rPr>
      </w:pPr>
    </w:p>
    <w:p w14:paraId="7A6B9756">
      <w:pPr>
        <w:pStyle w:val="2"/>
        <w:bidi w:val="0"/>
        <w:rPr>
          <w:rFonts w:hint="eastAsia"/>
          <w:color w:val="auto"/>
          <w:highlight w:val="none"/>
          <w:lang w:val="en-US" w:eastAsia="zh-CN"/>
        </w:rPr>
      </w:pPr>
      <w:bookmarkStart w:id="17" w:name="_Toc27010"/>
      <w:bookmarkStart w:id="18" w:name="_Toc19787"/>
      <w:r>
        <w:rPr>
          <w:rFonts w:hint="eastAsia"/>
          <w:color w:val="auto"/>
          <w:highlight w:val="none"/>
          <w:lang w:val="en-US" w:eastAsia="zh-CN"/>
        </w:rPr>
        <w:t>设备寿命及维护</w:t>
      </w:r>
      <w:bookmarkEnd w:id="17"/>
      <w:bookmarkEnd w:id="18"/>
    </w:p>
    <w:p w14:paraId="31BBC612">
      <w:pPr>
        <w:pStyle w:val="3"/>
        <w:rPr>
          <w:rFonts w:hint="eastAsia"/>
          <w:color w:val="auto"/>
          <w:highlight w:val="none"/>
        </w:rPr>
      </w:pPr>
      <w:bookmarkStart w:id="19" w:name="_Toc26955"/>
      <w:bookmarkStart w:id="20" w:name="_Toc23951"/>
      <w:r>
        <w:rPr>
          <w:rFonts w:hint="eastAsia"/>
          <w:color w:val="auto"/>
          <w:highlight w:val="none"/>
        </w:rPr>
        <w:t>设备寿命周期与维护周期表</w:t>
      </w:r>
      <w:bookmarkEnd w:id="19"/>
      <w:bookmarkEnd w:id="20"/>
    </w:p>
    <w:tbl>
      <w:tblPr>
        <w:tblStyle w:val="19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22"/>
        <w:gridCol w:w="2840"/>
        <w:gridCol w:w="2857"/>
      </w:tblGrid>
      <w:tr w14:paraId="4694759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6" w:type="pct"/>
            <w:vAlign w:val="center"/>
          </w:tcPr>
          <w:p w14:paraId="1E47D782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设备名称</w:t>
            </w:r>
          </w:p>
        </w:tc>
        <w:tc>
          <w:tcPr>
            <w:tcW w:w="1666" w:type="pct"/>
            <w:vAlign w:val="center"/>
          </w:tcPr>
          <w:p w14:paraId="4523546B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维护周期</w:t>
            </w:r>
          </w:p>
        </w:tc>
        <w:tc>
          <w:tcPr>
            <w:tcW w:w="1676" w:type="pct"/>
            <w:vAlign w:val="center"/>
          </w:tcPr>
          <w:p w14:paraId="776A5D91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使用寿命</w:t>
            </w:r>
          </w:p>
        </w:tc>
      </w:tr>
      <w:tr w14:paraId="677C97D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56" w:type="pct"/>
            <w:shd w:val="clear" w:color="auto" w:fill="auto"/>
            <w:vAlign w:val="center"/>
          </w:tcPr>
          <w:p w14:paraId="1586B24F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在线全光谱多参数传感器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7A212445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76" w:type="pct"/>
            <w:shd w:val="clear" w:color="auto" w:fill="auto"/>
            <w:vAlign w:val="center"/>
          </w:tcPr>
          <w:p w14:paraId="296D4D36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2-3年</w:t>
            </w:r>
          </w:p>
        </w:tc>
      </w:tr>
      <w:tr w14:paraId="1342D0E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56" w:type="pct"/>
            <w:shd w:val="clear" w:color="auto" w:fill="auto"/>
            <w:vAlign w:val="center"/>
          </w:tcPr>
          <w:p w14:paraId="486F191C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在线PH传感器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6923346A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76" w:type="pct"/>
            <w:shd w:val="clear" w:color="auto" w:fill="auto"/>
            <w:vAlign w:val="center"/>
          </w:tcPr>
          <w:p w14:paraId="069EC045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1年</w:t>
            </w:r>
          </w:p>
        </w:tc>
      </w:tr>
      <w:tr w14:paraId="4EFD59A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56" w:type="pct"/>
            <w:shd w:val="clear" w:color="auto" w:fill="auto"/>
            <w:vAlign w:val="center"/>
          </w:tcPr>
          <w:p w14:paraId="28EB9BB8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在线电导率传感器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FDBC4F6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76" w:type="pct"/>
            <w:shd w:val="clear" w:color="auto" w:fill="auto"/>
            <w:vAlign w:val="center"/>
          </w:tcPr>
          <w:p w14:paraId="3467043D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2-3年</w:t>
            </w:r>
          </w:p>
        </w:tc>
      </w:tr>
      <w:tr w14:paraId="0BA1198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56" w:type="pct"/>
            <w:shd w:val="clear" w:color="auto" w:fill="auto"/>
            <w:vAlign w:val="center"/>
          </w:tcPr>
          <w:p w14:paraId="05555D2E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在线溶解氧传感器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6E45BB8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76" w:type="pct"/>
            <w:shd w:val="clear" w:color="auto" w:fill="auto"/>
            <w:vAlign w:val="center"/>
          </w:tcPr>
          <w:p w14:paraId="719F698C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2-3年</w:t>
            </w:r>
          </w:p>
        </w:tc>
      </w:tr>
      <w:tr w14:paraId="1669329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56" w:type="pct"/>
            <w:vAlign w:val="center"/>
          </w:tcPr>
          <w:p w14:paraId="76EAFFBA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在线氨氮传感器</w:t>
            </w:r>
          </w:p>
        </w:tc>
        <w:tc>
          <w:tcPr>
            <w:tcW w:w="1666" w:type="pct"/>
            <w:vAlign w:val="center"/>
          </w:tcPr>
          <w:p w14:paraId="30617FB4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76" w:type="pct"/>
            <w:vAlign w:val="center"/>
          </w:tcPr>
          <w:p w14:paraId="276CDD0E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半年</w:t>
            </w:r>
          </w:p>
        </w:tc>
      </w:tr>
      <w:tr w14:paraId="202D77B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56" w:type="pct"/>
            <w:vAlign w:val="center"/>
          </w:tcPr>
          <w:p w14:paraId="30ADCDD1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highlight w:val="none"/>
              </w:rPr>
              <w:t>在线</w:t>
            </w:r>
            <w:r>
              <w:rPr>
                <w:rFonts w:hint="eastAsia" w:cs="宋体"/>
                <w:sz w:val="22"/>
                <w:szCs w:val="22"/>
                <w:highlight w:val="none"/>
                <w:lang w:val="en-US" w:eastAsia="zh-CN"/>
              </w:rPr>
              <w:t>硝氮</w:t>
            </w:r>
            <w:r>
              <w:rPr>
                <w:rFonts w:hint="eastAsia" w:ascii="宋体" w:hAnsi="宋体" w:eastAsia="宋体" w:cs="宋体"/>
                <w:sz w:val="22"/>
                <w:szCs w:val="22"/>
                <w:highlight w:val="none"/>
              </w:rPr>
              <w:t>传感器</w:t>
            </w:r>
          </w:p>
        </w:tc>
        <w:tc>
          <w:tcPr>
            <w:tcW w:w="1666" w:type="pct"/>
            <w:vAlign w:val="center"/>
          </w:tcPr>
          <w:p w14:paraId="56394362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76" w:type="pct"/>
            <w:vAlign w:val="center"/>
          </w:tcPr>
          <w:p w14:paraId="68195B43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半年</w:t>
            </w:r>
          </w:p>
        </w:tc>
      </w:tr>
      <w:tr w14:paraId="72F59D3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56" w:type="pct"/>
            <w:vAlign w:val="center"/>
          </w:tcPr>
          <w:p w14:paraId="6C12E1B3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highlight w:val="none"/>
              </w:rPr>
              <w:t>在线亚硝酸盐传感器</w:t>
            </w:r>
          </w:p>
        </w:tc>
        <w:tc>
          <w:tcPr>
            <w:tcW w:w="1666" w:type="pct"/>
            <w:vAlign w:val="center"/>
          </w:tcPr>
          <w:p w14:paraId="3A83B5CC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76" w:type="pct"/>
            <w:vAlign w:val="center"/>
          </w:tcPr>
          <w:p w14:paraId="4A3B7730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半年</w:t>
            </w:r>
          </w:p>
        </w:tc>
      </w:tr>
      <w:tr w14:paraId="369CA02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56" w:type="pct"/>
            <w:vAlign w:val="center"/>
          </w:tcPr>
          <w:p w14:paraId="3F2A2FC8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在线水中油传感器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3DD2549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76" w:type="pct"/>
            <w:shd w:val="clear" w:color="auto" w:fill="auto"/>
            <w:vAlign w:val="center"/>
          </w:tcPr>
          <w:p w14:paraId="05259060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2-3年</w:t>
            </w:r>
          </w:p>
        </w:tc>
      </w:tr>
      <w:tr w14:paraId="73D237B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56" w:type="pct"/>
            <w:vAlign w:val="center"/>
          </w:tcPr>
          <w:p w14:paraId="72F1D01B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在线氟离子传感器</w:t>
            </w:r>
          </w:p>
        </w:tc>
        <w:tc>
          <w:tcPr>
            <w:tcW w:w="2840" w:type="dxa"/>
            <w:vAlign w:val="center"/>
          </w:tcPr>
          <w:p w14:paraId="41C99F15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2857" w:type="dxa"/>
            <w:vAlign w:val="center"/>
          </w:tcPr>
          <w:p w14:paraId="6EE8CB75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半年</w:t>
            </w:r>
          </w:p>
        </w:tc>
      </w:tr>
      <w:tr w14:paraId="0406852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56" w:type="pct"/>
            <w:vAlign w:val="center"/>
          </w:tcPr>
          <w:p w14:paraId="62B1781F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在线氯离子传感器</w:t>
            </w:r>
          </w:p>
        </w:tc>
        <w:tc>
          <w:tcPr>
            <w:tcW w:w="2840" w:type="dxa"/>
            <w:vAlign w:val="center"/>
          </w:tcPr>
          <w:p w14:paraId="4D5A2017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2857" w:type="dxa"/>
            <w:vAlign w:val="center"/>
          </w:tcPr>
          <w:p w14:paraId="158E029A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半年</w:t>
            </w:r>
          </w:p>
        </w:tc>
      </w:tr>
      <w:tr w14:paraId="64D7E01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56" w:type="pct"/>
            <w:vAlign w:val="center"/>
          </w:tcPr>
          <w:p w14:paraId="2D459943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在线ORP传感器</w:t>
            </w:r>
          </w:p>
        </w:tc>
        <w:tc>
          <w:tcPr>
            <w:tcW w:w="2840" w:type="dxa"/>
            <w:vAlign w:val="center"/>
          </w:tcPr>
          <w:p w14:paraId="1F417022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2857" w:type="dxa"/>
            <w:vAlign w:val="center"/>
          </w:tcPr>
          <w:p w14:paraId="3B8CAEBB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1年</w:t>
            </w:r>
          </w:p>
        </w:tc>
      </w:tr>
      <w:tr w14:paraId="158AB53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56" w:type="pct"/>
            <w:shd w:val="clear" w:color="auto" w:fill="auto"/>
            <w:vAlign w:val="center"/>
          </w:tcPr>
          <w:p w14:paraId="41DAF606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静压式液位计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578CBD3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76" w:type="pct"/>
            <w:shd w:val="clear" w:color="auto" w:fill="auto"/>
            <w:vAlign w:val="center"/>
          </w:tcPr>
          <w:p w14:paraId="49CDF86E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3-5年</w:t>
            </w:r>
          </w:p>
        </w:tc>
      </w:tr>
      <w:tr w14:paraId="1F31232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56" w:type="pct"/>
            <w:shd w:val="clear" w:color="auto" w:fill="auto"/>
            <w:vAlign w:val="center"/>
          </w:tcPr>
          <w:p w14:paraId="7384862B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便携式多参数分析仪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2F78276C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76" w:type="pct"/>
            <w:shd w:val="clear" w:color="auto" w:fill="auto"/>
            <w:vAlign w:val="center"/>
          </w:tcPr>
          <w:p w14:paraId="1CE847A1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2-3年</w:t>
            </w:r>
          </w:p>
        </w:tc>
      </w:tr>
    </w:tbl>
    <w:p w14:paraId="074B70E1">
      <w:pPr>
        <w:ind w:firstLine="480"/>
        <w:rPr>
          <w:rFonts w:hint="eastAsia"/>
          <w:color w:val="auto"/>
          <w:highlight w:val="none"/>
        </w:rPr>
      </w:pPr>
    </w:p>
    <w:p w14:paraId="1BABF46B">
      <w:pPr>
        <w:pStyle w:val="3"/>
        <w:rPr>
          <w:rFonts w:hint="eastAsia"/>
          <w:color w:val="auto"/>
          <w:highlight w:val="none"/>
        </w:rPr>
      </w:pPr>
      <w:bookmarkStart w:id="21" w:name="_Toc684"/>
      <w:bookmarkStart w:id="22" w:name="_Toc2454"/>
      <w:r>
        <w:rPr>
          <w:rFonts w:hint="eastAsia"/>
          <w:color w:val="auto"/>
          <w:highlight w:val="none"/>
        </w:rPr>
        <w:t>传感器日常维护</w:t>
      </w:r>
      <w:bookmarkEnd w:id="21"/>
      <w:bookmarkEnd w:id="22"/>
    </w:p>
    <w:p w14:paraId="3E83AC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在线全光谱多参数传感器</w:t>
      </w:r>
    </w:p>
    <w:p w14:paraId="33F771BF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（1）防止传感器受到剧烈机械撞击，使用中避免对其直接施加机械应力（压力、划痕等）。</w:t>
      </w:r>
    </w:p>
    <w:p w14:paraId="2CE52806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（2）避免传感器被阳光暴晒，不要用手触摸传感器。</w:t>
      </w:r>
    </w:p>
    <w:p w14:paraId="383C90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（3）测量和校准时，确保传感器表面无气泡附着。</w:t>
      </w:r>
    </w:p>
    <w:p w14:paraId="76CC1F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在线PH传感器</w:t>
      </w:r>
    </w:p>
    <w:p w14:paraId="5D04BD84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（1）用无水酒精擦拭接线端子上的沾污，确保干燥后使用。</w:t>
      </w:r>
    </w:p>
    <w:p w14:paraId="68B481C0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（2）勿长期浸泡蒸馏水/蛋白质溶液，远离有机硅油脂。</w:t>
      </w:r>
    </w:p>
    <w:p w14:paraId="09952DD0">
      <w:pPr>
        <w:rPr>
          <w:rFonts w:hint="eastAsia"/>
          <w:highlight w:val="none"/>
        </w:rPr>
      </w:pPr>
      <w:r>
        <w:rPr>
          <w:rFonts w:hint="eastAsia"/>
          <w:b w:val="0"/>
          <w:bCs w:val="0"/>
          <w:highlight w:val="none"/>
          <w:lang w:eastAsia="zh-CN"/>
        </w:rPr>
        <w:t>（3）玻璃膜老化/沉积时，用稀盐酸清洗后水洗，必要时重新标定。</w:t>
      </w:r>
    </w:p>
    <w:p w14:paraId="666FA4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在线电导率传感器</w:t>
      </w:r>
    </w:p>
    <w:p w14:paraId="19016FE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（1）校准与测试时电极需完全浸入标准液（无气泡），距容器底/壁≥2cm。</w:t>
      </w:r>
    </w:p>
    <w:p w14:paraId="23A8AEA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（2）石墨电极使用前需用自来水浸泡1小时，闲置时保持湿润。</w:t>
      </w:r>
    </w:p>
    <w:p w14:paraId="3C7EECC7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 非防水端子避免浸水，线缆需松弛固定，防止摩擦或断裂。</w:t>
      </w:r>
    </w:p>
    <w:p w14:paraId="1E40C86C">
      <w:pPr>
        <w:rPr>
          <w:rFonts w:hint="eastAsia"/>
          <w:highlight w:val="none"/>
        </w:rPr>
      </w:pPr>
      <w:r>
        <w:rPr>
          <w:rFonts w:hint="eastAsia"/>
          <w:b w:val="0"/>
          <w:bCs w:val="0"/>
          <w:highlight w:val="none"/>
          <w:lang w:eastAsia="zh-CN"/>
        </w:rPr>
        <w:t>（4）避免与有机硅油脂接触。</w:t>
      </w:r>
    </w:p>
    <w:p w14:paraId="4A0531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在线溶解氧传感器</w:t>
      </w:r>
    </w:p>
    <w:p w14:paraId="4FE1CA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（1）传感器含有敏感部件，安装和测量时避免其受到剧烈机械撞击。</w:t>
      </w:r>
    </w:p>
    <w:p w14:paraId="35A5ED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highlight w:val="none"/>
        </w:rPr>
      </w:pPr>
      <w:r>
        <w:rPr>
          <w:rFonts w:hint="eastAsia"/>
          <w:b w:val="0"/>
          <w:bCs w:val="0"/>
          <w:highlight w:val="none"/>
        </w:rPr>
        <w:t>（2）防止荧光帽内表面被阳光暴晒，不要用手触摸荧光膜；未做防水处理的接线端子不能没入水中，避免线缆进水影响设备正常工作。</w:t>
      </w:r>
    </w:p>
    <w:p w14:paraId="7377DC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在线氨氮传感器</w:t>
      </w:r>
    </w:p>
    <w:p w14:paraId="507BC0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（1）膜头用去离子水清洗，勿碰伤，测量时距底部至少2cm，敏感膜内无气泡，可轻敲除泡。</w:t>
      </w:r>
    </w:p>
    <w:p w14:paraId="4A9268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（2）避免放腐蚀性、能腐蚀PVC溶液（如强酸），酮类及饱和有机物溶液（如四氢呋喃、蛋白质溶液），强电磁和核辐射环境；不建议在成分复杂液体（如海水、电镀废水）长期放置。</w:t>
      </w:r>
    </w:p>
    <w:p w14:paraId="3BB1A8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（3）检查通讯时，两电极须浸泡在溶液中。</w:t>
      </w:r>
    </w:p>
    <w:p w14:paraId="0777BD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（4）标液有使用次数限制，1mg/L的2次/瓶、10mg/L的4次/瓶、100mg/L的6次/瓶。</w:t>
      </w:r>
    </w:p>
    <w:p w14:paraId="73B043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（5）注意保护参比电极外漏白色布条，勿揪出损坏。</w:t>
      </w:r>
    </w:p>
    <w:p w14:paraId="75B45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highlight w:val="none"/>
        </w:rPr>
      </w:pPr>
      <w:r>
        <w:rPr>
          <w:rFonts w:hint="eastAsia"/>
          <w:b w:val="0"/>
          <w:bCs w:val="0"/>
          <w:highlight w:val="none"/>
          <w:lang w:eastAsia="zh-CN"/>
        </w:rPr>
        <w:t>（6）防止电极长期浸泡在蒸馏水或蛋白质溶液中，避免与有机硅油脂接触。</w:t>
      </w:r>
    </w:p>
    <w:p w14:paraId="0A6EC2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在线硝氮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亚硝酸盐传感器</w:t>
      </w:r>
    </w:p>
    <w:p w14:paraId="781455B6">
      <w:pPr>
        <w:pStyle w:val="42"/>
        <w:suppressAutoHyphens w:val="0"/>
        <w:ind w:firstLine="480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  <w:lang w:eastAsia="zh-CN"/>
        </w:rPr>
        <w:t>（</w:t>
      </w:r>
      <w:r>
        <w:rPr>
          <w:rFonts w:hint="eastAsia" w:ascii="宋体" w:hAnsi="宋体"/>
          <w:sz w:val="24"/>
          <w:highlight w:val="none"/>
          <w:lang w:val="en-US" w:eastAsia="zh-CN"/>
        </w:rPr>
        <w:t>1</w:t>
      </w:r>
      <w:r>
        <w:rPr>
          <w:rFonts w:hint="eastAsia" w:ascii="宋体" w:hAnsi="宋体"/>
          <w:sz w:val="24"/>
          <w:highlight w:val="none"/>
          <w:lang w:eastAsia="zh-CN"/>
        </w:rPr>
        <w:t>）</w:t>
      </w:r>
      <w:r>
        <w:rPr>
          <w:rFonts w:hint="eastAsia" w:ascii="宋体" w:hAnsi="宋体"/>
          <w:sz w:val="24"/>
          <w:highlight w:val="none"/>
        </w:rPr>
        <w:t>在蒸馏水（或去离子水）中清洗电极，吸干，不要擦干。把电极放到电极支架上。使用前，将电极前端浸在自来水中24小时。</w:t>
      </w:r>
    </w:p>
    <w:p w14:paraId="3F2911E4">
      <w:pPr>
        <w:pStyle w:val="42"/>
        <w:suppressAutoHyphens w:val="0"/>
        <w:ind w:firstLine="480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  <w:lang w:eastAsia="zh-CN"/>
        </w:rPr>
        <w:t>（</w:t>
      </w:r>
      <w:r>
        <w:rPr>
          <w:rFonts w:hint="eastAsia" w:ascii="宋体" w:hAnsi="宋体"/>
          <w:sz w:val="24"/>
          <w:highlight w:val="none"/>
          <w:lang w:val="en-US" w:eastAsia="zh-CN"/>
        </w:rPr>
        <w:t>2</w:t>
      </w:r>
      <w:r>
        <w:rPr>
          <w:rFonts w:hint="eastAsia" w:ascii="宋体" w:hAnsi="宋体"/>
          <w:sz w:val="24"/>
          <w:highlight w:val="none"/>
          <w:lang w:eastAsia="zh-CN"/>
        </w:rPr>
        <w:t>）</w:t>
      </w:r>
      <w:r>
        <w:rPr>
          <w:rFonts w:hint="eastAsia" w:ascii="宋体" w:hAnsi="宋体"/>
          <w:sz w:val="24"/>
          <w:highlight w:val="none"/>
        </w:rPr>
        <w:t>电极使用前要保持干燥，电极的感应元件应该套入保护瓶中。在测试前，电极应在自来水中浸泡24小时，通电浸泡效果更好。如果储存过夜或更长，则应用去离子水清洗电极头部，并擦干，然后放进原来的包装内。</w:t>
      </w:r>
    </w:p>
    <w:p w14:paraId="54B357BD">
      <w:pPr>
        <w:pStyle w:val="42"/>
        <w:suppressAutoHyphens w:val="0"/>
        <w:ind w:firstLine="480"/>
        <w:rPr>
          <w:rFonts w:hint="eastAsia"/>
          <w:highlight w:val="none"/>
        </w:rPr>
      </w:pPr>
      <w:r>
        <w:rPr>
          <w:rFonts w:hint="eastAsia" w:ascii="宋体" w:hAnsi="宋体"/>
          <w:sz w:val="24"/>
          <w:highlight w:val="none"/>
          <w:lang w:eastAsia="zh-CN"/>
        </w:rPr>
        <w:t>（</w:t>
      </w:r>
      <w:r>
        <w:rPr>
          <w:rFonts w:hint="eastAsia" w:ascii="宋体" w:hAnsi="宋体"/>
          <w:sz w:val="24"/>
          <w:highlight w:val="none"/>
          <w:lang w:val="en-US" w:eastAsia="zh-CN"/>
        </w:rPr>
        <w:t>3</w:t>
      </w:r>
      <w:r>
        <w:rPr>
          <w:rFonts w:hint="eastAsia" w:ascii="宋体" w:hAnsi="宋体"/>
          <w:sz w:val="24"/>
          <w:highlight w:val="none"/>
          <w:lang w:eastAsia="zh-CN"/>
        </w:rPr>
        <w:t>）</w:t>
      </w:r>
      <w:r>
        <w:rPr>
          <w:rFonts w:hint="eastAsia" w:ascii="宋体" w:hAnsi="宋体"/>
          <w:sz w:val="24"/>
          <w:highlight w:val="none"/>
        </w:rPr>
        <w:t>检查接线端子处是否干燥，如有沾污，请用无水酒精擦拭，吹干后使用。应避免长期浸泡在蒸馏水或蛋白质溶液中，并防止与有机硅油脂接触。使用时间较长的电极，它的PVC膜可能变成半透明或附有沉积物，此时可用蒸馏水（或去离子水）冲洗。电极使用时间较长，出现测量误差时，须进行校正。</w:t>
      </w:r>
    </w:p>
    <w:p w14:paraId="58230D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静压式液位计</w:t>
      </w:r>
    </w:p>
    <w:p w14:paraId="6FC0F177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（1）定期读取液位计测量值并与实际对比，偏差大时依校准指令校准。</w:t>
      </w:r>
    </w:p>
    <w:p w14:paraId="57FC45A9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（2）查看电缆有无破损、老化，检查钢丝是否紧固。</w:t>
      </w:r>
    </w:p>
    <w:p w14:paraId="5E01EA3B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（3）定期清理井口防护罩，防止导气管堵塞（绝压型除外）。</w:t>
      </w:r>
    </w:p>
    <w:p w14:paraId="7A0B09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便携式多参数分析仪</w:t>
      </w:r>
    </w:p>
    <w:p w14:paraId="326F4DC8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（1）仪器的维修需要专业人员操作，非专业人员请勿自行维修。维修或因其他原因拆卸外壳时必须切断电源。</w:t>
      </w:r>
    </w:p>
    <w:p w14:paraId="6EF5924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（2）使用设备前做好防护措施，避免接触质量控制物、标准样本、废弃液体等可能有生物危害、腐蚀或有毒的物质。使用本仪器配套或推荐的试剂，禁止在强辐射源旁使用设备。</w:t>
      </w:r>
    </w:p>
    <w:p w14:paraId="0C99345A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仪器正常工作环境温度为5℃～40℃，相对湿度30%～80%，需远离强电磁场干扰源，工作场地防尘、防振，空气中无酸、盐等腐蚀性气体。运输时包装完好，防止剧烈冲击、雨淋和暴晒，中转时合理堆放。贮存时放置在阴凉干燥、防湿通风处，不能露天堆放，避免雨雪浸入，贮存运输环境温度 -20℃～ +55℃，相对湿度≤93%，无腐蚀性气体且通风良好。</w:t>
      </w:r>
    </w:p>
    <w:p w14:paraId="792C8B07">
      <w:pPr>
        <w:rPr>
          <w:rFonts w:hint="eastAsia"/>
          <w:highlight w:val="none"/>
        </w:rPr>
      </w:pPr>
      <w:r>
        <w:rPr>
          <w:rFonts w:hint="eastAsia"/>
          <w:b w:val="0"/>
          <w:bCs w:val="0"/>
          <w:highlight w:val="none"/>
          <w:lang w:eastAsia="zh-CN"/>
        </w:rPr>
        <w:t>（4）请勿让任何溶剂、油脂类、腐蚀性物质接触仪器。仪器使用期限为6年，效期结束后按规定处理或联系回收，避免污染环境。</w:t>
      </w:r>
    </w:p>
    <w:p w14:paraId="448D0CBF">
      <w:pPr>
        <w:pStyle w:val="3"/>
        <w:rPr>
          <w:rFonts w:hint="eastAsia"/>
          <w:color w:val="auto"/>
          <w:highlight w:val="none"/>
        </w:rPr>
      </w:pPr>
      <w:bookmarkStart w:id="23" w:name="_Toc18758"/>
      <w:bookmarkStart w:id="24" w:name="_Toc20591"/>
      <w:r>
        <w:rPr>
          <w:rFonts w:hint="eastAsia"/>
          <w:color w:val="auto"/>
          <w:highlight w:val="none"/>
        </w:rPr>
        <w:t>传感器维护注意事项</w:t>
      </w:r>
      <w:bookmarkEnd w:id="23"/>
      <w:bookmarkEnd w:id="24"/>
    </w:p>
    <w:p w14:paraId="7C27B5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在线全光谱多参数传感器</w:t>
      </w:r>
    </w:p>
    <w:p w14:paraId="4949D2F9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（1）防止传感器受到剧烈机械撞击，使用中避免对其直接施加机械应力（压力、划痕等）。</w:t>
      </w:r>
    </w:p>
    <w:p w14:paraId="69073067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（2）避免传感器被阳光暴晒，不要用手触摸传感器。</w:t>
      </w:r>
    </w:p>
    <w:p w14:paraId="4AB5B4A3">
      <w:pPr>
        <w:rPr>
          <w:rFonts w:hint="eastAsia"/>
          <w:highlight w:val="none"/>
        </w:rPr>
      </w:pPr>
      <w:r>
        <w:rPr>
          <w:rFonts w:hint="eastAsia"/>
          <w:b w:val="0"/>
          <w:bCs w:val="0"/>
          <w:highlight w:val="none"/>
          <w:lang w:eastAsia="zh-CN"/>
        </w:rPr>
        <w:t>（3）测量和校准时，确保传感器表面无气泡附着。</w:t>
      </w:r>
    </w:p>
    <w:p w14:paraId="6E3A02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在线PH传感器</w:t>
      </w:r>
    </w:p>
    <w:p w14:paraId="0FBF3046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（1）用无水酒精擦拭接线端子上的沾污，确保干燥后使用。</w:t>
      </w:r>
    </w:p>
    <w:p w14:paraId="59E90859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（2）勿长期浸泡蒸馏水/蛋白质溶液，远离有机硅油脂。</w:t>
      </w:r>
    </w:p>
    <w:p w14:paraId="66A752A5">
      <w:pPr>
        <w:rPr>
          <w:rFonts w:hint="eastAsia"/>
          <w:highlight w:val="none"/>
        </w:rPr>
      </w:pPr>
      <w:r>
        <w:rPr>
          <w:rFonts w:hint="eastAsia"/>
          <w:b w:val="0"/>
          <w:bCs w:val="0"/>
          <w:highlight w:val="none"/>
          <w:lang w:eastAsia="zh-CN"/>
        </w:rPr>
        <w:t>（3）玻璃膜老化/沉积时，用稀盐酸清洗后水洗，必要时重新标定。</w:t>
      </w:r>
    </w:p>
    <w:p w14:paraId="60AA3D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在线电导率传感器</w:t>
      </w:r>
    </w:p>
    <w:p w14:paraId="557268A8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（1）校准与测试时电极需完全浸入标准液（无气泡），距容器底/壁≥2cm。</w:t>
      </w:r>
    </w:p>
    <w:p w14:paraId="03EDE05B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（2）石墨电极使用前需用自来水浸泡1小时，闲置时保持湿润。</w:t>
      </w:r>
    </w:p>
    <w:p w14:paraId="796FC94F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 非防水端子避免浸水，线缆需松弛固定，防止摩擦或断裂。</w:t>
      </w:r>
    </w:p>
    <w:p w14:paraId="04B9DD47">
      <w:pPr>
        <w:rPr>
          <w:rFonts w:hint="eastAsia"/>
          <w:highlight w:val="none"/>
        </w:rPr>
      </w:pPr>
      <w:r>
        <w:rPr>
          <w:rFonts w:hint="eastAsia"/>
          <w:b w:val="0"/>
          <w:bCs w:val="0"/>
          <w:highlight w:val="none"/>
          <w:lang w:eastAsia="zh-CN"/>
        </w:rPr>
        <w:t>（4）避免与有机硅油脂接触。</w:t>
      </w:r>
    </w:p>
    <w:p w14:paraId="78112F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在线溶解氧传感器</w:t>
      </w:r>
    </w:p>
    <w:p w14:paraId="53C906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（1）传感器含有敏感部件，安装和测量时避免其受到剧烈机械撞击。</w:t>
      </w:r>
    </w:p>
    <w:p w14:paraId="1D84A885">
      <w:pPr>
        <w:rPr>
          <w:rFonts w:hint="eastAsia"/>
          <w:highlight w:val="none"/>
        </w:rPr>
      </w:pPr>
      <w:r>
        <w:rPr>
          <w:rFonts w:hint="eastAsia"/>
          <w:b w:val="0"/>
          <w:bCs w:val="0"/>
          <w:highlight w:val="none"/>
        </w:rPr>
        <w:t>（2）防止荧光帽内表面被阳光暴晒，不要用手触摸荧光膜；未做防水处理的接线端子不能没入水中，避免线缆进水影响设备正常工作。</w:t>
      </w:r>
    </w:p>
    <w:p w14:paraId="69CA5D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在线氨氮传感器</w:t>
      </w:r>
    </w:p>
    <w:p w14:paraId="75CB24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（1）膜头用去离子水清洗，勿碰伤，测量时距底部至少2cm，敏感膜内无气泡，可轻敲除泡。</w:t>
      </w:r>
    </w:p>
    <w:p w14:paraId="21DC99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（2）避免放腐蚀性、能腐蚀PVC溶液（如强酸），酮类及饱和有机物溶液（如四氢呋喃、蛋白质溶液），强电磁和核辐射环境；不建议在成分复杂液体（如海水、电镀废水）长期放置。</w:t>
      </w:r>
    </w:p>
    <w:p w14:paraId="27BE29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（3）检查通讯时，两电极须浸泡在溶液中。</w:t>
      </w:r>
    </w:p>
    <w:p w14:paraId="6322ED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（4）标液有使用次数限制，1mg/L的2次/瓶、10mg/L的4次/瓶、100mg/L的6次/瓶。</w:t>
      </w:r>
    </w:p>
    <w:p w14:paraId="2F4D00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（5）注意保护参比电极外漏白色布条，勿揪出损坏。</w:t>
      </w:r>
    </w:p>
    <w:p w14:paraId="7E92FA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highlight w:val="none"/>
        </w:rPr>
      </w:pPr>
      <w:r>
        <w:rPr>
          <w:rFonts w:hint="eastAsia"/>
          <w:b w:val="0"/>
          <w:bCs w:val="0"/>
          <w:highlight w:val="none"/>
          <w:lang w:eastAsia="zh-CN"/>
        </w:rPr>
        <w:t>（6）防止电极长期浸泡在蒸馏水或蛋白质溶液中，避免与有机硅油脂接触。</w:t>
      </w:r>
    </w:p>
    <w:p w14:paraId="600003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在线硝氮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亚硝酸盐传感器</w:t>
      </w:r>
    </w:p>
    <w:p w14:paraId="53E3428D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（1）初次使用请在自来水中浸泡24小时,使电极敏感膜充分活化。</w:t>
      </w:r>
    </w:p>
    <w:p w14:paraId="507CEB9F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（2）电极测量膜头清洗使用去离子水，不要用硬物触碰测量膜头，避免划伤；测量时膜头距离底部保持至少2cm；使用时敏感膜内不能有气泡，可用手轻敲传感器外壳，消除气泡。</w:t>
      </w:r>
    </w:p>
    <w:p w14:paraId="636808C7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（3）校准时请将传感器放入校准液中轻轻晃动，静置，待读数稳定（大约5分钟）方可进行校准。</w:t>
      </w:r>
    </w:p>
    <w:p w14:paraId="2925A837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（4）电极短期不用请放入自来水中浸泡保存。</w:t>
      </w:r>
    </w:p>
    <w:p w14:paraId="24B30B5E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（5）电极几天不用请使用内置保护液的外壳保存，下次使用前进行24小时在自来水中浸泡活化；勿长期浸泡在纯水中。</w:t>
      </w:r>
    </w:p>
    <w:p w14:paraId="03C7D045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6）避免将传感器放置于有腐蚀性的液体中或能腐蚀PVC的溶液中。例如强酸。不要将传感器放置于酮类有机物，饱和有机物的溶液中。例如四氢呋喃、蛋白质溶液。不要将传感器放置于有强烈的电磁辐射，核辐射的环境中。</w:t>
      </w:r>
    </w:p>
    <w:p w14:paraId="238DA69C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（7）除非电极前端的pvc膜变成半透明或附有沉积物，否则不要用蒸馏水浸泡电极膜头。</w:t>
      </w:r>
    </w:p>
    <w:p w14:paraId="0C3492F8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（8）一些成分比较复杂的液体中也不建议长期放置。例如海水、电镀废水等。</w:t>
      </w:r>
    </w:p>
    <w:p w14:paraId="349C05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静压式液位计</w:t>
      </w:r>
    </w:p>
    <w:p w14:paraId="5BE3BF40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（1）正确连接电源极性，保证供电电压稳定。</w:t>
      </w:r>
    </w:p>
    <w:p w14:paraId="4B2CD25E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（2）正确设置通信参数，用合适转换器并确保连接无误。</w:t>
      </w:r>
    </w:p>
    <w:p w14:paraId="118F2B01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（3）校准需技术人员指导，谨慎重置传感器。</w:t>
      </w:r>
    </w:p>
    <w:p w14:paraId="61FCD03A">
      <w:pPr>
        <w:rPr>
          <w:rFonts w:hint="eastAsia"/>
          <w:highlight w:val="none"/>
        </w:rPr>
      </w:pPr>
      <w:r>
        <w:rPr>
          <w:rFonts w:hint="eastAsia"/>
          <w:highlight w:val="none"/>
        </w:rPr>
        <w:t>（4）避免设备在恶劣环境长时间暴露，清洁时用软布，勿用腐蚀性清洁剂。</w:t>
      </w:r>
    </w:p>
    <w:p w14:paraId="074577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便携式多参数分析仪</w:t>
      </w:r>
    </w:p>
    <w:p w14:paraId="77DD4614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（1）仪器的维修需要专业人员操作，非专业人员请勿自行维修。维修或因其他原因拆卸外壳时必须切断电源。</w:t>
      </w:r>
    </w:p>
    <w:p w14:paraId="74666792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（2）使用设备前做好防护措施，避免接触质量控制物、标准样本、废弃液体等可能有生物危害、腐蚀或有毒的物质。使用本仪器配套或推荐的试剂，禁止在强辐射源旁使用设备。</w:t>
      </w:r>
    </w:p>
    <w:p w14:paraId="202B9C4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仪器正常工作环境温度为5℃～40℃，相对湿度30%～80%，需远离强电磁场干扰源，工作场地防尘、防振，空气中无酸、盐等腐蚀性气体。运输时包装完好，防止剧烈冲击、雨淋和暴晒，中转时合理堆放。贮存时放置在阴凉干燥、防湿通风处，不能露天堆放，避免雨雪浸入，贮存运输环境温度 -20℃～ +55℃，相对湿度≤93%，无腐蚀性气体且通风良好。</w:t>
      </w:r>
    </w:p>
    <w:p w14:paraId="768C9BB9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（4）请勿让任何溶剂、油脂类、腐蚀性物质接触仪器。仪器使用期限为6年，效期结束后按规定处理或联系回收，避免污染环境。</w:t>
      </w:r>
    </w:p>
    <w:p w14:paraId="7D1E7248">
      <w:pPr>
        <w:rPr>
          <w:rFonts w:hint="eastAsia"/>
          <w:color w:val="auto"/>
          <w:highlight w:val="none"/>
          <w:lang w:val="en-US" w:eastAsia="zh-CN"/>
        </w:rPr>
      </w:pPr>
    </w:p>
    <w:p w14:paraId="56B06A6C">
      <w:pPr>
        <w:pStyle w:val="2"/>
        <w:bidi w:val="0"/>
        <w:rPr>
          <w:rFonts w:hint="default"/>
          <w:color w:val="auto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bookmarkStart w:id="25" w:name="_Toc27798"/>
      <w:bookmarkStart w:id="26" w:name="_Toc18219"/>
    </w:p>
    <w:p w14:paraId="536B31F0">
      <w:pPr>
        <w:pStyle w:val="2"/>
        <w:bidi w:val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案例展示</w:t>
      </w:r>
      <w:bookmarkEnd w:id="25"/>
      <w:bookmarkEnd w:id="26"/>
    </w:p>
    <w:p w14:paraId="3D11A92C">
      <w:pPr>
        <w:pStyle w:val="3"/>
        <w:bidi w:val="0"/>
        <w:rPr>
          <w:rFonts w:hint="default"/>
          <w:color w:val="auto"/>
          <w:highlight w:val="none"/>
          <w:lang w:val="en-US" w:eastAsia="zh-CN"/>
        </w:rPr>
      </w:pPr>
      <w:bookmarkStart w:id="27" w:name="_Toc4738"/>
      <w:r>
        <w:rPr>
          <w:rFonts w:hint="eastAsia"/>
          <w:color w:val="auto"/>
          <w:highlight w:val="none"/>
          <w:lang w:val="en-US" w:eastAsia="zh-CN"/>
        </w:rPr>
        <w:t>案例1：河北唐山某地下水监测</w:t>
      </w:r>
      <w:bookmarkEnd w:id="27"/>
    </w:p>
    <w:p w14:paraId="7A8506BE">
      <w:pPr>
        <w:rPr>
          <w:rFonts w:hint="default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监测参数：PH、溶解氧、电导率、浊度、氨氮</w:t>
      </w:r>
    </w:p>
    <w:p w14:paraId="71E6BE4E">
      <w:pPr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drawing>
          <wp:inline distT="0" distB="0" distL="114300" distR="114300">
            <wp:extent cx="3248660" cy="4331970"/>
            <wp:effectExtent l="0" t="0" r="2540" b="11430"/>
            <wp:docPr id="5" name="图片 5" descr="IMG_2310.H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310.HEIC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575DEA">
    <w:pPr>
      <w:pStyle w:val="12"/>
      <w:rPr>
        <w:rFonts w:ascii="Times New Roman" w:hAnsi="Times New Roma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3000375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0037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93E04B">
                          <w:pPr>
                            <w:pStyle w:val="12"/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/>
                            </w:rPr>
                            <w:t xml:space="preserve">        </w:t>
                          </w:r>
                          <w:r>
                            <w:rPr>
                              <w:rFonts w:hint="eastAsia" w:ascii="Times New Roman" w:hAnsi="Times New Roman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Times New Roman" w:hAnsi="Times New Roman"/>
                            </w:rPr>
                            <w:t xml:space="preserve">     </w:t>
                          </w:r>
                          <w:r>
                            <w:rPr>
                              <w:rFonts w:ascii="Times New Roman" w:hAnsi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</w:rPr>
                            <w:t xml:space="preserve"> /</w:t>
                          </w:r>
                          <w:r>
                            <w:rPr>
                              <w:rFonts w:hint="eastAsia" w:ascii="Times New Roman" w:hAnsi="Times New Roman"/>
                              <w:lang w:val="en-US" w:eastAsia="zh-CN"/>
                            </w:rPr>
                            <w:t>14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236.25pt;mso-position-horizontal:left;mso-position-horizontal-relative:margin;z-index:251659264;mso-width-relative:page;mso-height-relative:page;" filled="f" stroked="f" coordsize="21600,21600" o:gfxdata="UEsDBAoAAAAAAIdO4kAAAAAAAAAAAAAAAAAEAAAAZHJzL1BLAwQUAAAACACHTuJAU6UJr9UAAAAF&#10;AQAADwAAAGRycy9kb3ducmV2LnhtbE2PMU/DMBCFdyT+g3VIbK3dCEoU4nRA0AEmUoQYr7ETB+Jz&#10;FLtp4ddzsMBy0tO7e++7cnPyg5jtFPtAGlZLBcJSE0xPnYaX3cMiBxETksEhkNXwaSNsqvOzEgsT&#10;jvRs5zp1gkMoFqjBpTQWUsbGWY9xGUZL7LVh8phYTp00Ex453A8yU2otPfbEDQ5He+ds81EfPGO8&#10;Pim//Wrdm3/ENtZuN2/v37W+vFipWxDJntLfMvzg8w1UzLQPBzJRDBr4kfQ72bu6ya5B7DVkea5A&#10;VqX8T199A1BLAwQUAAAACACHTuJAzLTChjkCAABjBAAADgAAAGRycy9lMm9Eb2MueG1srVTNjtMw&#10;EL4j8Q6W7zRpq12qqumqbFWEVLErLYiz6ziNJf8xdpuUB4A34MSFO8/V52DsJF20cNgDF3cy/983&#10;M13ctFqRowAvrSnoeJRTIgy3pTT7gn78sHk1o8QHZkqmrBEFPQlPb5YvXywaNxcTW1tVCiCYxPh5&#10;4wpah+DmWeZ5LTTzI+uEQWNlQbOAn7DPSmANZtcqm+T5ddZYKB1YLrxH7boz0j4jPCehrSrJxdry&#10;gxYmdFlBKBYQkq+l83SZuq0qwcNdVXkRiCooIg3pxSIo7+KbLRdsvgfmasn7FthzWniCSTNpsOgl&#10;1ZoFRg4g/0qlJQfrbRVG3OqsA5IYQRTj/Ak3DzVzImFBqr27kO7/X1r+/ngPRJYFnVBimMaBn79/&#10;O//4df75lUwiPY3zc/R6cOgX2je2xaUZ9B6VEXVbgY6/iIegHck9XcgVbSAcldM8z6evryjhaBvP&#10;JrNZnujPHsMd+PBWWE2iUFDA6SVS2XHrA7aCroNLrGbsRiqVJqgMaQp6Pb3KU8DFghHKYGAE0TUb&#10;pdDu2h7ZzpYnBAa22wzv+EZi8S3z4Z4BrgJiwWMJd/hUymIR20uU1Ba+/Esf/XFCaKWkwdUqqP98&#10;YCAoUe8Mzi7u4SDAIOwGwRz0rcVtHeMZOp5EDICgBrECqz/hDa1iFTQxw7FWQcMg3oZuwfEGuVit&#10;ktPBgdzXXQBunmNhax4cj2Uild6tDgHpTCxHijpeeuZw9xL5/Z3E5f7zO3k9/jcs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TpQmv1QAAAAUBAAAPAAAAAAAAAAEAIAAAACIAAABkcnMvZG93bnJl&#10;di54bWxQSwECFAAUAAAACACHTuJAzLTChjkCAABjBAAADgAAAAAAAAABACAAAAAkAQAAZHJzL2Uy&#10;b0RvYy54bWxQSwUGAAAAAAYABgBZAQAAz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793E04B">
                    <w:pPr>
                      <w:pStyle w:val="12"/>
                      <w:rPr>
                        <w:rFonts w:hint="default" w:eastAsia="宋体"/>
                        <w:lang w:val="en-US" w:eastAsia="zh-CN"/>
                      </w:rPr>
                    </w:pPr>
                    <w:r>
                      <w:rPr>
                        <w:rFonts w:hint="eastAsia" w:ascii="Times New Roman" w:hAnsi="Times New Roman"/>
                      </w:rPr>
                      <w:t xml:space="preserve">        </w:t>
                    </w:r>
                    <w:r>
                      <w:rPr>
                        <w:rFonts w:hint="eastAsia" w:ascii="Times New Roman" w:hAnsi="Times New Roman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Times New Roman" w:hAnsi="Times New Roman"/>
                      </w:rPr>
                      <w:t xml:space="preserve">     </w:t>
                    </w:r>
                    <w:r>
                      <w:rPr>
                        <w:rFonts w:ascii="Times New Roman" w:hAnsi="Times New Roman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</w:rPr>
                      <w:t>2</w:t>
                    </w:r>
                    <w:r>
                      <w:rPr>
                        <w:rFonts w:ascii="Times New Roman" w:hAnsi="Times New Roman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</w:rPr>
                      <w:t xml:space="preserve"> /</w:t>
                    </w:r>
                    <w:r>
                      <w:rPr>
                        <w:rFonts w:hint="eastAsia" w:ascii="Times New Roman" w:hAnsi="Times New Roman"/>
                        <w:lang w:val="en-US" w:eastAsia="zh-CN"/>
                      </w:rPr>
                      <w:t>14</w:t>
                    </w:r>
                  </w:p>
                </w:txbxContent>
              </v:textbox>
            </v:shape>
          </w:pict>
        </mc:Fallback>
      </mc:AlternateContent>
    </w:r>
  </w:p>
  <w:p w14:paraId="7BEF5B3B">
    <w:pPr>
      <w:pStyle w:val="12"/>
      <w:rPr>
        <w:rFonts w:hint="eastAsia"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30D0AF">
    <w:pPr>
      <w:pStyle w:val="13"/>
      <w:pBdr>
        <w:bottom w:val="single" w:color="auto" w:sz="4" w:space="0"/>
      </w:pBdr>
      <w:jc w:val="left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F61EA">
    <w:pPr>
      <w:pStyle w:val="13"/>
      <w:pBdr>
        <w:bottom w:val="single" w:color="auto" w:sz="4" w:space="0"/>
      </w:pBdr>
      <w:jc w:val="left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54C0CB"/>
    <w:multiLevelType w:val="multilevel"/>
    <w:tmpl w:val="1E54C0CB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420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tabs>
          <w:tab w:val="left" w:pos="420"/>
        </w:tabs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7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3CB"/>
    <w:rsid w:val="0000331B"/>
    <w:rsid w:val="000E70C4"/>
    <w:rsid w:val="002438FD"/>
    <w:rsid w:val="003B326D"/>
    <w:rsid w:val="00406088"/>
    <w:rsid w:val="008753CB"/>
    <w:rsid w:val="008D7448"/>
    <w:rsid w:val="00A10114"/>
    <w:rsid w:val="00A30227"/>
    <w:rsid w:val="021C29C7"/>
    <w:rsid w:val="03373831"/>
    <w:rsid w:val="09DF435C"/>
    <w:rsid w:val="0C152235"/>
    <w:rsid w:val="0C365ED4"/>
    <w:rsid w:val="0CF05FA0"/>
    <w:rsid w:val="0FD02A69"/>
    <w:rsid w:val="12AE6653"/>
    <w:rsid w:val="1456008E"/>
    <w:rsid w:val="15FB79DC"/>
    <w:rsid w:val="184A3C24"/>
    <w:rsid w:val="198A015E"/>
    <w:rsid w:val="199762FE"/>
    <w:rsid w:val="1FE35C4B"/>
    <w:rsid w:val="224543D6"/>
    <w:rsid w:val="242505F8"/>
    <w:rsid w:val="25E76B6C"/>
    <w:rsid w:val="29085B4C"/>
    <w:rsid w:val="29DD2E6D"/>
    <w:rsid w:val="3CAD2E9B"/>
    <w:rsid w:val="416830A7"/>
    <w:rsid w:val="41E23AAD"/>
    <w:rsid w:val="42774B04"/>
    <w:rsid w:val="4283171C"/>
    <w:rsid w:val="47BC11DC"/>
    <w:rsid w:val="49793744"/>
    <w:rsid w:val="4A5D6CA6"/>
    <w:rsid w:val="4B475260"/>
    <w:rsid w:val="4DA8648A"/>
    <w:rsid w:val="50F10B69"/>
    <w:rsid w:val="51A02388"/>
    <w:rsid w:val="58486B41"/>
    <w:rsid w:val="5A9164F8"/>
    <w:rsid w:val="5C2514E6"/>
    <w:rsid w:val="5FB4306B"/>
    <w:rsid w:val="636B69F0"/>
    <w:rsid w:val="66666EEF"/>
    <w:rsid w:val="67917192"/>
    <w:rsid w:val="6E860B7D"/>
    <w:rsid w:val="74CA5223"/>
    <w:rsid w:val="78FA6187"/>
    <w:rsid w:val="799338E8"/>
    <w:rsid w:val="799F35BE"/>
    <w:rsid w:val="7BCD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numPr>
        <w:ilvl w:val="0"/>
        <w:numId w:val="1"/>
      </w:numPr>
      <w:ind w:left="432" w:hanging="432" w:firstLineChars="0"/>
      <w:jc w:val="left"/>
      <w:outlineLvl w:val="0"/>
    </w:pPr>
    <w:rPr>
      <w:b/>
      <w:sz w:val="36"/>
      <w:szCs w:val="32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numPr>
        <w:ilvl w:val="1"/>
        <w:numId w:val="1"/>
      </w:numPr>
      <w:ind w:left="575" w:hanging="575" w:firstLineChars="0"/>
      <w:jc w:val="left"/>
      <w:outlineLvl w:val="1"/>
    </w:pPr>
    <w:rPr>
      <w:b/>
      <w:sz w:val="32"/>
      <w:szCs w:val="30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numPr>
        <w:ilvl w:val="2"/>
        <w:numId w:val="1"/>
      </w:numPr>
      <w:ind w:firstLineChars="0"/>
      <w:jc w:val="left"/>
      <w:outlineLvl w:val="2"/>
    </w:pPr>
    <w:rPr>
      <w:b/>
      <w:sz w:val="30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numPr>
        <w:ilvl w:val="3"/>
        <w:numId w:val="1"/>
      </w:numPr>
      <w:ind w:left="0" w:firstLine="720" w:firstLineChars="200"/>
      <w:outlineLvl w:val="3"/>
    </w:pPr>
    <w:rPr>
      <w:rFonts w:cstheme="majorBidi"/>
      <w:b/>
      <w:color w:val="auto"/>
      <w:sz w:val="28"/>
      <w:szCs w:val="28"/>
    </w:rPr>
  </w:style>
  <w:style w:type="paragraph" w:styleId="6">
    <w:name w:val="heading 5"/>
    <w:basedOn w:val="5"/>
    <w:next w:val="1"/>
    <w:link w:val="26"/>
    <w:semiHidden/>
    <w:unhideWhenUsed/>
    <w:qFormat/>
    <w:uiPriority w:val="9"/>
    <w:pPr>
      <w:keepNext/>
      <w:keepLines/>
      <w:numPr>
        <w:ilvl w:val="4"/>
        <w:numId w:val="1"/>
      </w:numPr>
      <w:spacing w:before="80" w:after="40"/>
      <w:ind w:left="1008" w:hanging="1008" w:firstLineChars="0"/>
      <w:outlineLvl w:val="4"/>
    </w:pPr>
    <w:rPr>
      <w:rFonts w:ascii="宋体" w:hAnsi="宋体" w:eastAsia="宋体"/>
      <w:color w:val="auto"/>
    </w:rPr>
  </w:style>
  <w:style w:type="paragraph" w:styleId="7">
    <w:name w:val="heading 6"/>
    <w:basedOn w:val="1"/>
    <w:next w:val="1"/>
    <w:link w:val="27"/>
    <w:semiHidden/>
    <w:unhideWhenUsed/>
    <w:qFormat/>
    <w:uiPriority w:val="9"/>
    <w:pPr>
      <w:keepNext/>
      <w:keepLines/>
      <w:numPr>
        <w:ilvl w:val="5"/>
        <w:numId w:val="1"/>
      </w:numPr>
      <w:spacing w:before="40"/>
      <w:ind w:left="1151" w:hanging="1151" w:firstLineChars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8"/>
    <w:semiHidden/>
    <w:unhideWhenUsed/>
    <w:qFormat/>
    <w:uiPriority w:val="9"/>
    <w:pPr>
      <w:keepNext/>
      <w:keepLines/>
      <w:numPr>
        <w:ilvl w:val="6"/>
        <w:numId w:val="1"/>
      </w:numPr>
      <w:spacing w:before="40"/>
      <w:ind w:left="1296" w:hanging="1296" w:firstLineChars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9"/>
    <w:semiHidden/>
    <w:unhideWhenUsed/>
    <w:qFormat/>
    <w:uiPriority w:val="9"/>
    <w:pPr>
      <w:keepNext/>
      <w:keepLines/>
      <w:numPr>
        <w:ilvl w:val="7"/>
        <w:numId w:val="1"/>
      </w:numPr>
      <w:ind w:left="1440" w:hanging="1440" w:firstLineChars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0"/>
    <w:semiHidden/>
    <w:unhideWhenUsed/>
    <w:qFormat/>
    <w:uiPriority w:val="9"/>
    <w:pPr>
      <w:keepNext/>
      <w:keepLines/>
      <w:numPr>
        <w:ilvl w:val="8"/>
        <w:numId w:val="1"/>
      </w:numPr>
      <w:ind w:left="1583" w:hanging="1583" w:firstLineChars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12">
    <w:name w:val="foot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semiHidden/>
    <w:unhideWhenUsed/>
    <w:qFormat/>
    <w:uiPriority w:val="39"/>
  </w:style>
  <w:style w:type="paragraph" w:styleId="15">
    <w:name w:val="Subtitle"/>
    <w:basedOn w:val="1"/>
    <w:next w:val="1"/>
    <w:link w:val="32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7">
    <w:name w:val="Title"/>
    <w:basedOn w:val="1"/>
    <w:next w:val="1"/>
    <w:link w:val="31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9">
    <w:name w:val="Table Grid"/>
    <w:basedOn w:val="18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basedOn w:val="20"/>
    <w:unhideWhenUsed/>
    <w:qFormat/>
    <w:uiPriority w:val="99"/>
    <w:rPr>
      <w:color w:val="0563C1"/>
      <w:u w:val="single"/>
    </w:rPr>
  </w:style>
  <w:style w:type="character" w:customStyle="1" w:styleId="22">
    <w:name w:val="标题 1 字符"/>
    <w:basedOn w:val="20"/>
    <w:link w:val="2"/>
    <w:qFormat/>
    <w:uiPriority w:val="9"/>
    <w:rPr>
      <w:rFonts w:ascii="宋体" w:hAnsi="宋体" w:eastAsia="宋体" w:cs="宋体"/>
      <w:b/>
      <w:sz w:val="36"/>
      <w:szCs w:val="32"/>
    </w:rPr>
  </w:style>
  <w:style w:type="character" w:customStyle="1" w:styleId="23">
    <w:name w:val="标题 2 字符"/>
    <w:basedOn w:val="20"/>
    <w:link w:val="3"/>
    <w:qFormat/>
    <w:uiPriority w:val="9"/>
    <w:rPr>
      <w:rFonts w:ascii="宋体" w:hAnsi="宋体" w:eastAsia="宋体" w:cs="宋体"/>
      <w:b/>
      <w:sz w:val="32"/>
      <w:szCs w:val="30"/>
    </w:rPr>
  </w:style>
  <w:style w:type="character" w:customStyle="1" w:styleId="24">
    <w:name w:val="标题 3 字符"/>
    <w:basedOn w:val="20"/>
    <w:link w:val="4"/>
    <w:qFormat/>
    <w:uiPriority w:val="9"/>
    <w:rPr>
      <w:rFonts w:ascii="宋体" w:hAnsi="宋体" w:eastAsia="宋体" w:cs="宋体"/>
      <w:b/>
      <w:sz w:val="30"/>
      <w:szCs w:val="32"/>
    </w:rPr>
  </w:style>
  <w:style w:type="character" w:customStyle="1" w:styleId="25">
    <w:name w:val="标题 4 字符"/>
    <w:basedOn w:val="20"/>
    <w:link w:val="5"/>
    <w:semiHidden/>
    <w:qFormat/>
    <w:uiPriority w:val="9"/>
    <w:rPr>
      <w:rFonts w:ascii="宋体" w:hAnsi="宋体" w:eastAsia="宋体" w:cstheme="majorBidi"/>
      <w:b/>
      <w:color w:val="auto"/>
      <w:sz w:val="28"/>
      <w:szCs w:val="28"/>
    </w:rPr>
  </w:style>
  <w:style w:type="character" w:customStyle="1" w:styleId="26">
    <w:name w:val="标题 5 字符"/>
    <w:basedOn w:val="20"/>
    <w:link w:val="6"/>
    <w:semiHidden/>
    <w:qFormat/>
    <w:uiPriority w:val="9"/>
    <w:rPr>
      <w:rFonts w:ascii="宋体" w:hAnsi="宋体" w:eastAsia="宋体" w:cstheme="majorBidi"/>
      <w:color w:val="auto"/>
      <w:sz w:val="24"/>
      <w:szCs w:val="24"/>
    </w:rPr>
  </w:style>
  <w:style w:type="character" w:customStyle="1" w:styleId="27">
    <w:name w:val="标题 6 字符"/>
    <w:basedOn w:val="20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8">
    <w:name w:val="标题 7 字符"/>
    <w:basedOn w:val="20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8 字符"/>
    <w:basedOn w:val="20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9 字符"/>
    <w:basedOn w:val="20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字符"/>
    <w:basedOn w:val="20"/>
    <w:link w:val="17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2">
    <w:name w:val="副标题 字符"/>
    <w:basedOn w:val="20"/>
    <w:link w:val="15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3">
    <w:name w:val="Quote"/>
    <w:basedOn w:val="1"/>
    <w:next w:val="1"/>
    <w:link w:val="34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4">
    <w:name w:val="引用 字符"/>
    <w:basedOn w:val="20"/>
    <w:link w:val="33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5">
    <w:name w:val="List Paragraph"/>
    <w:basedOn w:val="1"/>
    <w:qFormat/>
    <w:uiPriority w:val="34"/>
    <w:pPr>
      <w:ind w:left="720"/>
      <w:contextualSpacing/>
    </w:pPr>
  </w:style>
  <w:style w:type="character" w:customStyle="1" w:styleId="36">
    <w:name w:val="Intense Emphasis"/>
    <w:basedOn w:val="20"/>
    <w:qFormat/>
    <w:uiPriority w:val="21"/>
    <w:rPr>
      <w:i/>
      <w:iCs/>
      <w:color w:val="104862" w:themeColor="accent1" w:themeShade="BF"/>
    </w:rPr>
  </w:style>
  <w:style w:type="paragraph" w:styleId="37">
    <w:name w:val="Intense Quote"/>
    <w:basedOn w:val="1"/>
    <w:next w:val="1"/>
    <w:link w:val="38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8">
    <w:name w:val="明显引用 字符"/>
    <w:basedOn w:val="20"/>
    <w:link w:val="37"/>
    <w:qFormat/>
    <w:uiPriority w:val="30"/>
    <w:rPr>
      <w:i/>
      <w:iCs/>
      <w:color w:val="104862" w:themeColor="accent1" w:themeShade="BF"/>
    </w:rPr>
  </w:style>
  <w:style w:type="character" w:customStyle="1" w:styleId="39">
    <w:name w:val="页眉 字符"/>
    <w:basedOn w:val="20"/>
    <w:link w:val="13"/>
    <w:qFormat/>
    <w:uiPriority w:val="99"/>
    <w:rPr>
      <w:sz w:val="18"/>
      <w:szCs w:val="18"/>
    </w:rPr>
  </w:style>
  <w:style w:type="character" w:customStyle="1" w:styleId="40">
    <w:name w:val="页脚 字符"/>
    <w:basedOn w:val="20"/>
    <w:link w:val="12"/>
    <w:qFormat/>
    <w:uiPriority w:val="99"/>
    <w:rPr>
      <w:sz w:val="18"/>
      <w:szCs w:val="18"/>
    </w:rPr>
  </w:style>
  <w:style w:type="paragraph" w:customStyle="1" w:styleId="41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42">
    <w:name w:val="列出段落1"/>
    <w:basedOn w:val="1"/>
    <w:qFormat/>
    <w:uiPriority w:val="0"/>
    <w:pPr>
      <w:suppressAutoHyphens/>
      <w:ind w:firstLine="420"/>
      <w:jc w:val="left"/>
    </w:pPr>
    <w:rPr>
      <w:rFonts w:ascii="Times" w:hAnsi="Times" w:cs="Times New Roman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4.jpe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jpe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3044</Words>
  <Characters>3399</Characters>
  <Lines>1</Lines>
  <Paragraphs>1</Paragraphs>
  <TotalTime>1</TotalTime>
  <ScaleCrop>false</ScaleCrop>
  <LinksUpToDate>false</LinksUpToDate>
  <CharactersWithSpaces>3477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2025-02-07T05:17:00Z</dcterms:created>
  <dc:creator>闫鹏 李</dc:creator>
  <cp:lastModifiedBy>邹树虎</cp:lastModifiedBy>
  <dcterms:modified xsi:type="dcterms:W3CDTF">2025-07-25T07:08:18Z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eyJoZGlkIjoiZjk1Y2JmN2ViODY3ZDA2MjQ3ZGVkNzAyMTI3ZDBjOWUiLCJ1c2VySWQiOiIxNDQ5MjAxMDk2In0=</vt:lpwstr>
  </property>
  <property fmtid="{D5CDD505-2E9C-101B-9397-08002B2CF9AE}" pid="3" name="KSOProductBuildVer">
    <vt:lpwstr>2052-12.1.0.21915</vt:lpwstr>
  </property>
  <property fmtid="{D5CDD505-2E9C-101B-9397-08002B2CF9AE}" pid="4" name="ICV">
    <vt:lpwstr>DF6EBECCDCAF44EAB4F520543FCF2462_12</vt:lpwstr>
  </property>
</Properties>
</file>