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4CCC34">
      <w:pPr>
        <w:rPr>
          <w:rFonts w:hint="eastAsia"/>
          <w:color w:val="auto"/>
          <w:highlight w:val="none"/>
        </w:rPr>
      </w:pPr>
    </w:p>
    <w:p w14:paraId="7C6688AF">
      <w:pPr>
        <w:rPr>
          <w:rFonts w:hint="eastAsia"/>
          <w:color w:val="auto"/>
          <w:highlight w:val="none"/>
        </w:rPr>
      </w:pPr>
    </w:p>
    <w:p w14:paraId="65B69CCC">
      <w:pPr>
        <w:rPr>
          <w:rFonts w:hint="eastAsia"/>
          <w:color w:val="auto"/>
          <w:highlight w:val="none"/>
        </w:rPr>
      </w:pPr>
    </w:p>
    <w:p w14:paraId="0E7AB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  <w:t>水环境行业细分场景</w:t>
      </w:r>
    </w:p>
    <w:p w14:paraId="36EA5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right"/>
        <w:textAlignment w:val="auto"/>
        <w:rPr>
          <w:rFonts w:hint="default" w:eastAsia="宋体"/>
          <w:b/>
          <w:bCs/>
          <w:color w:val="auto"/>
          <w:sz w:val="52"/>
          <w:szCs w:val="5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  <w:t>——地表水水质监测方案</w:t>
      </w:r>
    </w:p>
    <w:p w14:paraId="5F987076">
      <w:pPr>
        <w:rPr>
          <w:rFonts w:hint="eastAsia"/>
          <w:color w:val="auto"/>
          <w:highlight w:val="none"/>
        </w:rPr>
      </w:pPr>
    </w:p>
    <w:p w14:paraId="3401E6BD">
      <w:pPr>
        <w:rPr>
          <w:rFonts w:hint="eastAsia"/>
          <w:color w:val="auto"/>
          <w:highlight w:val="none"/>
        </w:rPr>
      </w:pPr>
    </w:p>
    <w:p w14:paraId="1C915416">
      <w:pPr>
        <w:rPr>
          <w:rFonts w:hint="eastAsia"/>
          <w:color w:val="auto"/>
          <w:highlight w:val="none"/>
        </w:rPr>
      </w:pPr>
    </w:p>
    <w:p w14:paraId="35B99434">
      <w:pPr>
        <w:rPr>
          <w:rFonts w:hint="eastAsia"/>
          <w:color w:val="auto"/>
          <w:highlight w:val="none"/>
        </w:rPr>
      </w:pPr>
    </w:p>
    <w:p w14:paraId="21E5C6ED">
      <w:pPr>
        <w:rPr>
          <w:rFonts w:hint="eastAsia"/>
          <w:color w:val="auto"/>
          <w:highlight w:val="none"/>
        </w:rPr>
      </w:pPr>
    </w:p>
    <w:p w14:paraId="37D95FEA">
      <w:pPr>
        <w:rPr>
          <w:rFonts w:hint="eastAsia"/>
          <w:color w:val="auto"/>
          <w:highlight w:val="none"/>
        </w:rPr>
      </w:pPr>
    </w:p>
    <w:p w14:paraId="5D093C07">
      <w:pPr>
        <w:rPr>
          <w:rFonts w:hint="eastAsia"/>
          <w:color w:val="auto"/>
          <w:highlight w:val="none"/>
        </w:rPr>
      </w:pPr>
    </w:p>
    <w:p w14:paraId="0C33701D">
      <w:pPr>
        <w:rPr>
          <w:rFonts w:hint="eastAsia"/>
          <w:color w:val="auto"/>
          <w:highlight w:val="none"/>
        </w:rPr>
      </w:pPr>
    </w:p>
    <w:p w14:paraId="19E303D8">
      <w:pPr>
        <w:rPr>
          <w:rFonts w:hint="eastAsia"/>
          <w:color w:val="auto"/>
          <w:highlight w:val="none"/>
        </w:rPr>
      </w:pPr>
    </w:p>
    <w:p w14:paraId="7A24F120">
      <w:pPr>
        <w:rPr>
          <w:rFonts w:hint="eastAsia"/>
          <w:color w:val="auto"/>
          <w:highlight w:val="none"/>
        </w:rPr>
      </w:pPr>
    </w:p>
    <w:p w14:paraId="05C0723D">
      <w:pPr>
        <w:rPr>
          <w:rFonts w:hint="eastAsia"/>
          <w:color w:val="auto"/>
          <w:highlight w:val="none"/>
        </w:rPr>
      </w:pPr>
    </w:p>
    <w:p w14:paraId="2C2C71A1">
      <w:pPr>
        <w:rPr>
          <w:rFonts w:hint="eastAsia"/>
          <w:color w:val="auto"/>
          <w:highlight w:val="none"/>
        </w:rPr>
      </w:pPr>
    </w:p>
    <w:p w14:paraId="2F2A290D">
      <w:pPr>
        <w:rPr>
          <w:rFonts w:hint="eastAsia"/>
          <w:color w:val="auto"/>
          <w:highlight w:val="none"/>
        </w:rPr>
      </w:pPr>
    </w:p>
    <w:p w14:paraId="19888132">
      <w:pPr>
        <w:rPr>
          <w:rFonts w:hint="eastAsia"/>
          <w:color w:val="auto"/>
          <w:highlight w:val="none"/>
        </w:rPr>
      </w:pPr>
    </w:p>
    <w:p w14:paraId="776B9B5F">
      <w:pPr>
        <w:rPr>
          <w:rFonts w:hint="eastAsia"/>
          <w:color w:val="auto"/>
          <w:highlight w:val="none"/>
        </w:rPr>
      </w:pPr>
    </w:p>
    <w:p w14:paraId="256D5A4B">
      <w:pPr>
        <w:rPr>
          <w:rFonts w:hint="eastAsia"/>
          <w:color w:val="auto"/>
          <w:highlight w:val="none"/>
        </w:rPr>
      </w:pPr>
    </w:p>
    <w:p w14:paraId="274A8AFE">
      <w:pPr>
        <w:rPr>
          <w:rFonts w:hint="eastAsia"/>
          <w:color w:val="auto"/>
          <w:highlight w:val="none"/>
        </w:rPr>
      </w:pPr>
    </w:p>
    <w:p w14:paraId="5DBBFBCE">
      <w:pPr>
        <w:rPr>
          <w:rFonts w:hint="eastAsia"/>
          <w:color w:val="auto"/>
          <w:highlight w:val="none"/>
        </w:rPr>
      </w:pPr>
    </w:p>
    <w:p w14:paraId="7D2B2984">
      <w:pPr>
        <w:rPr>
          <w:rFonts w:hint="eastAsia"/>
          <w:color w:val="auto"/>
          <w:highlight w:val="none"/>
        </w:rPr>
      </w:pPr>
    </w:p>
    <w:p w14:paraId="7E21D1EE">
      <w:pPr>
        <w:rPr>
          <w:rFonts w:hint="eastAsia"/>
          <w:color w:val="auto"/>
          <w:highlight w:val="none"/>
        </w:rPr>
      </w:pPr>
    </w:p>
    <w:p w14:paraId="27E7B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b/>
          <w:bCs/>
          <w:color w:val="auto"/>
          <w:sz w:val="40"/>
          <w:szCs w:val="40"/>
          <w:highlight w:val="none"/>
          <w:lang w:val="zh-CN"/>
        </w:rPr>
      </w:pPr>
      <w:r>
        <w:rPr>
          <w:b/>
          <w:bCs/>
          <w:color w:val="auto"/>
          <w:sz w:val="40"/>
          <w:szCs w:val="40"/>
          <w:highlight w:val="none"/>
        </w:rPr>
        <w:t>202</w:t>
      </w:r>
      <w:r>
        <w:rPr>
          <w:rFonts w:hint="eastAsia"/>
          <w:b/>
          <w:bCs/>
          <w:color w:val="auto"/>
          <w:sz w:val="40"/>
          <w:szCs w:val="40"/>
          <w:highlight w:val="none"/>
        </w:rPr>
        <w:t>5</w:t>
      </w:r>
      <w:r>
        <w:rPr>
          <w:b/>
          <w:bCs/>
          <w:color w:val="auto"/>
          <w:sz w:val="40"/>
          <w:szCs w:val="40"/>
          <w:highlight w:val="none"/>
          <w:lang w:val="zh-CN"/>
        </w:rPr>
        <w:t>年</w:t>
      </w:r>
      <w:r>
        <w:rPr>
          <w:rFonts w:hint="eastAsia"/>
          <w:b/>
          <w:bCs/>
          <w:color w:val="auto"/>
          <w:sz w:val="40"/>
          <w:szCs w:val="40"/>
          <w:highlight w:val="none"/>
          <w:lang w:val="en-US" w:eastAsia="zh-CN"/>
        </w:rPr>
        <w:t>2</w:t>
      </w:r>
      <w:r>
        <w:rPr>
          <w:b/>
          <w:bCs/>
          <w:color w:val="auto"/>
          <w:sz w:val="40"/>
          <w:szCs w:val="40"/>
          <w:highlight w:val="none"/>
          <w:lang w:val="zh-CN"/>
        </w:rPr>
        <w:t>月</w:t>
      </w:r>
    </w:p>
    <w:p w14:paraId="10808181">
      <w:pPr>
        <w:rPr>
          <w:rFonts w:hint="eastAsia"/>
          <w:color w:val="auto"/>
          <w:highlight w:val="none"/>
        </w:rPr>
      </w:pPr>
    </w:p>
    <w:p w14:paraId="360BE464">
      <w:pPr>
        <w:rPr>
          <w:rFonts w:hint="eastAsia"/>
          <w:color w:val="auto"/>
          <w:highlight w:val="none"/>
        </w:rPr>
        <w:sectPr>
          <w:head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D44955E">
      <w:pPr>
        <w:rPr>
          <w:rFonts w:hint="eastAsia"/>
          <w:color w:val="auto"/>
          <w:highlight w:val="none"/>
        </w:rPr>
      </w:pPr>
    </w:p>
    <w:sdt>
      <w:sdtPr>
        <w:rPr>
          <w:rFonts w:ascii="宋体" w:hAnsi="宋体" w:eastAsia="宋体" w:cs="宋体"/>
          <w:b/>
          <w:bCs/>
          <w:color w:val="auto"/>
          <w:kern w:val="2"/>
          <w:sz w:val="36"/>
          <w:szCs w:val="36"/>
          <w:highlight w:val="none"/>
          <w:lang w:val="en-US" w:eastAsia="zh-CN" w:bidi="ar-SA"/>
        </w:rPr>
        <w:id w:val="14746242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sdtEndPr>
      <w:sdtContent>
        <w:p w14:paraId="6D3CA3C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auto"/>
              <w:sz w:val="36"/>
              <w:szCs w:val="36"/>
              <w:highlight w:val="none"/>
            </w:rPr>
          </w:pPr>
          <w:r>
            <w:rPr>
              <w:rFonts w:ascii="宋体" w:hAnsi="宋体" w:eastAsia="宋体"/>
              <w:b/>
              <w:bCs/>
              <w:color w:val="auto"/>
              <w:sz w:val="36"/>
              <w:szCs w:val="36"/>
              <w:highlight w:val="none"/>
            </w:rPr>
            <w:t>目录</w:t>
          </w:r>
        </w:p>
        <w:p w14:paraId="244274B1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_Toc28711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一、 </w:t>
          </w:r>
          <w:r>
            <w:rPr>
              <w:rFonts w:hint="eastAsia"/>
              <w:highlight w:val="none"/>
              <w:lang w:val="en-US" w:eastAsia="zh-CN"/>
            </w:rPr>
            <w:t>公司简介</w:t>
          </w:r>
          <w:r>
            <w:tab/>
          </w:r>
          <w:r>
            <w:fldChar w:fldCharType="begin"/>
          </w:r>
          <w:r>
            <w:instrText xml:space="preserve"> PAGEREF _Toc28711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8235B3B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_Toc25618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二、 </w:t>
          </w:r>
          <w:r>
            <w:rPr>
              <w:rFonts w:hint="eastAsia"/>
              <w:highlight w:val="none"/>
              <w:lang w:val="en-US" w:eastAsia="zh-CN"/>
            </w:rPr>
            <w:t>地表水监测概述</w:t>
          </w:r>
          <w:r>
            <w:tab/>
          </w:r>
          <w:r>
            <w:fldChar w:fldCharType="begin"/>
          </w:r>
          <w:r>
            <w:instrText xml:space="preserve"> PAGEREF _Toc25618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09E0FFA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_Toc15867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2.1. </w:t>
          </w:r>
          <w:r>
            <w:rPr>
              <w:rFonts w:hint="eastAsia"/>
              <w:szCs w:val="24"/>
              <w:highlight w:val="none"/>
              <w:lang w:val="en-US" w:eastAsia="zh-CN"/>
            </w:rPr>
            <w:t>水环境行业背景</w:t>
          </w:r>
          <w:r>
            <w:tab/>
          </w:r>
          <w:r>
            <w:fldChar w:fldCharType="begin"/>
          </w:r>
          <w:r>
            <w:instrText xml:space="preserve"> PAGEREF _Toc15867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5CE626A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_Toc22135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2.2. </w:t>
          </w:r>
          <w:r>
            <w:rPr>
              <w:rFonts w:hint="eastAsia"/>
              <w:highlight w:val="none"/>
              <w:lang w:val="en-US" w:eastAsia="zh-CN"/>
            </w:rPr>
            <w:t>项目具体要求：</w:t>
          </w:r>
          <w:r>
            <w:tab/>
          </w:r>
          <w:r>
            <w:fldChar w:fldCharType="begin"/>
          </w:r>
          <w:r>
            <w:instrText xml:space="preserve"> PAGEREF _Toc22135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7368D36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_Toc1226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2.3. </w:t>
          </w:r>
          <w:r>
            <w:rPr>
              <w:rFonts w:hint="eastAsia"/>
              <w:highlight w:val="none"/>
              <w:lang w:val="en-US" w:eastAsia="zh-CN"/>
            </w:rPr>
            <w:t>地表水监测特点</w:t>
          </w:r>
          <w:r>
            <w:tab/>
          </w:r>
          <w:r>
            <w:fldChar w:fldCharType="begin"/>
          </w:r>
          <w:r>
            <w:instrText xml:space="preserve"> PAGEREF _Toc1226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6A2B3E6F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_Toc4905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三、 </w:t>
          </w:r>
          <w:r>
            <w:rPr>
              <w:rFonts w:hint="eastAsia"/>
              <w:highlight w:val="none"/>
              <w:lang w:val="en-US" w:eastAsia="zh-CN"/>
            </w:rPr>
            <w:t>建设方案设计</w:t>
          </w:r>
          <w:r>
            <w:tab/>
          </w:r>
          <w:r>
            <w:fldChar w:fldCharType="begin"/>
          </w:r>
          <w:r>
            <w:instrText xml:space="preserve"> PAGEREF _Toc4905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53772F8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_Toc23032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3.1. </w:t>
          </w:r>
          <w:r>
            <w:rPr>
              <w:rFonts w:hint="eastAsia"/>
              <w:highlight w:val="none"/>
              <w:lang w:val="en-US" w:eastAsia="zh-CN"/>
            </w:rPr>
            <w:t>系统框架图</w:t>
          </w:r>
          <w:r>
            <w:tab/>
          </w:r>
          <w:r>
            <w:fldChar w:fldCharType="begin"/>
          </w:r>
          <w:r>
            <w:instrText xml:space="preserve"> PAGEREF _Toc23032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5E66D3C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_Toc13816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3.2. </w:t>
          </w:r>
          <w:r>
            <w:rPr>
              <w:rFonts w:hint="eastAsia"/>
              <w:highlight w:val="none"/>
              <w:lang w:val="en-US" w:eastAsia="zh-CN"/>
            </w:rPr>
            <w:t>设备选型策略</w:t>
          </w:r>
          <w:r>
            <w:tab/>
          </w:r>
          <w:r>
            <w:fldChar w:fldCharType="begin"/>
          </w:r>
          <w:r>
            <w:instrText xml:space="preserve"> PAGEREF _Toc13816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CB5B774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_Toc15904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四、 </w:t>
          </w:r>
          <w:r>
            <w:rPr>
              <w:rFonts w:hint="eastAsia"/>
              <w:highlight w:val="none"/>
              <w:lang w:val="en-US" w:eastAsia="zh-CN"/>
            </w:rPr>
            <w:t>产品介绍</w:t>
          </w:r>
          <w:r>
            <w:tab/>
          </w:r>
          <w:r>
            <w:fldChar w:fldCharType="begin"/>
          </w:r>
          <w:r>
            <w:instrText xml:space="preserve"> PAGEREF _Toc15904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8D6A3A8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_Toc2266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4.1. </w:t>
          </w:r>
          <w:r>
            <w:rPr>
              <w:rFonts w:hint="eastAsia"/>
              <w:highlight w:val="none"/>
              <w:lang w:val="en-US" w:eastAsia="zh-CN"/>
            </w:rPr>
            <w:t>技术参数</w:t>
          </w:r>
          <w:r>
            <w:tab/>
          </w:r>
          <w:r>
            <w:fldChar w:fldCharType="begin"/>
          </w:r>
          <w:r>
            <w:instrText xml:space="preserve"> PAGEREF _Toc2266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05EDB2BC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_Toc6151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4.2. </w:t>
          </w:r>
          <w:r>
            <w:rPr>
              <w:rFonts w:hint="eastAsia"/>
              <w:highlight w:val="none"/>
              <w:lang w:val="en-US" w:eastAsia="zh-CN"/>
            </w:rPr>
            <w:t>场景适配性</w:t>
          </w:r>
          <w:r>
            <w:tab/>
          </w:r>
          <w:r>
            <w:fldChar w:fldCharType="begin"/>
          </w:r>
          <w:r>
            <w:instrText xml:space="preserve"> PAGEREF _Toc6151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D46A2B0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_Toc4510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五、 </w:t>
          </w:r>
          <w:r>
            <w:rPr>
              <w:rFonts w:hint="eastAsia"/>
              <w:highlight w:val="none"/>
              <w:lang w:val="en-US" w:eastAsia="zh-CN"/>
            </w:rPr>
            <w:t>设备寿命及维护</w:t>
          </w:r>
          <w:r>
            <w:tab/>
          </w:r>
          <w:r>
            <w:fldChar w:fldCharType="begin"/>
          </w:r>
          <w:r>
            <w:instrText xml:space="preserve"> PAGEREF _Toc4510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E3B4EE0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_Toc4083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</w:rPr>
            <w:t xml:space="preserve">5.1. </w:t>
          </w:r>
          <w:r>
            <w:rPr>
              <w:rFonts w:hint="eastAsia"/>
              <w:highlight w:val="none"/>
            </w:rPr>
            <w:t>设备寿命周期与维护周期表</w:t>
          </w:r>
          <w:r>
            <w:tab/>
          </w:r>
          <w:r>
            <w:fldChar w:fldCharType="begin"/>
          </w:r>
          <w:r>
            <w:instrText xml:space="preserve"> PAGEREF _Toc4083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9FB96A1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_Toc29275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</w:rPr>
            <w:t xml:space="preserve">5.2. </w:t>
          </w:r>
          <w:r>
            <w:rPr>
              <w:rFonts w:hint="eastAsia"/>
              <w:highlight w:val="none"/>
              <w:lang w:val="en-US" w:eastAsia="zh-CN"/>
            </w:rPr>
            <w:t>设备</w:t>
          </w:r>
          <w:r>
            <w:rPr>
              <w:rFonts w:hint="eastAsia"/>
              <w:highlight w:val="none"/>
            </w:rPr>
            <w:t>日常维护</w:t>
          </w:r>
          <w:r>
            <w:tab/>
          </w:r>
          <w:r>
            <w:fldChar w:fldCharType="begin"/>
          </w:r>
          <w:r>
            <w:instrText xml:space="preserve"> PAGEREF _Toc29275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233E216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_Toc5850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</w:rPr>
            <w:t xml:space="preserve">5.3. </w:t>
          </w:r>
          <w:r>
            <w:rPr>
              <w:rFonts w:hint="eastAsia"/>
              <w:highlight w:val="none"/>
              <w:lang w:val="en-US" w:eastAsia="zh-CN"/>
            </w:rPr>
            <w:t>设备</w:t>
          </w:r>
          <w:r>
            <w:rPr>
              <w:rFonts w:hint="eastAsia"/>
              <w:highlight w:val="none"/>
            </w:rPr>
            <w:t>维护注意事项</w:t>
          </w:r>
          <w:r>
            <w:tab/>
          </w:r>
          <w:r>
            <w:fldChar w:fldCharType="begin"/>
          </w:r>
          <w:r>
            <w:instrText xml:space="preserve"> PAGEREF _Toc5850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026FF73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_Toc23143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六、 </w:t>
          </w:r>
          <w:r>
            <w:rPr>
              <w:rFonts w:hint="eastAsia"/>
              <w:highlight w:val="none"/>
              <w:lang w:val="en-US" w:eastAsia="zh-CN"/>
            </w:rPr>
            <w:t>案例展示</w:t>
          </w:r>
          <w:r>
            <w:tab/>
          </w:r>
          <w:r>
            <w:fldChar w:fldCharType="begin"/>
          </w:r>
          <w:r>
            <w:instrText xml:space="preserve"> PAGEREF _Toc23143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623346E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6.1. </w:t>
          </w:r>
          <w:r>
            <w:rPr>
              <w:rFonts w:hint="eastAsia"/>
              <w:highlight w:val="none"/>
              <w:lang w:val="en-US" w:eastAsia="zh-CN"/>
            </w:rPr>
            <w:t>天津市某河道水质在线监测</w:t>
          </w:r>
          <w:r>
            <w:tab/>
          </w:r>
          <w:r>
            <w:fldChar w:fldCharType="begin"/>
          </w:r>
          <w:r>
            <w:instrText xml:space="preserve"> PAGEREF _Toc18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C5FCDEA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_Toc29643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szCs w:val="32"/>
              <w:lang w:val="en-US" w:eastAsia="zh-CN"/>
            </w:rPr>
            <w:t xml:space="preserve">6.2. </w:t>
          </w:r>
          <w:r>
            <w:rPr>
              <w:rFonts w:hint="eastAsia"/>
              <w:highlight w:val="none"/>
              <w:lang w:val="en-US" w:eastAsia="zh-CN"/>
            </w:rPr>
            <w:t>山西吕梁市某河道监测项目</w:t>
          </w:r>
          <w:r>
            <w:tab/>
          </w:r>
          <w:r>
            <w:fldChar w:fldCharType="begin"/>
          </w:r>
          <w:r>
            <w:instrText xml:space="preserve"> PAGEREF _Toc29643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105EA67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_Toc2401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bCs/>
              <w:kern w:val="2"/>
              <w:szCs w:val="32"/>
              <w:lang w:val="en-US" w:eastAsia="zh-CN" w:bidi="ar-SA"/>
            </w:rPr>
            <w:t xml:space="preserve">6.3. </w:t>
          </w:r>
          <w:r>
            <w:rPr>
              <w:rFonts w:hint="eastAsia" w:ascii="宋体" w:hAnsi="宋体" w:eastAsia="宋体" w:cs="宋体"/>
              <w:kern w:val="2"/>
              <w:szCs w:val="30"/>
              <w:highlight w:val="none"/>
              <w:lang w:val="en-US" w:eastAsia="zh-CN" w:bidi="ar-SA"/>
            </w:rPr>
            <w:t>山东济宁市某河道监测项目</w:t>
          </w:r>
          <w:r>
            <w:tab/>
          </w:r>
          <w:r>
            <w:fldChar w:fldCharType="begin"/>
          </w:r>
          <w:r>
            <w:instrText xml:space="preserve"> PAGEREF _Toc2401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0F13162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</w:sdtContent>
    </w:sdt>
    <w:p w14:paraId="34DAA2F4">
      <w:pPr>
        <w:rPr>
          <w:rFonts w:hint="eastAsia"/>
          <w:color w:val="auto"/>
          <w:highlight w:val="none"/>
        </w:rPr>
      </w:pPr>
    </w:p>
    <w:p w14:paraId="004B449F">
      <w:pPr>
        <w:rPr>
          <w:rFonts w:hint="eastAsia"/>
          <w:color w:val="auto"/>
          <w:highlight w:val="none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22919CD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0" w:name="_Toc3865"/>
      <w:bookmarkStart w:id="1" w:name="_Toc28711"/>
      <w:r>
        <w:rPr>
          <w:rFonts w:hint="eastAsia"/>
          <w:color w:val="auto"/>
          <w:highlight w:val="none"/>
          <w:lang w:val="en-US" w:eastAsia="zh-CN"/>
        </w:rPr>
        <w:t>公司简介</w:t>
      </w:r>
      <w:bookmarkEnd w:id="0"/>
      <w:bookmarkEnd w:id="1"/>
    </w:p>
    <w:p w14:paraId="005BDF9F">
      <w:pPr>
        <w:rPr>
          <w:rFonts w:hint="eastAsia"/>
          <w:color w:val="auto"/>
          <w:highlight w:val="none"/>
          <w:lang w:val="en-US" w:eastAsia="zh-CN"/>
        </w:rPr>
      </w:pPr>
    </w:p>
    <w:p w14:paraId="73B18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585970" cy="339598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E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color w:val="auto"/>
          <w:highlight w:val="none"/>
        </w:rPr>
      </w:pPr>
    </w:p>
    <w:p w14:paraId="756AB255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青岛精诚仪器仪表</w:t>
      </w:r>
      <w:r>
        <w:rPr>
          <w:rFonts w:hint="eastAsia"/>
          <w:highlight w:val="none"/>
        </w:rPr>
        <w:t>有限公司（简称</w:t>
      </w:r>
      <w:r>
        <w:rPr>
          <w:rFonts w:hint="eastAsia"/>
          <w:highlight w:val="none"/>
          <w:lang w:val="en-US" w:eastAsia="zh-CN"/>
        </w:rPr>
        <w:t>青岛精诚</w:t>
      </w:r>
      <w:r>
        <w:rPr>
          <w:rFonts w:hint="eastAsia"/>
          <w:highlight w:val="none"/>
        </w:rPr>
        <w:t>）</w:t>
      </w:r>
      <w:r>
        <w:rPr>
          <w:rFonts w:hint="eastAsia"/>
          <w:color w:val="auto"/>
          <w:highlight w:val="none"/>
          <w:lang w:val="en-US" w:eastAsia="zh-CN"/>
        </w:rPr>
        <w:t>，是一家专业从事生态环境、水利水务、工业过程控制、智慧农业、海洋监测等应用的水质分析仪器研发制造商，以自主研发生产的水质自动监测仪器为核心，应用自动化控制与系统集成技术，为客户提供自动化、智能化的环境监测系统解决方案，并为客户提供环境监测设施的第三方运营服务。</w:t>
      </w:r>
    </w:p>
    <w:p w14:paraId="6D03DE0F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我公司拥有完善的研发、生产、销售和技术服务团队，是国内水质数字传感领导品牌，为国内近百个市、县（区）政府和生态环境部门提供水环境监测技术支撑。</w:t>
      </w:r>
    </w:p>
    <w:p w14:paraId="61776EF0">
      <w:pPr>
        <w:rPr>
          <w:rFonts w:hint="eastAsia"/>
          <w:color w:val="auto"/>
          <w:highlight w:val="none"/>
          <w:lang w:val="en-US" w:eastAsia="zh-CN"/>
        </w:rPr>
      </w:pPr>
    </w:p>
    <w:p w14:paraId="2F6F7128">
      <w:pPr>
        <w:rPr>
          <w:rFonts w:hint="eastAsia"/>
          <w:color w:val="auto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0EAF1881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2" w:name="_Toc28553"/>
      <w:bookmarkStart w:id="3" w:name="_Toc25618"/>
      <w:r>
        <w:rPr>
          <w:rFonts w:hint="eastAsia"/>
          <w:color w:val="auto"/>
          <w:highlight w:val="none"/>
          <w:lang w:val="en-US" w:eastAsia="zh-CN"/>
        </w:rPr>
        <w:t>地表水水质监测概述</w:t>
      </w:r>
      <w:bookmarkEnd w:id="2"/>
      <w:bookmarkEnd w:id="3"/>
    </w:p>
    <w:p w14:paraId="41488666">
      <w:pPr>
        <w:pStyle w:val="3"/>
        <w:bidi w:val="0"/>
        <w:rPr>
          <w:rFonts w:hint="eastAsia"/>
          <w:lang w:val="en-US" w:eastAsia="zh-CN"/>
        </w:rPr>
      </w:pPr>
      <w:bookmarkStart w:id="4" w:name="_Toc15867"/>
      <w:r>
        <w:rPr>
          <w:rFonts w:hint="eastAsia"/>
          <w:lang w:val="en-US" w:eastAsia="zh-CN"/>
        </w:rPr>
        <w:t>地表水水质监测行业背景</w:t>
      </w:r>
      <w:bookmarkEnd w:id="4"/>
    </w:p>
    <w:p w14:paraId="7AB9A3C6">
      <w:pPr>
        <w:bidi w:val="0"/>
        <w:ind w:firstLine="720" w:firstLineChars="30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水环境监测涵盖地表水、地下水以及国控/省控断面监测等重要领域。在当前的发展态势下，该行业面临着诸多亟待解决的难题。监测方面，监测网络存在显著不足，许多区域尚未实现全面覆盖，导致部分水域的水环境状况难以实时、准确掌握，为后续的治理与保护工作带来阻碍。预警环节，监管能力相对薄弱，面对复杂多变的水环境问题，难以做到及时察觉并发出预警信号，无法有效防范潜在风险。溯源工作同样困难重重，源头追溯能力的缺乏使得在发现水环境污染问题时，难以精准定位污染源，不利于针对性地解决问题。而在管理层面，管理决策能力有待提高，缺乏科学、高效的决策体系，难以根据监测数据做出精准的管理决策，影响了水环境治理的整体成效。</w:t>
      </w:r>
      <w:r>
        <w:rPr>
          <w:rFonts w:hint="eastAsia"/>
          <w:highlight w:val="none"/>
          <w:lang w:val="en-US" w:eastAsia="zh-CN"/>
        </w:rPr>
        <w:br w:type="textWrapping"/>
      </w:r>
      <w:r>
        <w:rPr>
          <w:rFonts w:hint="eastAsia"/>
          <w:b/>
          <w:bCs/>
          <w:highlight w:val="none"/>
          <w:lang w:val="en-US" w:eastAsia="zh-CN"/>
        </w:rPr>
        <w:t>水质标准：</w:t>
      </w:r>
    </w:p>
    <w:p w14:paraId="3FA79F96">
      <w:pPr>
        <w:bidi w:val="0"/>
        <w:ind w:firstLine="720" w:firstLineChars="3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地表水：GB 3838-2002《地表水环境质量标准》，将地表水水域环境功能划分为五类，不同类别适用于不同的用水要求，其水质标准也不同。例如，Ⅰ类主要适用于源头水、国家自然保护区；Ⅱ类适用于集中式生活饮用水地表水源地一级保护区等。</w:t>
      </w:r>
    </w:p>
    <w:p w14:paraId="712ADEE0">
      <w:pPr>
        <w:bidi w:val="0"/>
        <w:ind w:left="0" w:leftChars="0" w:firstLine="0" w:firstLineChars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法规要求：</w:t>
      </w:r>
    </w:p>
    <w:p w14:paraId="6CB5D284">
      <w:pPr>
        <w:bidi w:val="0"/>
        <w:ind w:firstLine="720" w:firstLineChars="3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《中华人民共和国水污染防治法》：规定了水污染防治的基本原则、管理制度、防治措施和法律责任等，其中涉及水质监测的内容包括建立水质监测网络、实行水质监测信息共享、加强水质监测能力建设等。</w:t>
      </w:r>
    </w:p>
    <w:p w14:paraId="48A1786A">
      <w:pPr>
        <w:bidi w:val="0"/>
        <w:ind w:firstLine="720" w:firstLineChars="3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《中华人民共和国环境保护法》：规定了环境保护的基本原则、制度、措施和法律责任等，也涉及水质监测的内容，要求加强环境监测网络的建设和管理，提高环境监测能力。</w:t>
      </w:r>
    </w:p>
    <w:p w14:paraId="4BE9F070">
      <w:pPr>
        <w:bidi w:val="0"/>
        <w:ind w:firstLine="720" w:firstLineChars="3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地方性法规：如北京市发布的《河流和湖库水生态环境质量监测与评价技术规范》（DB11/T 2320-2024），规定了河流、湖泊和水库水生态环境质量监测与评价的监测要素、监测方法、质量保证与质量控制、评价方法等技术内容，适用于北京市范围内的河流、湖泊和水库水生态环境质量监测与评价。</w:t>
      </w:r>
    </w:p>
    <w:p w14:paraId="73EB7DB1">
      <w:pPr>
        <w:bidi w:val="0"/>
        <w:ind w:left="0" w:leftChars="0" w:firstLine="0" w:firstLineChars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监测依据：</w:t>
      </w:r>
    </w:p>
    <w:p w14:paraId="60E4E2BB">
      <w:pPr>
        <w:bidi w:val="0"/>
        <w:ind w:firstLine="720" w:firstLineChars="3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国家标准方法：《水质采样技术指导第三版》《水和废水监测分析方法第四版》等，这些标准方法规定了水环境监测的具体采样技术、分析方法和操作步骤，是保证监测数据准确性和可靠性的基础。</w:t>
      </w:r>
    </w:p>
    <w:p w14:paraId="24BA138D">
      <w:pPr>
        <w:bidi w:val="0"/>
        <w:ind w:firstLine="720" w:firstLineChars="3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行业标准方法：针对不同行业的特点和需求，制定了相应的水环境监测行业标准方法，如水利行业的《水质监测质量和安全管理办法》，对水利系统水质监测的质量管理和安全管理工作进行了详细规定。</w:t>
      </w:r>
    </w:p>
    <w:p w14:paraId="285ACBEE">
      <w:pPr>
        <w:pStyle w:val="3"/>
        <w:bidi w:val="0"/>
        <w:rPr>
          <w:rFonts w:hint="default"/>
          <w:highlight w:val="none"/>
          <w:lang w:val="en-US" w:eastAsia="zh-CN"/>
        </w:rPr>
      </w:pPr>
      <w:bookmarkStart w:id="5" w:name="_Toc22135"/>
      <w:r>
        <w:rPr>
          <w:rFonts w:hint="eastAsia"/>
          <w:highlight w:val="none"/>
          <w:lang w:val="en-US" w:eastAsia="zh-CN"/>
        </w:rPr>
        <w:t>项目具体要求：</w:t>
      </w:r>
      <w:bookmarkEnd w:id="5"/>
    </w:p>
    <w:p w14:paraId="776D39FD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在进行具体的水环境监测项目时，还需要根据项目的委托方或相关部门的要求，确定特定的监测指标、监测频率和监测方法等。例如，对于一些重点污染源的监测，可能需要按照更严格的标准和方法进行监测。</w:t>
      </w:r>
    </w:p>
    <w:p w14:paraId="00852EBD">
      <w:pPr>
        <w:pStyle w:val="3"/>
        <w:bidi w:val="0"/>
        <w:rPr>
          <w:rFonts w:hint="default"/>
          <w:highlight w:val="none"/>
          <w:lang w:val="en-US" w:eastAsia="zh-CN"/>
        </w:rPr>
      </w:pPr>
      <w:bookmarkStart w:id="6" w:name="_Toc1226"/>
      <w:bookmarkStart w:id="7" w:name="_Toc16844"/>
      <w:r>
        <w:rPr>
          <w:rFonts w:hint="eastAsia"/>
          <w:highlight w:val="none"/>
          <w:lang w:val="en-US" w:eastAsia="zh-CN"/>
        </w:rPr>
        <w:t>地表水水质监测特点</w:t>
      </w:r>
      <w:bookmarkEnd w:id="6"/>
      <w:bookmarkEnd w:id="7"/>
    </w:p>
    <w:p w14:paraId="6B952015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地表水监测具有以下特点：</w:t>
      </w:r>
    </w:p>
    <w:p w14:paraId="2D321296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1.监测范围广</w:t>
      </w:r>
    </w:p>
    <w:p w14:paraId="72C93750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涉及河流、湖泊、水库等多种地表水体，包括不同的流域、区域，涵盖城市周边、农村地区等各种地理环境。</w:t>
      </w:r>
    </w:p>
    <w:p w14:paraId="70608B17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2.监测参数多</w:t>
      </w:r>
    </w:p>
    <w:p w14:paraId="4508128D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物理参数：如水温、浊度、电导率等，反映水体的物理性质和基本特征。</w:t>
      </w:r>
    </w:p>
    <w:p w14:paraId="5255D2A3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化学参数：包括酸碱度（pH值）、溶解氧、化学需氧量（COD）、生化需氧量（BOD₅）、氨氮、总磷、总氮等，用于衡量水体中化学物质的含量和污染程度。</w:t>
      </w:r>
    </w:p>
    <w:p w14:paraId="3A204A58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3.监测频率高</w:t>
      </w:r>
    </w:p>
    <w:p w14:paraId="4166B31B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对于重点水域和敏感区域，需要进行高频次的监测，如每日甚至实时监测，以便及时掌握水质变化情况，快速发现异常并采取应对措施。</w:t>
      </w:r>
    </w:p>
    <w:p w14:paraId="7EE6D393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4.监测时间长</w:t>
      </w:r>
    </w:p>
    <w:p w14:paraId="44CD000B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长期的监测能够获取不同季节、不同年份的水质数据，分析水质的变化趋势，为水资源管理和环境保护提供长期的数据支持。</w:t>
      </w:r>
    </w:p>
    <w:p w14:paraId="20C44AB8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5.监测方法多样</w:t>
      </w:r>
    </w:p>
    <w:p w14:paraId="0B9B25EA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自动监测：利用先进的水质自动监测仪器和设备，实现对水质参数的连续、自动监测和数据采集，提高监测的效率和时效性。</w:t>
      </w:r>
    </w:p>
    <w:p w14:paraId="3D59A933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手工监测：在一些特殊情况下或对特定参数进行监测时，需要采用手工采样和实验室分析的方法，以保证监测结果的准确性和可靠性。</w:t>
      </w:r>
    </w:p>
    <w:p w14:paraId="03E531AC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遥感监测：借助卫星遥感、无人机等技术手段，获取大面积地表水体的信息，辅助判断水质状况和水体生态变化。</w:t>
      </w:r>
    </w:p>
    <w:p w14:paraId="7C99C901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6.受环境影响大</w:t>
      </w:r>
    </w:p>
    <w:p w14:paraId="55B8690B">
      <w:pP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地表水的水质容易受到自然环境因素（如降雨、洪水、干旱等）和人类活动（如工业废水排放、农业面源污染、生活污水排放等）的影响，导致水质变化较大，增加了监测的难度和复杂性。</w:t>
      </w:r>
    </w:p>
    <w:p w14:paraId="77B411E6">
      <w:pPr>
        <w:rPr>
          <w:rFonts w:hint="default"/>
          <w:color w:val="auto"/>
          <w:highlight w:val="none"/>
          <w:lang w:val="en-US" w:eastAsia="zh-CN"/>
        </w:rPr>
      </w:pPr>
    </w:p>
    <w:p w14:paraId="35D2CF63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8" w:name="_Toc15099"/>
      <w:bookmarkStart w:id="9" w:name="_Toc4905"/>
      <w:r>
        <w:rPr>
          <w:rFonts w:hint="eastAsia"/>
          <w:color w:val="auto"/>
          <w:highlight w:val="none"/>
          <w:lang w:val="en-US" w:eastAsia="zh-CN"/>
        </w:rPr>
        <w:t>建设方案设计</w:t>
      </w:r>
      <w:bookmarkEnd w:id="8"/>
      <w:bookmarkEnd w:id="9"/>
    </w:p>
    <w:p w14:paraId="5FB79E96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0" w:name="_Toc23032"/>
      <w:r>
        <w:rPr>
          <w:rFonts w:hint="eastAsia"/>
          <w:color w:val="auto"/>
          <w:highlight w:val="none"/>
          <w:lang w:val="en-US" w:eastAsia="zh-CN"/>
        </w:rPr>
        <w:t>系统框架图</w:t>
      </w:r>
      <w:bookmarkEnd w:id="10"/>
    </w:p>
    <w:p w14:paraId="042B4D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color w:val="auto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4305935" cy="3044190"/>
            <wp:effectExtent l="0" t="0" r="184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7F2C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1" w:name="_Toc13816"/>
      <w:r>
        <w:rPr>
          <w:rFonts w:hint="eastAsia"/>
          <w:color w:val="auto"/>
          <w:highlight w:val="none"/>
          <w:lang w:val="en-US" w:eastAsia="zh-CN"/>
        </w:rPr>
        <w:t>设备选型策略</w:t>
      </w:r>
      <w:bookmarkEnd w:id="11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5"/>
        <w:gridCol w:w="3200"/>
        <w:gridCol w:w="2774"/>
      </w:tblGrid>
      <w:tr w14:paraId="27DC090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494" w:type="pct"/>
            <w:vAlign w:val="center"/>
          </w:tcPr>
          <w:p w14:paraId="05075592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</w:pPr>
            <w:bookmarkStart w:id="12" w:name="_Toc24440"/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  <w:t>核心监测参数</w:t>
            </w:r>
          </w:p>
        </w:tc>
        <w:tc>
          <w:tcPr>
            <w:tcW w:w="1878" w:type="pct"/>
            <w:vAlign w:val="center"/>
          </w:tcPr>
          <w:p w14:paraId="056A731F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1626" w:type="pct"/>
            <w:vAlign w:val="center"/>
          </w:tcPr>
          <w:p w14:paraId="5FCF1EC3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  <w:t>设备原理</w:t>
            </w:r>
          </w:p>
        </w:tc>
      </w:tr>
      <w:tr w14:paraId="678D42A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shd w:val="clear" w:color="auto" w:fill="auto"/>
            <w:vAlign w:val="center"/>
          </w:tcPr>
          <w:p w14:paraId="402365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在线监测设备</w:t>
            </w:r>
          </w:p>
        </w:tc>
      </w:tr>
      <w:tr w14:paraId="5ECEA9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shd w:val="clear" w:color="auto" w:fill="auto"/>
            <w:vAlign w:val="center"/>
          </w:tcPr>
          <w:p w14:paraId="29F9EFB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PH</w:t>
            </w:r>
          </w:p>
        </w:tc>
        <w:tc>
          <w:tcPr>
            <w:tcW w:w="1878" w:type="pct"/>
            <w:shd w:val="clear" w:color="auto" w:fill="auto"/>
            <w:vAlign w:val="center"/>
          </w:tcPr>
          <w:p w14:paraId="746D52E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在线PH传感器</w:t>
            </w:r>
          </w:p>
        </w:tc>
        <w:tc>
          <w:tcPr>
            <w:tcW w:w="1626" w:type="pct"/>
            <w:shd w:val="clear" w:color="auto" w:fill="auto"/>
            <w:vAlign w:val="center"/>
          </w:tcPr>
          <w:p w14:paraId="211286E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玻璃电极法</w:t>
            </w:r>
          </w:p>
        </w:tc>
      </w:tr>
      <w:tr w14:paraId="6D5E36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3959F105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浊度</w:t>
            </w:r>
          </w:p>
        </w:tc>
        <w:tc>
          <w:tcPr>
            <w:tcW w:w="1878" w:type="pct"/>
            <w:vAlign w:val="center"/>
          </w:tcPr>
          <w:p w14:paraId="4A801353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在线浊度传感器</w:t>
            </w:r>
          </w:p>
        </w:tc>
        <w:tc>
          <w:tcPr>
            <w:tcW w:w="1626" w:type="pct"/>
            <w:vAlign w:val="center"/>
          </w:tcPr>
          <w:p w14:paraId="2E722E12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  <w:t>光学法</w:t>
            </w:r>
          </w:p>
        </w:tc>
      </w:tr>
      <w:tr w14:paraId="58AA7A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52706891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电导率</w:t>
            </w:r>
          </w:p>
        </w:tc>
        <w:tc>
          <w:tcPr>
            <w:tcW w:w="1878" w:type="pct"/>
            <w:vAlign w:val="center"/>
          </w:tcPr>
          <w:p w14:paraId="3D6868CE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在线电导率传感器</w:t>
            </w:r>
          </w:p>
        </w:tc>
        <w:tc>
          <w:tcPr>
            <w:tcW w:w="1626" w:type="pct"/>
            <w:vAlign w:val="center"/>
          </w:tcPr>
          <w:p w14:paraId="6989706A">
            <w:pPr>
              <w:spacing w:line="240" w:lineRule="auto"/>
              <w:ind w:firstLine="0" w:firstLineChars="0"/>
              <w:jc w:val="center"/>
              <w:rPr>
                <w:rFonts w:hint="default" w:eastAsia="宋体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接触式电极</w:t>
            </w:r>
          </w:p>
        </w:tc>
      </w:tr>
      <w:tr w14:paraId="100E6A7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1F2D8B6F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溶解氧</w:t>
            </w:r>
          </w:p>
        </w:tc>
        <w:tc>
          <w:tcPr>
            <w:tcW w:w="1878" w:type="pct"/>
            <w:vAlign w:val="center"/>
          </w:tcPr>
          <w:p w14:paraId="314AEAFB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1626" w:type="pct"/>
            <w:vAlign w:val="center"/>
          </w:tcPr>
          <w:p w14:paraId="222567DE">
            <w:pPr>
              <w:spacing w:line="240" w:lineRule="auto"/>
              <w:ind w:firstLine="0" w:firstLineChars="0"/>
              <w:jc w:val="center"/>
              <w:rPr>
                <w:rFonts w:hint="eastAsia" w:eastAsia="宋体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荧光法</w:t>
            </w:r>
          </w:p>
        </w:tc>
      </w:tr>
      <w:tr w14:paraId="530408E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shd w:val="clear" w:color="auto" w:fill="auto"/>
            <w:vAlign w:val="center"/>
          </w:tcPr>
          <w:p w14:paraId="6EEB984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化学需氧量（COD）</w:t>
            </w:r>
          </w:p>
        </w:tc>
        <w:tc>
          <w:tcPr>
            <w:tcW w:w="1878" w:type="pct"/>
            <w:shd w:val="clear" w:color="auto" w:fill="auto"/>
            <w:vAlign w:val="center"/>
          </w:tcPr>
          <w:p w14:paraId="500DCE6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在线COD传感器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/在线</w:t>
            </w:r>
            <w:r>
              <w:rPr>
                <w:rFonts w:hint="eastAsia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COD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分析仪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/在线全光谱多参数传感器</w:t>
            </w:r>
          </w:p>
        </w:tc>
        <w:tc>
          <w:tcPr>
            <w:tcW w:w="1626" w:type="pct"/>
            <w:shd w:val="clear" w:color="auto" w:fill="auto"/>
            <w:vAlign w:val="center"/>
          </w:tcPr>
          <w:p w14:paraId="3D72162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双波长紫外吸收法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/</w:t>
            </w:r>
            <w:r>
              <w:rPr>
                <w:rFonts w:hint="eastAsia"/>
                <w:sz w:val="21"/>
                <w:szCs w:val="21"/>
                <w:highlight w:val="none"/>
              </w:rPr>
              <w:t>重铬酸盐法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全光谱法</w:t>
            </w:r>
          </w:p>
        </w:tc>
      </w:tr>
      <w:tr w14:paraId="1CEB0B4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7A2BAE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1" w:after="0" w:afterAutospacing="1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氨氮</w:t>
            </w:r>
          </w:p>
        </w:tc>
        <w:tc>
          <w:tcPr>
            <w:tcW w:w="1878" w:type="pct"/>
            <w:shd w:val="clear" w:color="auto" w:fill="auto"/>
            <w:vAlign w:val="center"/>
          </w:tcPr>
          <w:p w14:paraId="4F47D7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1" w:after="0" w:afterAutospacing="1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在线氨氮传感器/在线氨氮分析仪/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在线全光谱多参数传感器</w:t>
            </w:r>
          </w:p>
        </w:tc>
        <w:tc>
          <w:tcPr>
            <w:tcW w:w="1626" w:type="pct"/>
            <w:vAlign w:val="center"/>
          </w:tcPr>
          <w:p w14:paraId="18290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1" w:after="0" w:afterAutospacing="1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离子选择电极/纳氏试剂法/水杨酸法/全光谱</w:t>
            </w:r>
          </w:p>
        </w:tc>
      </w:tr>
      <w:tr w14:paraId="7D4DC0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183E5A0E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总磷</w:t>
            </w:r>
          </w:p>
        </w:tc>
        <w:tc>
          <w:tcPr>
            <w:tcW w:w="1878" w:type="pct"/>
            <w:vAlign w:val="center"/>
          </w:tcPr>
          <w:p w14:paraId="2B118E99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在线总磷分析仪/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在线全光谱多参数传感器</w:t>
            </w:r>
          </w:p>
        </w:tc>
        <w:tc>
          <w:tcPr>
            <w:tcW w:w="1626" w:type="pct"/>
            <w:vAlign w:val="center"/>
          </w:tcPr>
          <w:p w14:paraId="5B98504F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  <w:t>钼酸铵分光光度法</w:t>
            </w: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/全光谱</w:t>
            </w:r>
          </w:p>
        </w:tc>
      </w:tr>
      <w:tr w14:paraId="017A23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123535DF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总氮</w:t>
            </w:r>
          </w:p>
        </w:tc>
        <w:tc>
          <w:tcPr>
            <w:tcW w:w="1878" w:type="pct"/>
            <w:vAlign w:val="center"/>
          </w:tcPr>
          <w:p w14:paraId="10ECC3ED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在线总氮分析仪/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在线全光谱多参数传感器</w:t>
            </w:r>
          </w:p>
        </w:tc>
        <w:tc>
          <w:tcPr>
            <w:tcW w:w="1626" w:type="pct"/>
            <w:vAlign w:val="center"/>
          </w:tcPr>
          <w:p w14:paraId="032EFDF3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  <w:t>紫外分光光度法</w:t>
            </w: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/全光谱</w:t>
            </w:r>
          </w:p>
        </w:tc>
      </w:tr>
      <w:tr w14:paraId="03F4098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763AD888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流量</w:t>
            </w:r>
          </w:p>
        </w:tc>
        <w:tc>
          <w:tcPr>
            <w:tcW w:w="1878" w:type="pct"/>
            <w:vAlign w:val="center"/>
          </w:tcPr>
          <w:p w14:paraId="1134297B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雷达流量计</w:t>
            </w:r>
          </w:p>
        </w:tc>
        <w:tc>
          <w:tcPr>
            <w:tcW w:w="1626" w:type="pct"/>
            <w:vAlign w:val="center"/>
          </w:tcPr>
          <w:p w14:paraId="0312447D">
            <w:pPr>
              <w:spacing w:line="240" w:lineRule="auto"/>
              <w:ind w:firstLine="0" w:firstLineChars="0"/>
              <w:jc w:val="center"/>
              <w:rPr>
                <w:rFonts w:hint="default" w:eastAsia="宋体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雷达</w:t>
            </w:r>
          </w:p>
        </w:tc>
      </w:tr>
      <w:tr w14:paraId="1489F2B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5674F05F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液位</w:t>
            </w:r>
          </w:p>
        </w:tc>
        <w:tc>
          <w:tcPr>
            <w:tcW w:w="1878" w:type="pct"/>
            <w:vAlign w:val="center"/>
          </w:tcPr>
          <w:p w14:paraId="376A9ED3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雷达液位计</w:t>
            </w:r>
          </w:p>
        </w:tc>
        <w:tc>
          <w:tcPr>
            <w:tcW w:w="1626" w:type="pct"/>
            <w:vAlign w:val="center"/>
          </w:tcPr>
          <w:p w14:paraId="1E9EF1CA">
            <w:pPr>
              <w:spacing w:line="240" w:lineRule="auto"/>
              <w:ind w:firstLine="0" w:firstLineChars="0"/>
              <w:jc w:val="center"/>
              <w:rPr>
                <w:rFonts w:hint="eastAsia" w:eastAsia="宋体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雷达</w:t>
            </w:r>
          </w:p>
        </w:tc>
      </w:tr>
      <w:tr w14:paraId="7F0523B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 w14:paraId="2181EC44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便携式监测设备</w:t>
            </w:r>
          </w:p>
        </w:tc>
      </w:tr>
      <w:tr w14:paraId="0BB0B7E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40992BCC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COD</w:t>
            </w:r>
          </w:p>
        </w:tc>
        <w:tc>
          <w:tcPr>
            <w:tcW w:w="1878" w:type="pct"/>
            <w:vMerge w:val="restart"/>
            <w:vAlign w:val="center"/>
          </w:tcPr>
          <w:p w14:paraId="68CA2563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便携式多参数分析仪</w:t>
            </w:r>
          </w:p>
        </w:tc>
        <w:tc>
          <w:tcPr>
            <w:tcW w:w="1626" w:type="pct"/>
            <w:vMerge w:val="restart"/>
            <w:vAlign w:val="center"/>
          </w:tcPr>
          <w:p w14:paraId="4FBCC315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光电比色法</w:t>
            </w:r>
          </w:p>
        </w:tc>
      </w:tr>
      <w:tr w14:paraId="1A4FEC5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3F2396AE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氨氮</w:t>
            </w:r>
          </w:p>
        </w:tc>
        <w:tc>
          <w:tcPr>
            <w:tcW w:w="1878" w:type="pct"/>
            <w:vMerge w:val="continue"/>
            <w:vAlign w:val="center"/>
          </w:tcPr>
          <w:p w14:paraId="1CB2D90D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626" w:type="pct"/>
            <w:vMerge w:val="continue"/>
            <w:vAlign w:val="center"/>
          </w:tcPr>
          <w:p w14:paraId="722318FC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 w14:paraId="457D798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59D2DD8E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总磷</w:t>
            </w:r>
          </w:p>
        </w:tc>
        <w:tc>
          <w:tcPr>
            <w:tcW w:w="1878" w:type="pct"/>
            <w:vMerge w:val="continue"/>
            <w:vAlign w:val="center"/>
          </w:tcPr>
          <w:p w14:paraId="5B65F835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626" w:type="pct"/>
            <w:vMerge w:val="continue"/>
            <w:vAlign w:val="center"/>
          </w:tcPr>
          <w:p w14:paraId="474BA243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 w14:paraId="53F76A2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4" w:type="pct"/>
            <w:vAlign w:val="center"/>
          </w:tcPr>
          <w:p w14:paraId="13A46B08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总氮</w:t>
            </w:r>
          </w:p>
        </w:tc>
        <w:tc>
          <w:tcPr>
            <w:tcW w:w="1878" w:type="pct"/>
            <w:vMerge w:val="continue"/>
            <w:vAlign w:val="center"/>
          </w:tcPr>
          <w:p w14:paraId="171D8101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626" w:type="pct"/>
            <w:vMerge w:val="continue"/>
            <w:vAlign w:val="center"/>
          </w:tcPr>
          <w:p w14:paraId="2C651059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</w:tbl>
    <w:p w14:paraId="39D6AF60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color w:val="auto"/>
          <w:highlight w:val="none"/>
        </w:rPr>
      </w:pPr>
    </w:p>
    <w:p w14:paraId="7FAC930D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13" w:name="_Toc15904"/>
      <w:r>
        <w:rPr>
          <w:rFonts w:hint="eastAsia"/>
          <w:color w:val="auto"/>
          <w:highlight w:val="none"/>
          <w:lang w:val="en-US" w:eastAsia="zh-CN"/>
        </w:rPr>
        <w:t>产品介绍</w:t>
      </w:r>
      <w:bookmarkEnd w:id="12"/>
      <w:bookmarkEnd w:id="13"/>
    </w:p>
    <w:p w14:paraId="5630B0FF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4" w:name="_Toc2266"/>
      <w:r>
        <w:rPr>
          <w:rFonts w:hint="eastAsia"/>
          <w:color w:val="auto"/>
          <w:highlight w:val="none"/>
          <w:lang w:val="en-US" w:eastAsia="zh-CN"/>
        </w:rPr>
        <w:t>技术参数</w:t>
      </w:r>
      <w:bookmarkEnd w:id="14"/>
      <w:bookmarkStart w:id="31" w:name="_GoBack"/>
      <w:bookmarkEnd w:id="31"/>
    </w:p>
    <w:tbl>
      <w:tblPr>
        <w:tblStyle w:val="19"/>
        <w:tblpPr w:leftFromText="180" w:rightFromText="180" w:vertAnchor="text" w:horzAnchor="page" w:tblpX="1768" w:tblpY="614"/>
        <w:tblOverlap w:val="never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185"/>
        <w:gridCol w:w="2754"/>
      </w:tblGrid>
      <w:tr w14:paraId="4C4B2C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7" w:type="pct"/>
            <w:vAlign w:val="center"/>
          </w:tcPr>
          <w:p w14:paraId="65DC507A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2456" w:type="pct"/>
            <w:vAlign w:val="center"/>
          </w:tcPr>
          <w:p w14:paraId="7F7D5261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监测参数</w:t>
            </w:r>
          </w:p>
        </w:tc>
        <w:tc>
          <w:tcPr>
            <w:tcW w:w="1616" w:type="pct"/>
            <w:vAlign w:val="center"/>
          </w:tcPr>
          <w:p w14:paraId="489C29B0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图片示例</w:t>
            </w:r>
          </w:p>
        </w:tc>
      </w:tr>
      <w:tr w14:paraId="78E43C1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vMerge w:val="restart"/>
            <w:shd w:val="clear" w:color="auto" w:fill="auto"/>
            <w:vAlign w:val="center"/>
          </w:tcPr>
          <w:p w14:paraId="023DA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岸边水质监测微站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D437F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  <w:lang w:val="en-US" w:eastAsia="zh-CN"/>
              </w:rPr>
              <w:t>传感器式水质监测微站</w:t>
            </w:r>
          </w:p>
          <w:p w14:paraId="29CD8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在线传感器：PH、浊度、电导率、溶解氧、COD、氨氮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D4F88FC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/>
                <w:highlight w:val="none"/>
                <w:lang w:eastAsia="zh-CN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426210" cy="1172845"/>
                  <wp:effectExtent l="0" t="0" r="2540" b="825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49" t="2660" r="34188" b="11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FB0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6" w:hRule="atLeast"/>
        </w:trPr>
        <w:tc>
          <w:tcPr>
            <w:tcW w:w="927" w:type="pct"/>
            <w:vMerge w:val="continue"/>
            <w:shd w:val="clear" w:color="auto" w:fill="auto"/>
            <w:vAlign w:val="center"/>
          </w:tcPr>
          <w:p w14:paraId="3C4678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56" w:type="pct"/>
            <w:shd w:val="clear" w:color="auto" w:fill="auto"/>
            <w:vAlign w:val="center"/>
          </w:tcPr>
          <w:p w14:paraId="2BA85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  <w:lang w:val="en-US" w:eastAsia="zh-CN"/>
              </w:rPr>
              <w:t>传感器+分析仪式水质监测微站</w:t>
            </w:r>
          </w:p>
          <w:p w14:paraId="2C3B57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可搭载在线传感器及在线分析仪</w:t>
            </w:r>
          </w:p>
          <w:p w14:paraId="275427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在线传感器：PH、浊度、电导率、溶解氧</w:t>
            </w:r>
          </w:p>
          <w:p w14:paraId="6177B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在线COD分析仪：</w:t>
            </w:r>
          </w:p>
          <w:p w14:paraId="3FAEA11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：重铬酸盐法</w:t>
            </w:r>
          </w:p>
          <w:p w14:paraId="2C7B02E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：0.0～2000.00mg/L</w:t>
            </w:r>
          </w:p>
          <w:p w14:paraId="383AC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 水样浓度≥50mg/L，10%；水样浓度＜50mg/L，5mg/L</w:t>
            </w:r>
          </w:p>
          <w:p w14:paraId="1B9B4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在线氨氮分析仪：</w:t>
            </w:r>
          </w:p>
          <w:p w14:paraId="300DB45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：水杨酸分光光度法</w:t>
            </w:r>
          </w:p>
          <w:p w14:paraId="16A90A1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：0～150.00mg/L</w:t>
            </w:r>
          </w:p>
          <w:p w14:paraId="2DF3F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 浓度＜2mg/L，±0.2mg/L；浓度≥2mg/L，≤10%</w:t>
            </w:r>
          </w:p>
          <w:p w14:paraId="1A871D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在线总磷分析仪：</w:t>
            </w:r>
          </w:p>
          <w:p w14:paraId="370885E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：钼酸铵分光光度法</w:t>
            </w:r>
          </w:p>
          <w:p w14:paraId="471800B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：.0～10.0/20.0mg/L</w:t>
            </w:r>
          </w:p>
          <w:p w14:paraId="230630F3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：±10%</w:t>
            </w:r>
          </w:p>
          <w:p w14:paraId="689F6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在线总氮分析仪：</w:t>
            </w:r>
          </w:p>
          <w:p w14:paraId="3D02CF1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：过硫酸钾消解-紫外分光光度法</w:t>
            </w:r>
          </w:p>
          <w:p w14:paraId="532E5BF5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：0.0～50.0/200.0mg/L</w:t>
            </w:r>
          </w:p>
          <w:p w14:paraId="3B0D54BE">
            <w:pPr>
              <w:spacing w:line="240" w:lineRule="auto"/>
              <w:ind w:firstLine="0" w:firstLineChars="0"/>
              <w:jc w:val="left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±</w:t>
            </w:r>
            <w:r>
              <w:rPr>
                <w:rFonts w:hint="eastAsia"/>
                <w:sz w:val="21"/>
                <w:szCs w:val="21"/>
                <w:highlight w:val="none"/>
              </w:rPr>
              <w:t>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0AE2D40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996950" cy="1932940"/>
                  <wp:effectExtent l="0" t="0" r="12700" b="1016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8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3D9A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shd w:val="clear" w:color="auto" w:fill="auto"/>
            <w:vAlign w:val="center"/>
          </w:tcPr>
          <w:p w14:paraId="3CF48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水质监测浮标站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CF396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在线传感器：PH、浊度、电导率、溶解氧、COD、氨氮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F95DB1A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/>
                <w:highlight w:val="none"/>
                <w:lang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763905" cy="1186815"/>
                  <wp:effectExtent l="0" t="0" r="13335" b="1905"/>
                  <wp:docPr id="11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46BC6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927" w:type="pct"/>
            <w:shd w:val="clear" w:color="auto" w:fill="auto"/>
            <w:vAlign w:val="center"/>
          </w:tcPr>
          <w:p w14:paraId="2BBA2615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E5D4B9E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：全光谱吸收法</w:t>
            </w:r>
          </w:p>
          <w:p w14:paraId="184F0034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6C9D27C4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COD：0～200mg/Lequiv. KHP；色度：0～500Hazen；TOC：0～150mg/L；浊度：0～400NTU；BOD：0～150mg/L；UV254：0～1.5AU；TP：0～15mg/L；TN：0～100mg/L；NHN：0～80mg/L；硝酸盐：0～15mg/L；亚硝酸盐：0～10mg/L；CODMn：0～100mg/L</w:t>
            </w:r>
          </w:p>
          <w:p w14:paraId="1752D3D7">
            <w:pPr>
              <w:spacing w:line="240" w:lineRule="auto"/>
              <w:ind w:firstLine="0" w:firstLineChars="0"/>
              <w:jc w:val="left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：±5%F.S.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714A63E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drawing>
                <wp:inline distT="0" distB="0" distL="114300" distR="114300">
                  <wp:extent cx="426085" cy="1622425"/>
                  <wp:effectExtent l="0" t="0" r="0" b="0"/>
                  <wp:docPr id="13" name="图片 7" descr="C:/Users/lina/Desktop/FUV-408-.pngFUV-40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lina/Desktop/FUV-408-.pngFUV-408-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9555" r="30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632AE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atLeast"/>
        </w:trPr>
        <w:tc>
          <w:tcPr>
            <w:tcW w:w="927" w:type="pct"/>
            <w:shd w:val="clear" w:color="auto" w:fill="auto"/>
            <w:vAlign w:val="center"/>
          </w:tcPr>
          <w:p w14:paraId="3ED59D3B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在线PH传感器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2FB3DC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原理：玻璃电极法</w:t>
            </w:r>
          </w:p>
          <w:p w14:paraId="1F27B685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量程：0-14 pH</w:t>
            </w:r>
          </w:p>
          <w:p w14:paraId="378C614F">
            <w:pPr>
              <w:spacing w:line="240" w:lineRule="auto"/>
              <w:ind w:firstLine="0" w:firstLineChars="0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精度：±0.1 pH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19C3E35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  <w:drawing>
                <wp:inline distT="0" distB="0" distL="114300" distR="114300">
                  <wp:extent cx="319405" cy="1323340"/>
                  <wp:effectExtent l="10160" t="246380" r="22860" b="257175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4020000">
                            <a:off x="0" y="0"/>
                            <a:ext cx="31940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9D613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</w:trPr>
        <w:tc>
          <w:tcPr>
            <w:tcW w:w="927" w:type="pct"/>
            <w:shd w:val="clear" w:color="auto" w:fill="auto"/>
            <w:vAlign w:val="center"/>
          </w:tcPr>
          <w:p w14:paraId="744E0B2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在线浊度传感器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63AE96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原理：光散射</w:t>
            </w:r>
          </w:p>
          <w:p w14:paraId="5F04E57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0~1000.0 NTU</w:t>
            </w:r>
          </w:p>
          <w:p w14:paraId="7464B482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±5%或±3 NTU以大者为准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778FFB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58775" cy="1315720"/>
                  <wp:effectExtent l="20955" t="224155" r="34925" b="224790"/>
                  <wp:docPr id="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4140000">
                            <a:off x="0" y="0"/>
                            <a:ext cx="358775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1D307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927" w:type="pct"/>
            <w:shd w:val="clear" w:color="auto" w:fill="auto"/>
            <w:vAlign w:val="center"/>
          </w:tcPr>
          <w:p w14:paraId="514DBEE6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在线电导率传感器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652241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：接触式电极法</w:t>
            </w:r>
          </w:p>
          <w:p w14:paraId="1B000AD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：0～5000 μS/cm</w:t>
            </w:r>
          </w:p>
          <w:p w14:paraId="27FC162F">
            <w:pPr>
              <w:spacing w:line="240" w:lineRule="auto"/>
              <w:ind w:firstLine="0" w:firstLineChars="0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96E8130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  <w:drawing>
                <wp:inline distT="0" distB="0" distL="114300" distR="114300">
                  <wp:extent cx="302260" cy="1303020"/>
                  <wp:effectExtent l="8890" t="233045" r="13970" b="241935"/>
                  <wp:docPr id="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4080000">
                            <a:off x="0" y="0"/>
                            <a:ext cx="306471" cy="131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08C24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vAlign w:val="center"/>
          </w:tcPr>
          <w:p w14:paraId="495C5AC5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E787E4E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原理：荧光法</w:t>
            </w:r>
          </w:p>
          <w:p w14:paraId="677D747F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量程：0～20.00 mg/L</w:t>
            </w:r>
          </w:p>
          <w:p w14:paraId="72D787DA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精度：±2%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7FDD68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82905" cy="1276350"/>
                  <wp:effectExtent l="24130" t="234315" r="25400" b="236220"/>
                  <wp:docPr id="8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8217" b="3108"/>
                          <a:stretch>
                            <a:fillRect/>
                          </a:stretch>
                        </pic:blipFill>
                        <pic:spPr>
                          <a:xfrm rot="4020000">
                            <a:off x="0" y="0"/>
                            <a:ext cx="38290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AB96D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shd w:val="clear" w:color="auto" w:fill="auto"/>
            <w:vAlign w:val="center"/>
          </w:tcPr>
          <w:p w14:paraId="67B99806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在线COD传感器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833D3E5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双波长紫外吸收法</w:t>
            </w:r>
          </w:p>
          <w:p w14:paraId="5FB3154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0～500.0 mg/L</w:t>
            </w:r>
          </w:p>
          <w:p w14:paraId="03E3B70F">
            <w:pPr>
              <w:spacing w:line="240" w:lineRule="auto"/>
              <w:ind w:firstLine="0" w:firstLineChars="0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读数的±5%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C01EF8B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rFonts w:hint="eastAsia" w:ascii="Times New Roman" w:hAnsi="Times New Roman"/>
                <w:highlight w:val="none"/>
              </w:rPr>
              <w:drawing>
                <wp:inline distT="0" distB="0" distL="114300" distR="114300">
                  <wp:extent cx="205740" cy="1293495"/>
                  <wp:effectExtent l="0" t="193675" r="635" b="255905"/>
                  <wp:docPr id="18" name="图片 1" descr="COD-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OD-4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3960000" flipH="1">
                            <a:off x="0" y="0"/>
                            <a:ext cx="20574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705E7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6" w:hRule="atLeast"/>
        </w:trPr>
        <w:tc>
          <w:tcPr>
            <w:tcW w:w="927" w:type="pct"/>
            <w:shd w:val="clear" w:color="auto" w:fill="auto"/>
            <w:vAlign w:val="center"/>
          </w:tcPr>
          <w:p w14:paraId="04E2B252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在线氨氮传感器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91971C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12DD0A7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：0～100.00 mg/L</w:t>
            </w:r>
          </w:p>
          <w:p w14:paraId="0A2719E8">
            <w:pPr>
              <w:spacing w:line="240" w:lineRule="auto"/>
              <w:ind w:firstLine="0" w:firstLineChars="0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：读数的±10%或±1 mg/L 以大者为准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462081C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rFonts w:hint="eastAsia" w:eastAsiaTheme="minorEastAsia"/>
                <w:highlight w:val="none"/>
                <w:lang w:eastAsia="zh-CN"/>
              </w:rPr>
              <w:drawing>
                <wp:inline distT="0" distB="0" distL="114300" distR="114300">
                  <wp:extent cx="392430" cy="1581785"/>
                  <wp:effectExtent l="0" t="92075" r="0" b="186055"/>
                  <wp:docPr id="16" name="图片 16" descr="E:/新建文件夹 (9)/mmexport1716363568522.pngmmexport171636356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:/新建文件夹 (9)/mmexport1716363568522.pngmmexport17163635685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3411" r="33411"/>
                          <a:stretch>
                            <a:fillRect/>
                          </a:stretch>
                        </pic:blipFill>
                        <pic:spPr>
                          <a:xfrm rot="3960000">
                            <a:off x="0" y="0"/>
                            <a:ext cx="39243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B2EEE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927" w:type="pct"/>
            <w:shd w:val="clear" w:color="auto" w:fill="auto"/>
            <w:vAlign w:val="center"/>
          </w:tcPr>
          <w:p w14:paraId="395F25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雷达流量计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9158B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测速范围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0.1～15m/s</w:t>
            </w:r>
          </w:p>
          <w:p w14:paraId="79A556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测距量程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0.1～50m</w:t>
            </w:r>
          </w:p>
          <w:p w14:paraId="1F990A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测距天线波束角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水平角±8 ° ; 俯仰角±10 °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A4317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7115" cy="732155"/>
                  <wp:effectExtent l="0" t="0" r="4445" b="14605"/>
                  <wp:docPr id="77" name="图片 14" descr="微信图片_2024083009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4" descr="微信图片_202408300914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E558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927" w:type="pct"/>
            <w:shd w:val="clear" w:color="auto" w:fill="auto"/>
            <w:vAlign w:val="center"/>
          </w:tcPr>
          <w:p w14:paraId="35AB6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雷达水位计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3837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测量范围：0.1m～65m</w:t>
            </w:r>
          </w:p>
          <w:p w14:paraId="3C12BF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测量精度：±1mm</w:t>
            </w:r>
          </w:p>
          <w:p w14:paraId="5A3FA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波束角度：6°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C9DC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宋体"/>
                <w:b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drawing>
                <wp:inline distT="0" distB="0" distL="114300" distR="114300">
                  <wp:extent cx="586105" cy="593725"/>
                  <wp:effectExtent l="0" t="0" r="8255" b="635"/>
                  <wp:docPr id="78" name="图片 15" descr="微信图片_20240817103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5" descr="微信图片_202408171037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3F955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927" w:type="pct"/>
            <w:shd w:val="clear" w:color="auto" w:fill="auto"/>
            <w:vAlign w:val="center"/>
          </w:tcPr>
          <w:p w14:paraId="3CAA7686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便携式多参数分析仪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BBA256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检测参数：COD、 高锰酸盐指数、氨氮、总磷、总氮、硝酸盐氮、亚硝酸盐氮、磷酸盐、硫酸盐、亚硫酸盐、硫化物、余氯、重金属（铜镍锌锰）等</w:t>
            </w:r>
          </w:p>
          <w:p w14:paraId="09E8351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工作波长范围：420nm 520nm，580nm，610nm；波长半宽度：5±2（nm）；</w:t>
            </w:r>
          </w:p>
          <w:p w14:paraId="3A3F858E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仪器的检测范围：吸光度值0.000-3.000；</w:t>
            </w:r>
          </w:p>
          <w:p w14:paraId="27861F71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光源灯：冷光源；</w:t>
            </w:r>
          </w:p>
          <w:p w14:paraId="350FF66B">
            <w:pPr>
              <w:spacing w:line="240" w:lineRule="auto"/>
              <w:ind w:firstLine="0" w:firstLineChars="0"/>
              <w:jc w:val="left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分辨率：0.001；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54D6517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 w:ascii="Times New Roman" w:hAnsi="Times New Roman" w:eastAsia="宋体"/>
                <w:highlight w:val="none"/>
                <w:lang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bidi="ar"/>
              </w:rPr>
              <w:drawing>
                <wp:inline distT="0" distB="0" distL="114300" distR="114300">
                  <wp:extent cx="828675" cy="1152525"/>
                  <wp:effectExtent l="0" t="0" r="9525" b="5715"/>
                  <wp:docPr id="1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C135D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927" w:type="pct"/>
            <w:shd w:val="clear" w:color="auto" w:fill="auto"/>
            <w:vAlign w:val="center"/>
          </w:tcPr>
          <w:p w14:paraId="3DFE0589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手持式</w:t>
            </w:r>
            <w:r>
              <w:rPr>
                <w:rFonts w:hint="eastAsia"/>
                <w:sz w:val="21"/>
                <w:szCs w:val="21"/>
                <w:highlight w:val="none"/>
              </w:rPr>
              <w:t>多参数检测仪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DA4B2F3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显示：3.3 英寸单色液晶显示屏</w:t>
            </w:r>
          </w:p>
          <w:p w14:paraId="01C07629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外形尺寸：200mm*101mm*36mm</w:t>
            </w:r>
          </w:p>
          <w:p w14:paraId="614D9EFE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防护等级：IP67</w:t>
            </w:r>
          </w:p>
          <w:p w14:paraId="013D73D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连接设备：全系传感器式设备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C7E9605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/>
                <w:sz w:val="28"/>
                <w:szCs w:val="28"/>
                <w:highlight w:val="none"/>
                <w:lang w:bidi="ar"/>
              </w:rPr>
              <w:drawing>
                <wp:inline distT="0" distB="0" distL="114300" distR="114300">
                  <wp:extent cx="613410" cy="1115695"/>
                  <wp:effectExtent l="0" t="0" r="11430" b="12065"/>
                  <wp:docPr id="15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7EFCF">
      <w:pPr>
        <w:rPr>
          <w:rFonts w:hint="eastAsia"/>
          <w:highlight w:val="none"/>
          <w:lang w:val="en-US" w:eastAsia="zh-CN"/>
        </w:rPr>
      </w:pPr>
    </w:p>
    <w:p w14:paraId="7056D658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5" w:name="_Toc21015"/>
      <w:bookmarkStart w:id="16" w:name="_Toc6151"/>
      <w:r>
        <w:rPr>
          <w:rFonts w:hint="eastAsia"/>
          <w:color w:val="auto"/>
          <w:highlight w:val="none"/>
          <w:lang w:val="en-US" w:eastAsia="zh-CN"/>
        </w:rPr>
        <w:t>场景适配性</w:t>
      </w:r>
      <w:bookmarkEnd w:id="15"/>
      <w:bookmarkEnd w:id="16"/>
    </w:p>
    <w:p w14:paraId="20669941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地表水在线监测场景具有水域类型多样、环境条件复杂、监测需求差异化的特点。本方案通过设备选型优化、功能模块化设计、部署方式灵活调整，实现对不同场景的精准适配：</w:t>
      </w:r>
    </w:p>
    <w:p w14:paraId="460C3AFF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1.环境适应性</w:t>
      </w:r>
    </w:p>
    <w:p w14:paraId="3C270B06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针对河流、湖泊、水库等不同水体形态，采用浮标式、岸边式、便携式等多种监测形态，适应开阔水域、狭窄河道、无固定安装点等场景。</w:t>
      </w:r>
    </w:p>
    <w:p w14:paraId="687F67D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设备具备IP67/IP68防护等级，可抵御暴雨、高温、低温等极端天气，耐受高浊度、腐蚀性水质环境。</w:t>
      </w:r>
    </w:p>
    <w:p w14:paraId="4E2B4FB1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2. 监测需求适配</w:t>
      </w:r>
    </w:p>
    <w:p w14:paraId="762C846E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常规监测：覆盖pH、溶解氧、电导率等基础参数，满足地表水水质分级评价需求。</w:t>
      </w:r>
    </w:p>
    <w:p w14:paraId="52BFC64B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3. 部署灵活性</w:t>
      </w:r>
    </w:p>
    <w:p w14:paraId="07ACA8E3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可通过太阳能、市电、电池等多模式供电，适应偏远地区或电力不稳定区域。</w:t>
      </w:r>
    </w:p>
    <w:p w14:paraId="2F121F1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支持5G/NB-IoT/北斗等多种通信方式，确保数据实时回传，满足应急监测与长期预警需求。</w:t>
      </w:r>
    </w:p>
    <w:p w14:paraId="15B94C59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4. 成本与效率平衡</w:t>
      </w:r>
    </w:p>
    <w:p w14:paraId="4B00A31F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全光谱传感器实现多参数集成，减少设备数量与维护成本。  </w:t>
      </w:r>
    </w:p>
    <w:p w14:paraId="1B6AB3E9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便携式设备与在线设备协同，兼顾快速响应（如应急检测）与长期自动化监测（如水质趋势分析）。</w:t>
      </w:r>
    </w:p>
    <w:p w14:paraId="1BA7F2BD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5. 数据应用支撑</w:t>
      </w:r>
    </w:p>
    <w:p w14:paraId="6CC7CE46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与水文监测设备（如雷达流量计）联动，提供水质-水量耦合数据，支撑流域污染扩散模型构建。</w:t>
      </w:r>
    </w:p>
    <w:p w14:paraId="0B9147D0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模块化设计支持参数扩展，可根据政策要求或区域特征动态调整监测指标（如增加重金属、VOCs等）。</w:t>
      </w:r>
    </w:p>
    <w:p w14:paraId="7E29757E">
      <w:pPr>
        <w:bidi w:val="0"/>
        <w:rPr>
          <w:rFonts w:hint="default"/>
          <w:color w:val="auto"/>
          <w:highlight w:val="none"/>
          <w:lang w:val="en-US" w:eastAsia="zh-CN"/>
        </w:rPr>
      </w:pPr>
    </w:p>
    <w:p w14:paraId="7A6B9756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17" w:name="_Toc4510"/>
      <w:bookmarkStart w:id="18" w:name="_Toc27010"/>
      <w:r>
        <w:rPr>
          <w:rFonts w:hint="eastAsia"/>
          <w:color w:val="auto"/>
          <w:highlight w:val="none"/>
          <w:lang w:val="en-US" w:eastAsia="zh-CN"/>
        </w:rPr>
        <w:t>设备寿命及维护</w:t>
      </w:r>
      <w:bookmarkEnd w:id="17"/>
      <w:bookmarkEnd w:id="18"/>
    </w:p>
    <w:p w14:paraId="31BBC612">
      <w:pPr>
        <w:pStyle w:val="3"/>
        <w:rPr>
          <w:rFonts w:hint="eastAsia"/>
          <w:color w:val="auto"/>
          <w:highlight w:val="none"/>
        </w:rPr>
      </w:pPr>
      <w:bookmarkStart w:id="19" w:name="_Toc4083"/>
      <w:bookmarkStart w:id="20" w:name="_Toc26955"/>
      <w:r>
        <w:rPr>
          <w:rFonts w:hint="eastAsia"/>
          <w:color w:val="auto"/>
          <w:highlight w:val="none"/>
        </w:rPr>
        <w:t>设备寿命周期与维护周期表</w:t>
      </w:r>
      <w:bookmarkEnd w:id="19"/>
      <w:bookmarkEnd w:id="20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2839"/>
        <w:gridCol w:w="2841"/>
      </w:tblGrid>
      <w:tr w14:paraId="2804871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0BAA8027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1666" w:type="pct"/>
            <w:vAlign w:val="center"/>
          </w:tcPr>
          <w:p w14:paraId="270302F4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维护周期</w:t>
            </w:r>
          </w:p>
        </w:tc>
        <w:tc>
          <w:tcPr>
            <w:tcW w:w="1667" w:type="pct"/>
            <w:vAlign w:val="center"/>
          </w:tcPr>
          <w:p w14:paraId="3995199E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使用寿命</w:t>
            </w:r>
          </w:p>
        </w:tc>
      </w:tr>
      <w:tr w14:paraId="0024CE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62C6FBA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A29719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BB0DEC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  <w:tr w14:paraId="37E7299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50C00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在线PH传感器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1BE9C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88A9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1年</w:t>
            </w:r>
          </w:p>
        </w:tc>
      </w:tr>
      <w:tr w14:paraId="67E60A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3A337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在线浊度传感器</w:t>
            </w:r>
          </w:p>
        </w:tc>
        <w:tc>
          <w:tcPr>
            <w:tcW w:w="1666" w:type="pct"/>
            <w:vAlign w:val="center"/>
          </w:tcPr>
          <w:p w14:paraId="629A0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495BF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695445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7F2F1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在线电导率传感器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DA6B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0716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1041A3D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74F8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在线溶解氧传感器</w:t>
            </w:r>
          </w:p>
        </w:tc>
        <w:tc>
          <w:tcPr>
            <w:tcW w:w="1666" w:type="pct"/>
            <w:vAlign w:val="center"/>
          </w:tcPr>
          <w:p w14:paraId="3144F3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3D3E0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71293EA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17705CC0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在线COD传感器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CA2E5C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054D2D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  <w:tr w14:paraId="1CF435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565537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在线氨氮传感器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E31A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2BB77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半年</w:t>
            </w:r>
          </w:p>
        </w:tc>
      </w:tr>
      <w:tr w14:paraId="578E61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EE9148F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在线COD分析仪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6BEE09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349BA8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3-5年</w:t>
            </w:r>
          </w:p>
        </w:tc>
      </w:tr>
      <w:tr w14:paraId="5B5DF6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11BE4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在线氨氮分析仪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9D4CF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1299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2CC2486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621A1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在线总磷分析仪</w:t>
            </w:r>
          </w:p>
        </w:tc>
        <w:tc>
          <w:tcPr>
            <w:tcW w:w="1666" w:type="pct"/>
            <w:vAlign w:val="center"/>
          </w:tcPr>
          <w:p w14:paraId="181D1F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vAlign w:val="center"/>
          </w:tcPr>
          <w:p w14:paraId="4272B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179053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CE3E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在线总氮分析仪</w:t>
            </w:r>
          </w:p>
        </w:tc>
        <w:tc>
          <w:tcPr>
            <w:tcW w:w="1666" w:type="pct"/>
            <w:vAlign w:val="center"/>
          </w:tcPr>
          <w:p w14:paraId="4F79C1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vAlign w:val="center"/>
          </w:tcPr>
          <w:p w14:paraId="49F80E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6B3D0A0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0B57B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雷达流量计</w:t>
            </w:r>
          </w:p>
        </w:tc>
        <w:tc>
          <w:tcPr>
            <w:tcW w:w="1666" w:type="pct"/>
            <w:vAlign w:val="center"/>
          </w:tcPr>
          <w:p w14:paraId="001EC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231956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077E94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18C0B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雷达液位计</w:t>
            </w:r>
          </w:p>
        </w:tc>
        <w:tc>
          <w:tcPr>
            <w:tcW w:w="1666" w:type="pct"/>
            <w:vAlign w:val="center"/>
          </w:tcPr>
          <w:p w14:paraId="73310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7882FF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4A431BD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9" w:type="dxa"/>
            <w:vAlign w:val="center"/>
          </w:tcPr>
          <w:p w14:paraId="7C1A3ECC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便携式多参数分析仪</w:t>
            </w:r>
          </w:p>
        </w:tc>
        <w:tc>
          <w:tcPr>
            <w:tcW w:w="2839" w:type="dxa"/>
            <w:vAlign w:val="center"/>
          </w:tcPr>
          <w:p w14:paraId="0354F02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2841" w:type="dxa"/>
            <w:vAlign w:val="center"/>
          </w:tcPr>
          <w:p w14:paraId="28D5465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</w:tbl>
    <w:p w14:paraId="5DFA4311">
      <w:pPr>
        <w:rPr>
          <w:rFonts w:hint="eastAsia"/>
          <w:highlight w:val="none"/>
        </w:rPr>
      </w:pPr>
    </w:p>
    <w:p w14:paraId="1BABF46B">
      <w:pPr>
        <w:pStyle w:val="3"/>
        <w:rPr>
          <w:rFonts w:hint="eastAsia"/>
          <w:color w:val="auto"/>
          <w:highlight w:val="none"/>
        </w:rPr>
      </w:pPr>
      <w:bookmarkStart w:id="21" w:name="_Toc29275"/>
      <w:bookmarkStart w:id="22" w:name="_Toc2454"/>
      <w:r>
        <w:rPr>
          <w:rFonts w:hint="eastAsia"/>
          <w:color w:val="auto"/>
          <w:highlight w:val="none"/>
          <w:lang w:val="en-US" w:eastAsia="zh-CN"/>
        </w:rPr>
        <w:t>设备</w:t>
      </w:r>
      <w:r>
        <w:rPr>
          <w:rFonts w:hint="eastAsia"/>
          <w:color w:val="auto"/>
          <w:highlight w:val="none"/>
        </w:rPr>
        <w:t>日常维护</w:t>
      </w:r>
      <w:bookmarkEnd w:id="21"/>
      <w:bookmarkEnd w:id="22"/>
    </w:p>
    <w:p w14:paraId="407DD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在线全光谱多参数传感器</w:t>
      </w:r>
    </w:p>
    <w:p w14:paraId="410A3761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（1）定期用自来水清洗外表面，若有碎屑残留，用湿润软布擦拭；顽固污垢可加家用洗涤液清洗。</w:t>
      </w:r>
    </w:p>
    <w:p w14:paraId="46AD25D5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（2）查看线缆是否绷紧、测量窗口有无脏污、清洁刷是否正常及有无损坏。</w:t>
      </w:r>
    </w:p>
    <w:p w14:paraId="2DA7D3B4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（3）校准传感器，在使用前将传感器置入去离子水，保证光路浸没且无气泡，发送光谱校准指令完成校准。</w:t>
      </w:r>
    </w:p>
    <w:p w14:paraId="22B78E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在线PH传感器</w:t>
      </w:r>
    </w:p>
    <w:p w14:paraId="2516CE0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（1）测量前用蒸馏水洗净并擦干传感器，插入被测液1/3深度，防杂质污染。</w:t>
      </w:r>
    </w:p>
    <w:p w14:paraId="757EFC09">
      <w:pPr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（2）闲置保养，洗净后浸泡于3mol/L氯化钾溶液中（保护套或容器），维持电极性能。</w:t>
      </w:r>
    </w:p>
    <w:p w14:paraId="79203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在线浊度传感器</w:t>
      </w:r>
    </w:p>
    <w:p w14:paraId="6E542AF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（1）外表面清洁自来水冲洗表面，软布擦拭残留碎屑，顽固污垢可用稀释家用洗涤液清洗。  </w:t>
      </w:r>
    </w:p>
    <w:p w14:paraId="398D667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（2）线缆检查确保线缆松弛无绷紧，避免内部断裂导致故障。  </w:t>
      </w:r>
    </w:p>
    <w:p w14:paraId="0D72322D">
      <w:pPr>
        <w:bidi w:val="0"/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（3）测量窗口维护检查测量窗口是否脏污，清洁刷是否正常工作。</w:t>
      </w:r>
    </w:p>
    <w:p w14:paraId="304F3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在线电导率传感器</w:t>
      </w:r>
    </w:p>
    <w:p w14:paraId="123065F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（1）用软毛刷清除附着物（防划伤），蒸馏水洗净后校准。  </w:t>
      </w:r>
    </w:p>
    <w:p w14:paraId="33282487">
      <w:pPr>
        <w:bidi w:val="0"/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（2）根据工况调整校准频率，确保测量准确性。</w:t>
      </w:r>
    </w:p>
    <w:p w14:paraId="484C46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1B768314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（1）使用后及时安装电极保护套，保证套内海绵湿润；新传感器需在自来水中活化24小时，确保测试准确性。</w:t>
      </w:r>
    </w:p>
    <w:p w14:paraId="65200647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（2）测试时将传感器置于水中，避免长时间测试空气；测量和校准时，防止荧光膜表面附着气泡；测试中避免荧光膜头受摩擦刮伤，野外测试时膜头离水底30公分以上。</w:t>
      </w:r>
    </w:p>
    <w:p w14:paraId="162EC12B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（3）检查线缆是否绷紧或与硬物摩擦，确保正常安装时线缆处于合适状态，防止内部电线断裂或表皮破损进水。</w:t>
      </w:r>
    </w:p>
    <w:p w14:paraId="74BBDA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在线COD传感器</w:t>
      </w:r>
    </w:p>
    <w:p w14:paraId="7A7BF56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（1）测量时保证待测溶液完全没过 COD 的上、下石英片。</w:t>
      </w:r>
    </w:p>
    <w:p w14:paraId="63D25D1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（2）测量时确保 COD 的石英片干净，无异物、无气泡。</w:t>
      </w:r>
    </w:p>
    <w:p w14:paraId="0695FC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在线氨氮传感器</w:t>
      </w:r>
    </w:p>
    <w:p w14:paraId="4C95726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（1）摘掉电极保护套，在清水中浸泡2小时活化，去离子水洗净后测试，初次用需在清水中泡30分钟以上、12小时以内。</w:t>
      </w:r>
    </w:p>
    <w:p w14:paraId="72236911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（2）长期（超两周）不用干燥储存，套上保护帽；短期不用放清水中浸泡；几天不用用含保护液外壳保存，下次用前清水泡30分钟以上。</w:t>
      </w:r>
    </w:p>
    <w:p w14:paraId="705A9D4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（3）检查接线端子干燥情况，沾污时用无水酒精擦拭吹干。</w:t>
      </w:r>
    </w:p>
    <w:p w14:paraId="5E3C8F2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（4）PVC膜半透明或有沉积物，用蒸馏水（或去离子水）冲洗。</w:t>
      </w:r>
    </w:p>
    <w:p w14:paraId="7CD3206B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（5）电极使用久出现测量误差，须进行校正。</w:t>
      </w:r>
    </w:p>
    <w:p w14:paraId="26B35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（6）校准时放校准液中轻晃、静置，待读数稳定（约5分钟）再校准。</w:t>
      </w:r>
    </w:p>
    <w:p w14:paraId="7F2C7C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在线COD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氨氮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总磷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总氮分析仪</w:t>
      </w:r>
    </w:p>
    <w:p w14:paraId="09AE181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（1）定期用温和的清洁剂清洗仪器外部，去除灰尘和污渍。</w:t>
      </w:r>
    </w:p>
    <w:p w14:paraId="76DFDDE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（2）检查试剂余量，及时添加或更换。注意试剂保质期，避免使用过期试剂。定期更换试剂管路，防止堵塞和交叉污染，更换频率根据使用情况确定。</w:t>
      </w:r>
    </w:p>
    <w:p w14:paraId="05520C0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（3）按照仪器使用手册规定的时间进行校准，包括零点校准和量程校准，使用标准溶液进行操作，确保测量结果的准确性。</w:t>
      </w:r>
    </w:p>
    <w:p w14:paraId="22809848">
      <w:pPr>
        <w:ind w:firstLine="480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/>
          <w:highlight w:val="none"/>
        </w:rPr>
        <w:t>（4）检查采样泵、蠕动泵等部件的工作状态，查看是否有泄漏、异常噪音或磨损。检查仪器的连接部件是否松动，及时紧固，保证仪器稳定运行。</w:t>
      </w:r>
    </w:p>
    <w:p w14:paraId="6DDC1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</w:rPr>
        <w:t>雷达流量计</w:t>
      </w:r>
      <w:r>
        <w:rPr>
          <w:rFonts w:hint="eastAsia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液位计</w:t>
      </w:r>
    </w:p>
    <w:p w14:paraId="0E66972E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（1）定期用柔软干布擦拭雷达流量计的天线和外壳，清除灰尘、污垢，避免影响信号发射与接收。若有顽固污渍，用湿布蘸温和清洁剂轻轻擦拭，之后擦干。</w:t>
      </w:r>
    </w:p>
    <w:p w14:paraId="507DA845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（2）检查安装位置是否偏移，确保设备稳固安装在指定位置，且对准测量区域。查看安装支架有无松动、变形，及时紧固或修复。</w:t>
      </w:r>
    </w:p>
    <w:p w14:paraId="20ED1279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（3）检查连接线缆是否破损、老化，接线处是否松动。若发现问题，及时更换线缆或紧固接线，保证信号传输稳定。</w:t>
      </w:r>
    </w:p>
    <w:p w14:paraId="20DCE70D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（4）定期分析测量数据，观察数据变化趋势。若数据异常波动或与实际不符，排查设备故障或测量环境变化因素。</w:t>
      </w:r>
    </w:p>
    <w:p w14:paraId="32EE833C">
      <w:pPr>
        <w:ind w:firstLine="0" w:firstLineChars="0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便携式多参数分析仪</w:t>
      </w:r>
    </w:p>
    <w:p w14:paraId="580D7483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（1）平常不用时拔掉电源插头。若有反应液体溅到载物台或仪器外壁，及时用湿抹布擦去，必要时消毒。每次使用完毕用湿抹布擦拭保持洁净。</w:t>
      </w:r>
    </w:p>
    <w:p w14:paraId="15DC1935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仪器有开机自检功能，出现故障时，依据故障提示或常见故障排查方法处理。如水质检测仪不能启动，检查电源；自检不正常，查看光源灯、重新设置波长值或更换滤光片；检测结果不正确，根据具体原因更换光源灯、滤光片、试剂，排除干扰源，重新校准标定或处理样本；</w:t>
      </w:r>
    </w:p>
    <w:p w14:paraId="49E3E056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本仪器属于计量类仪器，出现检测结果超出规定范围、实验条件改变、用标准溶液检验出现误差等情形时，需使用标准溶液重新进行校准和标定，标液可选用国家标物中心发行的质控品、从厂家购买或用户自行配置（配置应严格按照对应检测项目最新版本的环境标准），以保证测定结果的准确性。</w:t>
      </w:r>
    </w:p>
    <w:p w14:paraId="113AE88B">
      <w:pPr>
        <w:bidi w:val="0"/>
        <w:rPr>
          <w:rFonts w:hint="eastAsia"/>
          <w:highlight w:val="none"/>
        </w:rPr>
      </w:pPr>
    </w:p>
    <w:p w14:paraId="448D0CBF">
      <w:pPr>
        <w:pStyle w:val="3"/>
        <w:rPr>
          <w:rFonts w:hint="eastAsia"/>
          <w:color w:val="auto"/>
          <w:highlight w:val="none"/>
        </w:rPr>
      </w:pPr>
      <w:bookmarkStart w:id="23" w:name="_Toc20591"/>
      <w:bookmarkStart w:id="24" w:name="_Toc5850"/>
      <w:r>
        <w:rPr>
          <w:rFonts w:hint="eastAsia"/>
          <w:color w:val="auto"/>
          <w:highlight w:val="none"/>
          <w:lang w:val="en-US" w:eastAsia="zh-CN"/>
        </w:rPr>
        <w:t>设备</w:t>
      </w:r>
      <w:r>
        <w:rPr>
          <w:rFonts w:hint="eastAsia"/>
          <w:color w:val="auto"/>
          <w:highlight w:val="none"/>
        </w:rPr>
        <w:t>维护注意事项</w:t>
      </w:r>
      <w:bookmarkEnd w:id="23"/>
      <w:bookmarkEnd w:id="24"/>
    </w:p>
    <w:p w14:paraId="56A22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在线全光谱多参数传感器</w:t>
      </w:r>
    </w:p>
    <w:p w14:paraId="33F771BF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（1）防止传感器受到剧烈机械撞击，使用中避免对其直接施加机械应力（压力、划痕等）。</w:t>
      </w:r>
    </w:p>
    <w:p w14:paraId="2CE52806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（2）避免传感器被阳光暴晒，不要用手触摸传感器。</w:t>
      </w:r>
    </w:p>
    <w:p w14:paraId="4A5DFCE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（3）测量和校准时，确保传感器表面无气泡附着。</w:t>
      </w:r>
    </w:p>
    <w:p w14:paraId="4A073B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在线PH传感器</w:t>
      </w:r>
    </w:p>
    <w:p w14:paraId="5D04BD8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（1）用无水酒精擦拭接线端子上的沾污，确保干燥后使用。</w:t>
      </w:r>
    </w:p>
    <w:p w14:paraId="68B481C0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（2）勿长期浸泡蒸馏水/蛋白质溶液，远离有机硅油脂。</w:t>
      </w:r>
    </w:p>
    <w:p w14:paraId="59F94A8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（3）玻璃膜老化/沉积时，用稀盐酸清洗后水洗，必要时重新标定。</w:t>
      </w:r>
    </w:p>
    <w:p w14:paraId="196313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在线浊度传感器</w:t>
      </w:r>
    </w:p>
    <w:p w14:paraId="6E081AD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（1）使用时取下保护套，闲置时及时安装，防止探头划伤。  </w:t>
      </w:r>
    </w:p>
    <w:p w14:paraId="355968E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（2）避免探头附着气泡，保持探头离容器底/壁≥100mm。  </w:t>
      </w:r>
    </w:p>
    <w:p w14:paraId="6E0EAC9E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（3）避免剧烈撞击，防止光学/电子部件损坏。  </w:t>
      </w:r>
    </w:p>
    <w:p w14:paraId="3904AC81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（4）禁止在含荧光物质的容器中测试，防止干扰。  </w:t>
      </w:r>
    </w:p>
    <w:p w14:paraId="2D83CD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在线电导率传感器</w:t>
      </w:r>
    </w:p>
    <w:p w14:paraId="19016FE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（1）校准与测试时电极需完全浸入标准液（无气泡），距容器底/壁≥2cm。  </w:t>
      </w:r>
    </w:p>
    <w:p w14:paraId="23A8AEA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（2）石墨电极使用前需用自来水浸泡1小时，闲置时保持湿润。  </w:t>
      </w:r>
    </w:p>
    <w:p w14:paraId="3C7EECC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（3） 非防水端子避免浸水，线缆需松弛固定，防止摩擦或断裂。  </w:t>
      </w:r>
    </w:p>
    <w:p w14:paraId="2FA9019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（4）避免与有机硅油脂接触。  </w:t>
      </w:r>
    </w:p>
    <w:p w14:paraId="24EC4E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4FE1C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（1）传感器含有敏感部件，安装和测量时避免其受到剧烈机械撞击。</w:t>
      </w:r>
    </w:p>
    <w:p w14:paraId="79108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 xml:space="preserve">（2）防止荧光帽内表面被阳光暴晒，不要用手触摸荧光膜；未做防水处理的接线端子不能没入水中，避免线缆进水影响设备正常工作。 </w:t>
      </w:r>
    </w:p>
    <w:p w14:paraId="4EBEB0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在线COD传感器</w:t>
      </w:r>
    </w:p>
    <w:p w14:paraId="0A44A8F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（1）水流较急时固定传感器，防止损坏。</w:t>
      </w:r>
    </w:p>
    <w:p w14:paraId="0713CFA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（2）禁止用传感器电缆吊装传感器，确保线缆接头紧固。</w:t>
      </w:r>
    </w:p>
    <w:p w14:paraId="1E11CFB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（3）探头含敏感光学和电子部件，避免受到剧烈机械撞击，且探头内部无需用户维护。</w:t>
      </w:r>
    </w:p>
    <w:p w14:paraId="2C59C8F1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（4）使用中避免对传感器直接施加机械应力。</w:t>
      </w:r>
    </w:p>
    <w:p w14:paraId="7D7C26A6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（5）传感器用 12VDC 电源供电时尾线线缆极限长度 150M，超长度需适当增加电压以保证正常工作 。</w:t>
      </w:r>
    </w:p>
    <w:p w14:paraId="3631D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在线氨氮传感器</w:t>
      </w:r>
    </w:p>
    <w:p w14:paraId="507BC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（1）膜头用去离子水清洗，勿碰伤，测量时距底部至少2cm，敏感膜内无气泡，可轻敲除泡。</w:t>
      </w:r>
    </w:p>
    <w:p w14:paraId="4A926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（2）避免放腐蚀性、能腐蚀PVC溶液（如强酸），酮类及饱和有机物溶液（如四氢呋喃、蛋白质溶液），强电磁和核辐射环境；不建议在成分复杂液体（如海水、电镀废水）长期放置。</w:t>
      </w:r>
    </w:p>
    <w:p w14:paraId="3BB1A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（3）检查通讯时，两电极须浸泡在溶液中。</w:t>
      </w:r>
    </w:p>
    <w:p w14:paraId="0777B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（4）标液有使用次数限制，1mg/L的2次/瓶、10mg/L的4次/瓶、100mg/L的6次/瓶。</w:t>
      </w:r>
    </w:p>
    <w:p w14:paraId="73B04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（5）注意保护参比电极外漏白色布条，勿揪出损坏。 </w:t>
      </w:r>
    </w:p>
    <w:p w14:paraId="6A762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（6）防止电极长期浸泡在蒸馏水或蛋白质溶液中，避免与有机硅油脂接触。</w:t>
      </w:r>
    </w:p>
    <w:p w14:paraId="7159CD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在线COD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氨氮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总磷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总氮分析仪</w:t>
      </w:r>
    </w:p>
    <w:p w14:paraId="1F7252E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（1）严格按照操作手册进行操作，避免误操作损坏仪器。维护过程中如需接触试剂，应佩戴防护手套和护目镜，防止试剂腐蚀。</w:t>
      </w:r>
    </w:p>
    <w:p w14:paraId="7FE27F3D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（2）仪器应安装在干燥、通风良好的环境中，避免阳光直射和高温高湿环境。远离强电磁场干扰源，防止影响测量精度。</w:t>
      </w:r>
    </w:p>
    <w:p w14:paraId="2F3850E1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（3）仪器出现故障时，不要擅自拆解维修，应联系专业维修人员。记录故障现象和发生时间，为维修提供参考。</w:t>
      </w:r>
    </w:p>
    <w:p w14:paraId="3CBF2676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（4）定期检查仪器的接地情况，确保使用安全。对废弃试剂进行妥善处理，按照环保要求进行回收或中和排放，避免污染环境。</w:t>
      </w:r>
    </w:p>
    <w:p w14:paraId="427015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</w:rPr>
        <w:t>雷达流量计</w:t>
      </w:r>
      <w:r>
        <w:rPr>
          <w:rFonts w:hint="eastAsia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液位计</w:t>
      </w:r>
    </w:p>
    <w:p w14:paraId="681429B0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（1）严格按照操作手册进行操作，维护前切断电源，避免带电操作引发危险。非专业人员不要擅自拆解设备。</w:t>
      </w:r>
    </w:p>
    <w:p w14:paraId="6CC51E9F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（2）避免设备在强电磁干扰环境下工作，远离大型电机、变压器等设备。同时，做好防水、防晒措施，防止因恶劣天气损坏设备。</w:t>
      </w:r>
    </w:p>
    <w:p w14:paraId="44BB1FB1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（3）按照规定的时间间隔进行校准，使用专业校准设备和方法，确保测量精度。校准过程需由专业人员操作。</w:t>
      </w:r>
    </w:p>
    <w:p w14:paraId="07ABF8D4">
      <w:pPr>
        <w:bidi w:val="0"/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</w:rPr>
        <w:t xml:space="preserve">（4）设备出现故障时，及时记录故障现象，联系厂家或专业维修人员进行维修，不可自行尝试修复，以免造成更大损坏。 </w:t>
      </w:r>
    </w:p>
    <w:p w14:paraId="1777E60C">
      <w:pPr>
        <w:ind w:firstLine="0" w:firstLineChars="0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便携式多参数分析仪</w:t>
      </w:r>
    </w:p>
    <w:p w14:paraId="326F4DC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（1）仪器的维修需要专业人员操作，非专业人员请勿自行维修。维修或因其他原因拆卸外壳时必须切断电源。</w:t>
      </w:r>
    </w:p>
    <w:p w14:paraId="6EF5924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（2）使用设备前做好防护措施，避免接触质量控制物、标准样本、废弃液体等可能有生物危害、腐蚀或有毒的物质。使用本仪器配套或推荐的试剂，禁止在强辐射源旁使用设备。</w:t>
      </w:r>
    </w:p>
    <w:p w14:paraId="0C99345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仪器正常工作环境温度为5℃～40℃，相对湿度30%～80%，需远离强电磁场干扰源，工作场地防尘、防振，空气中无酸、盐等腐蚀性气体。运输时包装完好，防止剧烈冲击、雨淋和暴晒，中转时合理堆放。贮存时放置在阴凉干燥、防湿通风处，不能露天堆放，避免雨雪浸入，贮存运输环境温度 -20℃～ +55℃，相对湿度≤93%，无腐蚀性气体且通风良好。</w:t>
      </w:r>
    </w:p>
    <w:p w14:paraId="768C9BB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（4）请勿让任何溶剂、油脂类、腐蚀性物质接触仪器。仪器使用期限为6年，效期结束后按规定处理或联系回收，避免污染环境。 </w:t>
      </w:r>
    </w:p>
    <w:p w14:paraId="5FBF8ED2">
      <w:pPr>
        <w:bidi w:val="0"/>
        <w:rPr>
          <w:rFonts w:hint="eastAsia" w:ascii="宋体" w:hAnsi="宋体" w:eastAsia="宋体" w:cs="宋体"/>
          <w:highlight w:val="none"/>
          <w:lang w:val="en-US" w:eastAsia="zh-CN"/>
        </w:rPr>
      </w:pPr>
    </w:p>
    <w:p w14:paraId="536B31F0">
      <w:pPr>
        <w:pStyle w:val="2"/>
        <w:bidi w:val="0"/>
        <w:rPr>
          <w:rFonts w:hint="default"/>
          <w:color w:val="auto"/>
          <w:highlight w:val="none"/>
          <w:lang w:val="en-US" w:eastAsia="zh-CN"/>
        </w:rPr>
      </w:pPr>
      <w:bookmarkStart w:id="25" w:name="_Toc23143"/>
      <w:bookmarkStart w:id="26" w:name="_Toc18219"/>
      <w:r>
        <w:rPr>
          <w:rFonts w:hint="eastAsia"/>
          <w:color w:val="auto"/>
          <w:highlight w:val="none"/>
          <w:lang w:val="en-US" w:eastAsia="zh-CN"/>
        </w:rPr>
        <w:t>案例展示</w:t>
      </w:r>
      <w:bookmarkEnd w:id="25"/>
      <w:bookmarkEnd w:id="26"/>
    </w:p>
    <w:p w14:paraId="2E3B16A2">
      <w:pPr>
        <w:pStyle w:val="3"/>
        <w:bidi w:val="0"/>
        <w:rPr>
          <w:rFonts w:hint="default"/>
          <w:highlight w:val="none"/>
          <w:lang w:val="en-US" w:eastAsia="zh-CN"/>
        </w:rPr>
      </w:pPr>
      <w:bookmarkStart w:id="27" w:name="_Toc18"/>
      <w:bookmarkStart w:id="28" w:name="_Toc32723"/>
      <w:r>
        <w:rPr>
          <w:rFonts w:hint="eastAsia"/>
          <w:highlight w:val="none"/>
          <w:lang w:val="en-US" w:eastAsia="zh-CN"/>
        </w:rPr>
        <w:t>天津市某河道水质在线监测</w:t>
      </w:r>
      <w:bookmarkEnd w:id="27"/>
      <w:bookmarkEnd w:id="28"/>
    </w:p>
    <w:p w14:paraId="5BB1E6DE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案例背景：</w:t>
      </w:r>
    </w:p>
    <w:p w14:paraId="148692BD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河流</w:t>
      </w:r>
      <w:r>
        <w:rPr>
          <w:rFonts w:hint="eastAsia"/>
          <w:highlight w:val="none"/>
          <w:lang w:val="en-US" w:eastAsia="zh-CN"/>
        </w:rPr>
        <w:t>湖泊</w:t>
      </w:r>
      <w:r>
        <w:rPr>
          <w:rFonts w:hint="eastAsia"/>
          <w:highlight w:val="none"/>
        </w:rPr>
        <w:t>是重要的地表水资源，承担着供水、生态调节、农业灌溉等多种功能。然而，随着工业化和城市化的快速发展，河流湖泊面临着工业废水、农业面源污染和生活污水的多重威胁。实时监测水质变化，对于保护水生态环境、预防污染事件、保障水资源可持续利用具有重要意义。</w:t>
      </w:r>
    </w:p>
    <w:p w14:paraId="3BF02B31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1.技术实现：</w:t>
      </w:r>
    </w:p>
    <w:p w14:paraId="2B9AFFE4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监测点位布设：</w:t>
      </w:r>
    </w:p>
    <w:p w14:paraId="56C6F062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在河流的上游、中游、下游以及湖泊的入水口、湖心区和出水口等关键位置布设监测点。</w:t>
      </w:r>
    </w:p>
    <w:p w14:paraId="406AF81F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根据流域面积和水文特征，合理规划监测点密度，确保覆盖全流域。</w:t>
      </w:r>
    </w:p>
    <w:p w14:paraId="05AC1DF8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2.</w:t>
      </w:r>
      <w:r>
        <w:rPr>
          <w:rFonts w:hint="eastAsia"/>
          <w:highlight w:val="none"/>
        </w:rPr>
        <w:t>监测设备：</w:t>
      </w:r>
    </w:p>
    <w:p w14:paraId="17FBF43E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采用多参数水质监测仪，集成多种传感器（如pH传感器、溶解氧传感器、浊度传感器、电导率传感器、</w:t>
      </w:r>
      <w:r>
        <w:rPr>
          <w:rFonts w:hint="eastAsia"/>
          <w:highlight w:val="none"/>
          <w:lang w:val="en-US" w:eastAsia="zh-CN"/>
        </w:rPr>
        <w:t>COD传感器</w:t>
      </w:r>
      <w:r>
        <w:rPr>
          <w:rFonts w:hint="eastAsia"/>
          <w:highlight w:val="none"/>
        </w:rPr>
        <w:t>、</w:t>
      </w:r>
      <w:r>
        <w:rPr>
          <w:rFonts w:hint="eastAsia"/>
          <w:highlight w:val="none"/>
          <w:lang w:val="en-US" w:eastAsia="zh-CN"/>
        </w:rPr>
        <w:t>总磷</w:t>
      </w:r>
      <w:r>
        <w:rPr>
          <w:rFonts w:hint="eastAsia"/>
          <w:highlight w:val="none"/>
        </w:rPr>
        <w:t>、</w:t>
      </w:r>
      <w:r>
        <w:rPr>
          <w:rFonts w:hint="eastAsia"/>
          <w:highlight w:val="none"/>
          <w:lang w:val="en-US" w:eastAsia="zh-CN"/>
        </w:rPr>
        <w:t>总氮分析仪</w:t>
      </w:r>
      <w:r>
        <w:rPr>
          <w:rFonts w:hint="eastAsia"/>
          <w:highlight w:val="none"/>
        </w:rPr>
        <w:t>）。</w:t>
      </w:r>
    </w:p>
    <w:p w14:paraId="12C83598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以多参数水质监测仪为核心，配套完善供电系统，测量单元，采水配水单元，自清洗单元，配电系统，空调系统组成一款高度集成的水质自动监测系统，实现全天无人值守的自动监测。</w:t>
      </w:r>
    </w:p>
    <w:p w14:paraId="50660C3B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3.</w:t>
      </w:r>
      <w:r>
        <w:rPr>
          <w:rFonts w:hint="eastAsia"/>
          <w:highlight w:val="none"/>
        </w:rPr>
        <w:t>数据传输与处理：</w:t>
      </w:r>
    </w:p>
    <w:p w14:paraId="29AB38D0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数据通过4G/5G、LoRa或卫星通信实时传输至云平台。</w:t>
      </w:r>
    </w:p>
    <w:p w14:paraId="7C117BDE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利用大数据技术对数据进行清洗、存储和分析</w:t>
      </w:r>
    </w:p>
    <w:p w14:paraId="5ABD40E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4.</w:t>
      </w:r>
      <w:r>
        <w:rPr>
          <w:rFonts w:hint="eastAsia"/>
          <w:highlight w:val="none"/>
        </w:rPr>
        <w:t>预警与响应：</w:t>
      </w:r>
    </w:p>
    <w:p w14:paraId="205ABA50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</w:rPr>
        <w:t>设置水质阈值，当监测数据异常时，系统自动触发报警。</w:t>
      </w:r>
    </w:p>
    <w:p w14:paraId="02C9F796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报警信息通过短信、邮件或平台通知发送至相关部门。</w:t>
      </w:r>
    </w:p>
    <w:p w14:paraId="4655FF79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5.实际效果：</w:t>
      </w:r>
    </w:p>
    <w:p w14:paraId="364F664D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</w:rPr>
        <w:t>实时掌握河流湖泊的水质状况，及时发现污染事件。</w:t>
      </w:r>
    </w:p>
    <w:p w14:paraId="39926090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</w:rPr>
        <w:t>为环保部门提供数据支持，制定针对性的治理措施。</w:t>
      </w:r>
    </w:p>
    <w:p w14:paraId="0CAB7BDC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通过长期监测，评估水生态修复效果，为政策制定提供依据。</w:t>
      </w:r>
    </w:p>
    <w:p w14:paraId="5BB68CD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现场效果图：</w:t>
      </w:r>
    </w:p>
    <w:p w14:paraId="12A9552C">
      <w:pPr>
        <w:bidi w:val="0"/>
        <w:rPr>
          <w:rFonts w:ascii="新宋体" w:hAnsi="新宋体" w:eastAsia="新宋体"/>
          <w:color w:val="333333"/>
          <w:sz w:val="24"/>
          <w:highlight w:val="none"/>
        </w:rPr>
      </w:pPr>
      <w:r>
        <w:rPr>
          <w:rFonts w:ascii="新宋体" w:hAnsi="新宋体" w:eastAsia="新宋体"/>
          <w:color w:val="333333"/>
          <w:sz w:val="24"/>
          <w:highlight w:val="none"/>
        </w:rPr>
        <w:drawing>
          <wp:inline distT="0" distB="0" distL="114300" distR="114300">
            <wp:extent cx="2722245" cy="2047875"/>
            <wp:effectExtent l="0" t="0" r="5715" b="9525"/>
            <wp:docPr id="5" name="图片 1" descr="IMG_2070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070.HEIC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宋体" w:hAnsi="新宋体" w:eastAsia="新宋体"/>
          <w:color w:val="333333"/>
          <w:sz w:val="24"/>
          <w:highlight w:val="none"/>
        </w:rPr>
        <w:drawing>
          <wp:inline distT="0" distB="0" distL="114300" distR="114300">
            <wp:extent cx="1517650" cy="2021840"/>
            <wp:effectExtent l="0" t="0" r="6350" b="5080"/>
            <wp:docPr id="7" name="图片 2" descr="IMG_2058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058.HEIC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3703">
      <w:pPr>
        <w:bidi w:val="0"/>
        <w:rPr>
          <w:rFonts w:ascii="新宋体" w:hAnsi="新宋体" w:eastAsia="新宋体"/>
          <w:color w:val="333333"/>
          <w:sz w:val="24"/>
          <w:highlight w:val="none"/>
        </w:rPr>
      </w:pPr>
    </w:p>
    <w:p w14:paraId="79143017">
      <w:pPr>
        <w:pStyle w:val="3"/>
        <w:bidi w:val="0"/>
        <w:rPr>
          <w:rFonts w:hint="eastAsia"/>
          <w:highlight w:val="none"/>
          <w:lang w:val="en-US" w:eastAsia="zh-CN"/>
        </w:rPr>
      </w:pPr>
      <w:bookmarkStart w:id="29" w:name="_Toc29643"/>
      <w:r>
        <w:rPr>
          <w:rFonts w:hint="eastAsia"/>
          <w:highlight w:val="none"/>
          <w:lang w:val="en-US" w:eastAsia="zh-CN"/>
        </w:rPr>
        <w:t>山西吕梁市某河道监测项目</w:t>
      </w:r>
      <w:bookmarkEnd w:id="29"/>
    </w:p>
    <w:p w14:paraId="14707004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2371725" cy="2049145"/>
            <wp:effectExtent l="0" t="0" r="5715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6140" cy="2077720"/>
            <wp:effectExtent l="0" t="0" r="12700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B35E">
      <w:pPr>
        <w:widowControl w:val="0"/>
        <w:numPr>
          <w:ilvl w:val="0"/>
          <w:numId w:val="0"/>
        </w:numPr>
        <w:bidi w:val="0"/>
        <w:spacing w:line="360" w:lineRule="auto"/>
        <w:ind w:left="480" w:leftChars="0"/>
        <w:jc w:val="both"/>
        <w:rPr>
          <w:rFonts w:hint="default"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highlight w:val="none"/>
          <w:lang w:val="en-US" w:eastAsia="zh-CN"/>
        </w:rPr>
      </w:pPr>
    </w:p>
    <w:p w14:paraId="6EDC3166">
      <w:pPr>
        <w:pStyle w:val="3"/>
        <w:bidi w:val="0"/>
        <w:rPr>
          <w:rFonts w:hint="eastAsia" w:ascii="宋体" w:hAnsi="宋体" w:eastAsia="宋体" w:cs="宋体"/>
          <w:b/>
          <w:kern w:val="2"/>
          <w:sz w:val="32"/>
          <w:szCs w:val="30"/>
          <w:highlight w:val="none"/>
          <w:lang w:val="en-US" w:eastAsia="zh-CN" w:bidi="ar-SA"/>
        </w:rPr>
      </w:pPr>
      <w:bookmarkStart w:id="30" w:name="_Toc2401"/>
      <w:r>
        <w:rPr>
          <w:rFonts w:hint="eastAsia" w:ascii="宋体" w:hAnsi="宋体" w:eastAsia="宋体" w:cs="宋体"/>
          <w:b/>
          <w:kern w:val="2"/>
          <w:sz w:val="32"/>
          <w:szCs w:val="30"/>
          <w:highlight w:val="none"/>
          <w:lang w:val="en-US" w:eastAsia="zh-CN" w:bidi="ar-SA"/>
        </w:rPr>
        <w:t>山东济宁市某河道监测项目</w:t>
      </w:r>
      <w:bookmarkEnd w:id="30"/>
    </w:p>
    <w:p w14:paraId="38896254">
      <w:pPr>
        <w:bidi w:val="0"/>
        <w:rPr>
          <w:rFonts w:hint="eastAsia" w:ascii="宋体" w:hAnsi="宋体" w:eastAsia="宋体" w:cs="宋体"/>
          <w:b/>
          <w:kern w:val="2"/>
          <w:sz w:val="32"/>
          <w:szCs w:val="30"/>
          <w:highlight w:val="none"/>
          <w:lang w:val="en-US" w:eastAsia="zh-CN" w:bidi="ar-SA"/>
        </w:rPr>
      </w:pPr>
      <w:r>
        <w:drawing>
          <wp:inline distT="0" distB="0" distL="114300" distR="114300">
            <wp:extent cx="2216785" cy="2366010"/>
            <wp:effectExtent l="0" t="0" r="8255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8810" cy="2352675"/>
            <wp:effectExtent l="0" t="0" r="11430" b="952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95F6">
      <w:pPr>
        <w:bidi w:val="0"/>
        <w:rPr>
          <w:rFonts w:hint="eastAsia" w:ascii="宋体" w:hAnsi="宋体" w:eastAsia="宋体" w:cs="宋体"/>
          <w:b/>
          <w:kern w:val="2"/>
          <w:sz w:val="32"/>
          <w:szCs w:val="30"/>
          <w:highlight w:val="none"/>
          <w:lang w:val="en-US" w:eastAsia="zh-CN" w:bidi="ar-SA"/>
        </w:rPr>
      </w:pPr>
    </w:p>
    <w:p w14:paraId="550F4EE1">
      <w:pPr>
        <w:widowControl w:val="0"/>
        <w:numPr>
          <w:ilvl w:val="0"/>
          <w:numId w:val="0"/>
        </w:numPr>
        <w:bidi w:val="0"/>
        <w:spacing w:line="360" w:lineRule="auto"/>
        <w:ind w:left="480" w:leftChars="0"/>
        <w:jc w:val="both"/>
        <w:rPr>
          <w:rFonts w:hint="default"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F5B3B">
    <w:pPr>
      <w:pStyle w:val="12"/>
      <w:rPr>
        <w:rFonts w:hint="eastAsia"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0D0AF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61EA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54C0CB"/>
    <w:multiLevelType w:val="multilevel"/>
    <w:tmpl w:val="1E54C0C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575" w:hanging="575"/>
      </w:pPr>
      <w:rPr>
        <w:rFonts w:hint="default" w:ascii="宋体" w:hAnsi="宋体" w:eastAsia="宋体" w:cs="宋体"/>
        <w:b/>
        <w:bCs/>
        <w:sz w:val="32"/>
        <w:szCs w:val="32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7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CB"/>
    <w:rsid w:val="0000331B"/>
    <w:rsid w:val="000E70C4"/>
    <w:rsid w:val="002438FD"/>
    <w:rsid w:val="003B326D"/>
    <w:rsid w:val="008753CB"/>
    <w:rsid w:val="008D7448"/>
    <w:rsid w:val="00A10114"/>
    <w:rsid w:val="00A30227"/>
    <w:rsid w:val="09DF435C"/>
    <w:rsid w:val="0A09021E"/>
    <w:rsid w:val="0C1036C3"/>
    <w:rsid w:val="0C365ED4"/>
    <w:rsid w:val="0CF05FA0"/>
    <w:rsid w:val="11B90739"/>
    <w:rsid w:val="12AE6653"/>
    <w:rsid w:val="13E3572E"/>
    <w:rsid w:val="1456008E"/>
    <w:rsid w:val="15FB79DC"/>
    <w:rsid w:val="161F5E03"/>
    <w:rsid w:val="1BE34C83"/>
    <w:rsid w:val="1FE35C4B"/>
    <w:rsid w:val="25E76B6C"/>
    <w:rsid w:val="28EF38E2"/>
    <w:rsid w:val="2A6401CD"/>
    <w:rsid w:val="2DF17475"/>
    <w:rsid w:val="3BFD50D1"/>
    <w:rsid w:val="3CAD2E9B"/>
    <w:rsid w:val="416830A7"/>
    <w:rsid w:val="41E23AAD"/>
    <w:rsid w:val="4283171C"/>
    <w:rsid w:val="468A4019"/>
    <w:rsid w:val="4CEF39C5"/>
    <w:rsid w:val="4DA8648A"/>
    <w:rsid w:val="4ECF7B7B"/>
    <w:rsid w:val="51142088"/>
    <w:rsid w:val="55D76800"/>
    <w:rsid w:val="572C6C25"/>
    <w:rsid w:val="5A9164F8"/>
    <w:rsid w:val="5C2514E6"/>
    <w:rsid w:val="5FD61ED1"/>
    <w:rsid w:val="60E43825"/>
    <w:rsid w:val="61DA4D78"/>
    <w:rsid w:val="636B69F0"/>
    <w:rsid w:val="6617581C"/>
    <w:rsid w:val="66666EEF"/>
    <w:rsid w:val="67917192"/>
    <w:rsid w:val="717005BC"/>
    <w:rsid w:val="787F54A3"/>
    <w:rsid w:val="799F35BE"/>
    <w:rsid w:val="7A4E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numPr>
        <w:ilvl w:val="0"/>
        <w:numId w:val="1"/>
      </w:numPr>
      <w:ind w:left="432" w:hanging="432" w:firstLineChars="0"/>
      <w:jc w:val="left"/>
      <w:outlineLvl w:val="0"/>
    </w:pPr>
    <w:rPr>
      <w:b/>
      <w:sz w:val="36"/>
      <w:szCs w:val="32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ind w:left="575" w:hanging="575" w:firstLineChars="0"/>
      <w:jc w:val="left"/>
      <w:outlineLvl w:val="1"/>
    </w:pPr>
    <w:rPr>
      <w:b/>
      <w:sz w:val="32"/>
      <w:szCs w:val="30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numPr>
        <w:ilvl w:val="2"/>
        <w:numId w:val="1"/>
      </w:numPr>
      <w:ind w:firstLineChars="0"/>
      <w:jc w:val="left"/>
      <w:outlineLvl w:val="2"/>
    </w:pPr>
    <w:rPr>
      <w:b/>
      <w:sz w:val="30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numPr>
        <w:ilvl w:val="3"/>
        <w:numId w:val="1"/>
      </w:numPr>
      <w:ind w:left="0" w:firstLine="720" w:firstLineChars="200"/>
      <w:outlineLvl w:val="3"/>
    </w:pPr>
    <w:rPr>
      <w:rFonts w:cstheme="majorBidi"/>
      <w:b/>
      <w:color w:val="auto"/>
      <w:sz w:val="28"/>
      <w:szCs w:val="28"/>
    </w:rPr>
  </w:style>
  <w:style w:type="paragraph" w:styleId="6">
    <w:name w:val="heading 5"/>
    <w:basedOn w:val="5"/>
    <w:next w:val="1"/>
    <w:link w:val="27"/>
    <w:semiHidden/>
    <w:unhideWhenUsed/>
    <w:qFormat/>
    <w:uiPriority w:val="9"/>
    <w:pPr>
      <w:keepNext/>
      <w:keepLines/>
      <w:numPr>
        <w:ilvl w:val="4"/>
        <w:numId w:val="1"/>
      </w:numPr>
      <w:spacing w:before="80" w:after="40"/>
      <w:ind w:left="1008" w:hanging="1008" w:firstLineChars="0"/>
      <w:outlineLvl w:val="4"/>
    </w:pPr>
    <w:rPr>
      <w:rFonts w:ascii="宋体" w:hAnsi="宋体" w:eastAsia="宋体"/>
      <w:color w:val="auto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ind w:left="1151" w:hanging="1151"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numPr>
        <w:ilvl w:val="6"/>
        <w:numId w:val="1"/>
      </w:numPr>
      <w:spacing w:before="40"/>
      <w:ind w:left="1296" w:hanging="1296"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numPr>
        <w:ilvl w:val="7"/>
        <w:numId w:val="1"/>
      </w:numPr>
      <w:ind w:left="1440" w:hanging="1440"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numPr>
        <w:ilvl w:val="8"/>
        <w:numId w:val="1"/>
      </w:numPr>
      <w:ind w:left="1583" w:hanging="1583"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</w:style>
  <w:style w:type="paragraph" w:styleId="15">
    <w:name w:val="Subtitle"/>
    <w:basedOn w:val="1"/>
    <w:next w:val="1"/>
    <w:link w:val="33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2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basedOn w:val="20"/>
    <w:qFormat/>
    <w:uiPriority w:val="22"/>
    <w:rPr>
      <w:b/>
    </w:rPr>
  </w:style>
  <w:style w:type="character" w:styleId="22">
    <w:name w:val="Hyperlink"/>
    <w:basedOn w:val="20"/>
    <w:unhideWhenUsed/>
    <w:qFormat/>
    <w:uiPriority w:val="99"/>
    <w:rPr>
      <w:color w:val="0563C1"/>
      <w:u w:val="single"/>
    </w:rPr>
  </w:style>
  <w:style w:type="character" w:customStyle="1" w:styleId="23">
    <w:name w:val="标题 1 字符"/>
    <w:basedOn w:val="20"/>
    <w:link w:val="2"/>
    <w:qFormat/>
    <w:uiPriority w:val="9"/>
    <w:rPr>
      <w:rFonts w:ascii="宋体" w:hAnsi="宋体" w:eastAsia="宋体" w:cs="宋体"/>
      <w:b/>
      <w:sz w:val="36"/>
      <w:szCs w:val="32"/>
    </w:rPr>
  </w:style>
  <w:style w:type="character" w:customStyle="1" w:styleId="24">
    <w:name w:val="标题 2 字符"/>
    <w:basedOn w:val="20"/>
    <w:link w:val="3"/>
    <w:qFormat/>
    <w:uiPriority w:val="9"/>
    <w:rPr>
      <w:rFonts w:ascii="宋体" w:hAnsi="宋体" w:eastAsia="宋体" w:cs="宋体"/>
      <w:b/>
      <w:sz w:val="32"/>
      <w:szCs w:val="30"/>
    </w:rPr>
  </w:style>
  <w:style w:type="character" w:customStyle="1" w:styleId="25">
    <w:name w:val="标题 3 字符"/>
    <w:basedOn w:val="20"/>
    <w:link w:val="4"/>
    <w:qFormat/>
    <w:uiPriority w:val="9"/>
    <w:rPr>
      <w:rFonts w:ascii="宋体" w:hAnsi="宋体" w:eastAsia="宋体" w:cs="宋体"/>
      <w:b/>
      <w:sz w:val="30"/>
      <w:szCs w:val="32"/>
    </w:rPr>
  </w:style>
  <w:style w:type="character" w:customStyle="1" w:styleId="26">
    <w:name w:val="标题 4 字符"/>
    <w:basedOn w:val="20"/>
    <w:link w:val="5"/>
    <w:semiHidden/>
    <w:qFormat/>
    <w:uiPriority w:val="9"/>
    <w:rPr>
      <w:rFonts w:ascii="宋体" w:hAnsi="宋体" w:eastAsia="宋体" w:cstheme="majorBidi"/>
      <w:b/>
      <w:color w:val="auto"/>
      <w:sz w:val="28"/>
      <w:szCs w:val="28"/>
    </w:rPr>
  </w:style>
  <w:style w:type="character" w:customStyle="1" w:styleId="27">
    <w:name w:val="标题 5 字符"/>
    <w:basedOn w:val="20"/>
    <w:link w:val="6"/>
    <w:semiHidden/>
    <w:qFormat/>
    <w:uiPriority w:val="9"/>
    <w:rPr>
      <w:rFonts w:ascii="宋体" w:hAnsi="宋体" w:eastAsia="宋体" w:cstheme="majorBidi"/>
      <w:color w:val="auto"/>
      <w:sz w:val="24"/>
      <w:szCs w:val="24"/>
    </w:rPr>
  </w:style>
  <w:style w:type="character" w:customStyle="1" w:styleId="28">
    <w:name w:val="标题 6 字符"/>
    <w:basedOn w:val="20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9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3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4">
    <w:name w:val="Quote"/>
    <w:basedOn w:val="1"/>
    <w:next w:val="1"/>
    <w:link w:val="35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引用 字符"/>
    <w:basedOn w:val="20"/>
    <w:link w:val="3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6">
    <w:name w:val="List Paragraph"/>
    <w:basedOn w:val="1"/>
    <w:qFormat/>
    <w:uiPriority w:val="34"/>
    <w:pPr>
      <w:ind w:left="720"/>
      <w:contextualSpacing/>
    </w:pPr>
  </w:style>
  <w:style w:type="character" w:customStyle="1" w:styleId="37">
    <w:name w:val="Intense Emphasis"/>
    <w:basedOn w:val="20"/>
    <w:qFormat/>
    <w:uiPriority w:val="21"/>
    <w:rPr>
      <w:i/>
      <w:iCs/>
      <w:color w:val="104862" w:themeColor="accent1" w:themeShade="BF"/>
    </w:rPr>
  </w:style>
  <w:style w:type="paragraph" w:styleId="38">
    <w:name w:val="Intense Quote"/>
    <w:basedOn w:val="1"/>
    <w:next w:val="1"/>
    <w:link w:val="39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9">
    <w:name w:val="明显引用 字符"/>
    <w:basedOn w:val="20"/>
    <w:link w:val="38"/>
    <w:qFormat/>
    <w:uiPriority w:val="30"/>
    <w:rPr>
      <w:i/>
      <w:iCs/>
      <w:color w:val="104862" w:themeColor="accent1" w:themeShade="BF"/>
    </w:rPr>
  </w:style>
  <w:style w:type="character" w:customStyle="1" w:styleId="40">
    <w:name w:val="页眉 字符"/>
    <w:basedOn w:val="20"/>
    <w:link w:val="13"/>
    <w:qFormat/>
    <w:uiPriority w:val="99"/>
    <w:rPr>
      <w:sz w:val="18"/>
      <w:szCs w:val="18"/>
    </w:rPr>
  </w:style>
  <w:style w:type="character" w:customStyle="1" w:styleId="41">
    <w:name w:val="页脚 字符"/>
    <w:basedOn w:val="20"/>
    <w:link w:val="12"/>
    <w:qFormat/>
    <w:uiPriority w:val="99"/>
    <w:rPr>
      <w:sz w:val="18"/>
      <w:szCs w:val="18"/>
    </w:rPr>
  </w:style>
  <w:style w:type="paragraph" w:customStyle="1" w:styleId="4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43">
    <w:name w:val="列出段落1"/>
    <w:basedOn w:val="1"/>
    <w:qFormat/>
    <w:uiPriority w:val="0"/>
    <w:pPr>
      <w:suppressAutoHyphens/>
      <w:ind w:firstLine="420"/>
      <w:jc w:val="left"/>
    </w:pPr>
    <w:rPr>
      <w:rFonts w:ascii="Times" w:hAnsi="Times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7793</Words>
  <Characters>8370</Characters>
  <Lines>1</Lines>
  <Paragraphs>1</Paragraphs>
  <TotalTime>25</TotalTime>
  <ScaleCrop>false</ScaleCrop>
  <LinksUpToDate>false</LinksUpToDate>
  <CharactersWithSpaces>8511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2025-02-07T05:17:00Z</dcterms:created>
  <dc:creator>闫鹏 李</dc:creator>
  <cp:lastModifiedBy>邹树虎</cp:lastModifiedBy>
  <dcterms:modified xsi:type="dcterms:W3CDTF">2025-07-25T07:03:59Z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eyJoZGlkIjoiZjk1Y2JmN2ViODY3ZDA2MjQ3ZGVkNzAyMTI3ZDBjOWUiLCJ1c2VySWQiOiIxNDQ5MjAxMDk2In0=</vt:lpwstr>
  </property>
  <property fmtid="{D5CDD505-2E9C-101B-9397-08002B2CF9AE}" pid="3" name="KSOProductBuildVer">
    <vt:lpwstr>2052-12.1.0.21915</vt:lpwstr>
  </property>
  <property fmtid="{D5CDD505-2E9C-101B-9397-08002B2CF9AE}" pid="4" name="ICV">
    <vt:lpwstr>DF6EBECCDCAF44EAB4F520543FCF2462_12</vt:lpwstr>
  </property>
</Properties>
</file>