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4CCC34">
      <w:pPr>
        <w:rPr>
          <w:rFonts w:hint="eastAsia"/>
          <w:color w:val="auto"/>
          <w:highlight w:val="none"/>
        </w:rPr>
      </w:pPr>
    </w:p>
    <w:p w14:paraId="7C6688AF">
      <w:pPr>
        <w:rPr>
          <w:rFonts w:hint="eastAsia"/>
          <w:color w:val="auto"/>
          <w:highlight w:val="none"/>
        </w:rPr>
      </w:pPr>
    </w:p>
    <w:p w14:paraId="65B69CCC">
      <w:pPr>
        <w:rPr>
          <w:rFonts w:hint="eastAsia"/>
          <w:color w:val="auto"/>
          <w:highlight w:val="none"/>
        </w:rPr>
      </w:pPr>
    </w:p>
    <w:p w14:paraId="0E7AB5E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auto"/>
          <w:sz w:val="52"/>
          <w:szCs w:val="52"/>
          <w:highlight w:val="none"/>
          <w:lang w:val="en-US" w:eastAsia="zh-CN"/>
        </w:rPr>
      </w:pPr>
      <w:r>
        <w:rPr>
          <w:rFonts w:hint="eastAsia"/>
          <w:b/>
          <w:bCs/>
          <w:color w:val="auto"/>
          <w:sz w:val="52"/>
          <w:szCs w:val="52"/>
          <w:highlight w:val="none"/>
          <w:lang w:val="en-US" w:eastAsia="zh-CN"/>
        </w:rPr>
        <w:t>农业行业细分场景</w:t>
      </w:r>
    </w:p>
    <w:p w14:paraId="36EA5CC8">
      <w:pPr>
        <w:keepNext w:val="0"/>
        <w:keepLines w:val="0"/>
        <w:pageBreakBefore w:val="0"/>
        <w:widowControl w:val="0"/>
        <w:kinsoku/>
        <w:wordWrap/>
        <w:overflowPunct/>
        <w:topLinePunct w:val="0"/>
        <w:autoSpaceDE/>
        <w:autoSpaceDN/>
        <w:bidi w:val="0"/>
        <w:adjustRightInd/>
        <w:snapToGrid/>
        <w:ind w:firstLine="0" w:firstLineChars="0"/>
        <w:jc w:val="right"/>
        <w:textAlignment w:val="auto"/>
        <w:rPr>
          <w:rFonts w:hint="default" w:eastAsia="宋体"/>
          <w:b/>
          <w:bCs/>
          <w:color w:val="auto"/>
          <w:sz w:val="52"/>
          <w:szCs w:val="52"/>
          <w:highlight w:val="none"/>
          <w:lang w:val="en-US" w:eastAsia="zh-CN"/>
        </w:rPr>
      </w:pPr>
      <w:r>
        <w:rPr>
          <w:rFonts w:hint="eastAsia"/>
          <w:b/>
          <w:bCs/>
          <w:color w:val="auto"/>
          <w:sz w:val="52"/>
          <w:szCs w:val="52"/>
          <w:highlight w:val="none"/>
          <w:lang w:val="en-US" w:eastAsia="zh-CN"/>
        </w:rPr>
        <w:t>——养殖尾水水质监测方案</w:t>
      </w:r>
    </w:p>
    <w:p w14:paraId="5F987076">
      <w:pPr>
        <w:rPr>
          <w:rFonts w:hint="eastAsia"/>
          <w:color w:val="auto"/>
          <w:highlight w:val="none"/>
        </w:rPr>
      </w:pPr>
    </w:p>
    <w:p w14:paraId="3401E6BD">
      <w:pPr>
        <w:rPr>
          <w:rFonts w:hint="eastAsia"/>
          <w:color w:val="auto"/>
          <w:highlight w:val="none"/>
        </w:rPr>
      </w:pPr>
    </w:p>
    <w:p w14:paraId="1C915416">
      <w:pPr>
        <w:rPr>
          <w:rFonts w:hint="eastAsia"/>
          <w:color w:val="auto"/>
          <w:highlight w:val="none"/>
        </w:rPr>
      </w:pPr>
    </w:p>
    <w:p w14:paraId="35B99434">
      <w:pPr>
        <w:rPr>
          <w:rFonts w:hint="eastAsia"/>
          <w:color w:val="auto"/>
          <w:highlight w:val="none"/>
        </w:rPr>
      </w:pPr>
    </w:p>
    <w:p w14:paraId="21E5C6ED">
      <w:pPr>
        <w:rPr>
          <w:rFonts w:hint="eastAsia"/>
          <w:color w:val="auto"/>
          <w:highlight w:val="none"/>
        </w:rPr>
      </w:pPr>
    </w:p>
    <w:p w14:paraId="37D95FEA">
      <w:pPr>
        <w:rPr>
          <w:rFonts w:hint="eastAsia"/>
          <w:color w:val="auto"/>
          <w:highlight w:val="none"/>
        </w:rPr>
      </w:pPr>
    </w:p>
    <w:p w14:paraId="5D093C07">
      <w:pPr>
        <w:rPr>
          <w:rFonts w:hint="eastAsia"/>
          <w:color w:val="auto"/>
          <w:highlight w:val="none"/>
        </w:rPr>
      </w:pPr>
    </w:p>
    <w:p w14:paraId="0C33701D">
      <w:pPr>
        <w:rPr>
          <w:rFonts w:hint="eastAsia"/>
          <w:color w:val="auto"/>
          <w:highlight w:val="none"/>
        </w:rPr>
      </w:pPr>
    </w:p>
    <w:p w14:paraId="19E303D8">
      <w:pPr>
        <w:rPr>
          <w:rFonts w:hint="eastAsia"/>
          <w:color w:val="auto"/>
          <w:highlight w:val="none"/>
        </w:rPr>
      </w:pPr>
    </w:p>
    <w:p w14:paraId="7A24F120">
      <w:pPr>
        <w:rPr>
          <w:rFonts w:hint="eastAsia"/>
          <w:color w:val="auto"/>
          <w:highlight w:val="none"/>
        </w:rPr>
      </w:pPr>
    </w:p>
    <w:p w14:paraId="05C0723D">
      <w:pPr>
        <w:rPr>
          <w:rFonts w:hint="eastAsia"/>
          <w:color w:val="auto"/>
          <w:highlight w:val="none"/>
        </w:rPr>
      </w:pPr>
    </w:p>
    <w:p w14:paraId="2C2C71A1">
      <w:pPr>
        <w:rPr>
          <w:rFonts w:hint="eastAsia"/>
          <w:color w:val="auto"/>
          <w:highlight w:val="none"/>
        </w:rPr>
      </w:pPr>
    </w:p>
    <w:p w14:paraId="2F2A290D">
      <w:pPr>
        <w:rPr>
          <w:rFonts w:hint="eastAsia"/>
          <w:color w:val="auto"/>
          <w:highlight w:val="none"/>
        </w:rPr>
      </w:pPr>
    </w:p>
    <w:p w14:paraId="19888132">
      <w:pPr>
        <w:rPr>
          <w:rFonts w:hint="eastAsia"/>
          <w:color w:val="auto"/>
          <w:highlight w:val="none"/>
        </w:rPr>
      </w:pPr>
    </w:p>
    <w:p w14:paraId="776B9B5F">
      <w:pPr>
        <w:rPr>
          <w:rFonts w:hint="eastAsia"/>
          <w:color w:val="auto"/>
          <w:highlight w:val="none"/>
        </w:rPr>
      </w:pPr>
    </w:p>
    <w:p w14:paraId="256D5A4B">
      <w:pPr>
        <w:rPr>
          <w:rFonts w:hint="eastAsia"/>
          <w:color w:val="auto"/>
          <w:highlight w:val="none"/>
        </w:rPr>
      </w:pPr>
    </w:p>
    <w:p w14:paraId="274A8AFE">
      <w:pPr>
        <w:rPr>
          <w:rFonts w:hint="eastAsia"/>
          <w:color w:val="auto"/>
          <w:highlight w:val="none"/>
        </w:rPr>
      </w:pPr>
    </w:p>
    <w:p w14:paraId="5DBBFBCE">
      <w:pPr>
        <w:rPr>
          <w:rFonts w:hint="eastAsia"/>
          <w:color w:val="auto"/>
          <w:highlight w:val="none"/>
        </w:rPr>
      </w:pPr>
    </w:p>
    <w:p w14:paraId="7D2B2984">
      <w:pPr>
        <w:rPr>
          <w:rFonts w:hint="eastAsia"/>
          <w:color w:val="auto"/>
          <w:highlight w:val="none"/>
        </w:rPr>
      </w:pPr>
    </w:p>
    <w:p w14:paraId="7E21D1EE">
      <w:pPr>
        <w:rPr>
          <w:rFonts w:hint="eastAsia"/>
          <w:color w:val="auto"/>
          <w:highlight w:val="none"/>
        </w:rPr>
      </w:pPr>
    </w:p>
    <w:p w14:paraId="27E7BBA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color w:val="auto"/>
          <w:sz w:val="40"/>
          <w:szCs w:val="40"/>
          <w:highlight w:val="none"/>
          <w:lang w:val="zh-CN"/>
        </w:rPr>
      </w:pPr>
      <w:r>
        <w:rPr>
          <w:b/>
          <w:bCs/>
          <w:color w:val="auto"/>
          <w:sz w:val="40"/>
          <w:szCs w:val="40"/>
          <w:highlight w:val="none"/>
        </w:rPr>
        <w:t>202</w:t>
      </w:r>
      <w:r>
        <w:rPr>
          <w:rFonts w:hint="eastAsia"/>
          <w:b/>
          <w:bCs/>
          <w:color w:val="auto"/>
          <w:sz w:val="40"/>
          <w:szCs w:val="40"/>
          <w:highlight w:val="none"/>
        </w:rPr>
        <w:t>5</w:t>
      </w:r>
      <w:r>
        <w:rPr>
          <w:b/>
          <w:bCs/>
          <w:color w:val="auto"/>
          <w:sz w:val="40"/>
          <w:szCs w:val="40"/>
          <w:highlight w:val="none"/>
          <w:lang w:val="zh-CN"/>
        </w:rPr>
        <w:t>年</w:t>
      </w:r>
      <w:r>
        <w:rPr>
          <w:rFonts w:hint="eastAsia"/>
          <w:b/>
          <w:bCs/>
          <w:color w:val="auto"/>
          <w:sz w:val="40"/>
          <w:szCs w:val="40"/>
          <w:highlight w:val="none"/>
          <w:lang w:val="en-US" w:eastAsia="zh-CN"/>
        </w:rPr>
        <w:t>2</w:t>
      </w:r>
      <w:r>
        <w:rPr>
          <w:b/>
          <w:bCs/>
          <w:color w:val="auto"/>
          <w:sz w:val="40"/>
          <w:szCs w:val="40"/>
          <w:highlight w:val="none"/>
          <w:lang w:val="zh-CN"/>
        </w:rPr>
        <w:t>月</w:t>
      </w:r>
    </w:p>
    <w:p w14:paraId="10808181">
      <w:pPr>
        <w:rPr>
          <w:rFonts w:hint="eastAsia"/>
          <w:color w:val="auto"/>
          <w:highlight w:val="none"/>
        </w:rPr>
      </w:pPr>
    </w:p>
    <w:p w14:paraId="32AA1FA5">
      <w:pPr>
        <w:rPr>
          <w:rFonts w:hint="eastAsia"/>
          <w:color w:val="auto"/>
          <w:highlight w:val="none"/>
        </w:rPr>
        <w:sectPr>
          <w:headerReference r:id="rId5" w:type="default"/>
          <w:pgSz w:w="11906" w:h="16838"/>
          <w:pgMar w:top="1440" w:right="1800" w:bottom="1440" w:left="1800" w:header="851" w:footer="992" w:gutter="0"/>
          <w:pgNumType w:fmt="decimal" w:start="1"/>
          <w:cols w:space="425" w:num="1"/>
          <w:docGrid w:type="lines" w:linePitch="312" w:charSpace="0"/>
        </w:sectPr>
      </w:pPr>
    </w:p>
    <w:p w14:paraId="3D44955E">
      <w:pPr>
        <w:rPr>
          <w:rFonts w:hint="eastAsia"/>
          <w:color w:val="auto"/>
          <w:highlight w:val="none"/>
        </w:rPr>
      </w:pPr>
    </w:p>
    <w:sdt>
      <w:sdtPr>
        <w:rPr>
          <w:rFonts w:ascii="宋体" w:hAnsi="宋体" w:eastAsia="宋体" w:cs="宋体"/>
          <w:b/>
          <w:bCs/>
          <w:color w:val="auto"/>
          <w:kern w:val="2"/>
          <w:sz w:val="36"/>
          <w:szCs w:val="36"/>
          <w:highlight w:val="none"/>
          <w:lang w:val="en-US" w:eastAsia="zh-CN" w:bidi="ar-SA"/>
        </w:rPr>
        <w:id w:val="147462421"/>
        <w15:color w:val="DBDBDB"/>
        <w:docPartObj>
          <w:docPartGallery w:val="Table of Contents"/>
          <w:docPartUnique/>
        </w:docPartObj>
      </w:sdtPr>
      <w:sdtEndPr>
        <w:rPr>
          <w:rFonts w:hint="eastAsia" w:ascii="宋体" w:hAnsi="宋体" w:eastAsia="宋体" w:cs="宋体"/>
          <w:b/>
          <w:bCs/>
          <w:color w:val="auto"/>
          <w:kern w:val="2"/>
          <w:sz w:val="24"/>
          <w:szCs w:val="24"/>
          <w:highlight w:val="none"/>
          <w:lang w:val="en-US" w:eastAsia="zh-CN" w:bidi="ar-SA"/>
        </w:rPr>
      </w:sdtEndPr>
      <w:sdtContent>
        <w:p w14:paraId="6D3CA3C9">
          <w:pPr>
            <w:spacing w:before="0" w:beforeLines="0" w:after="0" w:afterLines="0" w:line="240" w:lineRule="auto"/>
            <w:ind w:left="0" w:leftChars="0" w:right="0" w:rightChars="0" w:firstLine="0" w:firstLineChars="0"/>
            <w:jc w:val="center"/>
            <w:rPr>
              <w:b/>
              <w:bCs/>
              <w:color w:val="auto"/>
              <w:sz w:val="36"/>
              <w:szCs w:val="36"/>
              <w:highlight w:val="none"/>
            </w:rPr>
          </w:pPr>
          <w:r>
            <w:rPr>
              <w:rFonts w:ascii="宋体" w:hAnsi="宋体" w:eastAsia="宋体"/>
              <w:b/>
              <w:bCs/>
              <w:color w:val="auto"/>
              <w:sz w:val="36"/>
              <w:szCs w:val="36"/>
              <w:highlight w:val="none"/>
            </w:rPr>
            <w:t>目录</w:t>
          </w:r>
        </w:p>
        <w:p w14:paraId="36D7CFE3">
          <w:pPr>
            <w:pStyle w:val="14"/>
            <w:tabs>
              <w:tab w:val="right" w:leader="dot" w:pos="8306"/>
            </w:tabs>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TOC \o "1-3" \h \u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_Toc30473 </w:instrText>
          </w:r>
          <w:r>
            <w:rPr>
              <w:rFonts w:hint="eastAsia" w:ascii="宋体" w:hAnsi="宋体" w:eastAsia="宋体" w:cs="宋体"/>
              <w:kern w:val="2"/>
              <w:szCs w:val="24"/>
              <w:highlight w:val="none"/>
              <w:lang w:val="en-US" w:eastAsia="zh-CN" w:bidi="ar-SA"/>
            </w:rPr>
            <w:fldChar w:fldCharType="separate"/>
          </w:r>
          <w:r>
            <w:rPr>
              <w:rFonts w:hint="eastAsia"/>
              <w:lang w:val="en-US" w:eastAsia="zh-CN"/>
            </w:rPr>
            <w:t xml:space="preserve">一、 </w:t>
          </w:r>
          <w:r>
            <w:rPr>
              <w:rFonts w:hint="eastAsia"/>
              <w:highlight w:val="none"/>
              <w:lang w:val="en-US" w:eastAsia="zh-CN"/>
            </w:rPr>
            <w:t>公司简介</w:t>
          </w:r>
          <w:r>
            <w:tab/>
          </w:r>
          <w:r>
            <w:fldChar w:fldCharType="begin"/>
          </w:r>
          <w:r>
            <w:instrText xml:space="preserve"> PAGEREF _Toc30473 \h </w:instrText>
          </w:r>
          <w:r>
            <w:fldChar w:fldCharType="separate"/>
          </w:r>
          <w:r>
            <w:t>2</w:t>
          </w:r>
          <w:r>
            <w:fldChar w:fldCharType="end"/>
          </w:r>
          <w:r>
            <w:rPr>
              <w:rFonts w:hint="eastAsia" w:ascii="宋体" w:hAnsi="宋体" w:eastAsia="宋体" w:cs="宋体"/>
              <w:color w:val="auto"/>
              <w:kern w:val="2"/>
              <w:szCs w:val="24"/>
              <w:highlight w:val="none"/>
              <w:lang w:val="en-US" w:eastAsia="zh-CN" w:bidi="ar-SA"/>
            </w:rPr>
            <w:fldChar w:fldCharType="end"/>
          </w:r>
        </w:p>
        <w:p w14:paraId="60592A75">
          <w:pPr>
            <w:pStyle w:val="14"/>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_Toc32556 </w:instrText>
          </w:r>
          <w:r>
            <w:rPr>
              <w:rFonts w:hint="eastAsia" w:ascii="宋体" w:hAnsi="宋体" w:eastAsia="宋体" w:cs="宋体"/>
              <w:kern w:val="2"/>
              <w:szCs w:val="24"/>
              <w:highlight w:val="none"/>
              <w:lang w:val="en-US" w:eastAsia="zh-CN" w:bidi="ar-SA"/>
            </w:rPr>
            <w:fldChar w:fldCharType="separate"/>
          </w:r>
          <w:r>
            <w:rPr>
              <w:rFonts w:hint="eastAsia"/>
              <w:lang w:val="en-US" w:eastAsia="zh-CN"/>
            </w:rPr>
            <w:t xml:space="preserve">二、 </w:t>
          </w:r>
          <w:r>
            <w:rPr>
              <w:rFonts w:hint="eastAsia"/>
              <w:highlight w:val="none"/>
              <w:lang w:val="en-US" w:eastAsia="zh-CN"/>
            </w:rPr>
            <w:t>养殖尾水水质监测概述</w:t>
          </w:r>
          <w:r>
            <w:tab/>
          </w:r>
          <w:r>
            <w:fldChar w:fldCharType="begin"/>
          </w:r>
          <w:r>
            <w:instrText xml:space="preserve"> PAGEREF _Toc32556 \h </w:instrText>
          </w:r>
          <w:r>
            <w:fldChar w:fldCharType="separate"/>
          </w:r>
          <w:r>
            <w:t>3</w:t>
          </w:r>
          <w:r>
            <w:fldChar w:fldCharType="end"/>
          </w:r>
          <w:r>
            <w:rPr>
              <w:rFonts w:hint="eastAsia" w:ascii="宋体" w:hAnsi="宋体" w:eastAsia="宋体" w:cs="宋体"/>
              <w:color w:val="auto"/>
              <w:kern w:val="2"/>
              <w:szCs w:val="24"/>
              <w:highlight w:val="none"/>
              <w:lang w:val="en-US" w:eastAsia="zh-CN" w:bidi="ar-SA"/>
            </w:rPr>
            <w:fldChar w:fldCharType="end"/>
          </w:r>
        </w:p>
        <w:p w14:paraId="15500357">
          <w:pPr>
            <w:pStyle w:val="16"/>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_Toc14530 </w:instrText>
          </w:r>
          <w:r>
            <w:rPr>
              <w:rFonts w:hint="eastAsia" w:ascii="宋体" w:hAnsi="宋体" w:eastAsia="宋体" w:cs="宋体"/>
              <w:kern w:val="2"/>
              <w:szCs w:val="24"/>
              <w:highlight w:val="none"/>
              <w:lang w:val="en-US" w:eastAsia="zh-CN" w:bidi="ar-SA"/>
            </w:rPr>
            <w:fldChar w:fldCharType="separate"/>
          </w:r>
          <w:r>
            <w:rPr>
              <w:rFonts w:hint="eastAsia"/>
              <w:lang w:val="en-US" w:eastAsia="zh-CN"/>
            </w:rPr>
            <w:t xml:space="preserve">2.1. </w:t>
          </w:r>
          <w:r>
            <w:rPr>
              <w:rFonts w:hint="eastAsia"/>
              <w:highlight w:val="none"/>
              <w:lang w:val="en-US" w:eastAsia="zh-CN"/>
            </w:rPr>
            <w:t>养殖尾水水质监测行业背景</w:t>
          </w:r>
          <w:r>
            <w:tab/>
          </w:r>
          <w:r>
            <w:fldChar w:fldCharType="begin"/>
          </w:r>
          <w:r>
            <w:instrText xml:space="preserve"> PAGEREF _Toc14530 \h </w:instrText>
          </w:r>
          <w:r>
            <w:fldChar w:fldCharType="separate"/>
          </w:r>
          <w:r>
            <w:t>3</w:t>
          </w:r>
          <w:r>
            <w:fldChar w:fldCharType="end"/>
          </w:r>
          <w:r>
            <w:rPr>
              <w:rFonts w:hint="eastAsia" w:ascii="宋体" w:hAnsi="宋体" w:eastAsia="宋体" w:cs="宋体"/>
              <w:color w:val="auto"/>
              <w:kern w:val="2"/>
              <w:szCs w:val="24"/>
              <w:highlight w:val="none"/>
              <w:lang w:val="en-US" w:eastAsia="zh-CN" w:bidi="ar-SA"/>
            </w:rPr>
            <w:fldChar w:fldCharType="end"/>
          </w:r>
        </w:p>
        <w:p w14:paraId="02E07B8A">
          <w:pPr>
            <w:pStyle w:val="16"/>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_Toc12278 </w:instrText>
          </w:r>
          <w:r>
            <w:rPr>
              <w:rFonts w:hint="eastAsia" w:ascii="宋体" w:hAnsi="宋体" w:eastAsia="宋体" w:cs="宋体"/>
              <w:kern w:val="2"/>
              <w:szCs w:val="24"/>
              <w:highlight w:val="none"/>
              <w:lang w:val="en-US" w:eastAsia="zh-CN" w:bidi="ar-SA"/>
            </w:rPr>
            <w:fldChar w:fldCharType="separate"/>
          </w:r>
          <w:r>
            <w:rPr>
              <w:rFonts w:hint="eastAsia"/>
              <w:lang w:val="en-US" w:eastAsia="zh-CN"/>
            </w:rPr>
            <w:t xml:space="preserve">2.2. </w:t>
          </w:r>
          <w:r>
            <w:rPr>
              <w:rFonts w:hint="eastAsia"/>
              <w:highlight w:val="none"/>
              <w:lang w:val="en-US" w:eastAsia="zh-CN"/>
            </w:rPr>
            <w:t>养殖尾水水质监测特点</w:t>
          </w:r>
          <w:r>
            <w:tab/>
          </w:r>
          <w:r>
            <w:fldChar w:fldCharType="begin"/>
          </w:r>
          <w:r>
            <w:instrText xml:space="preserve"> PAGEREF _Toc12278 \h </w:instrText>
          </w:r>
          <w:r>
            <w:fldChar w:fldCharType="separate"/>
          </w:r>
          <w:r>
            <w:t>3</w:t>
          </w:r>
          <w:r>
            <w:fldChar w:fldCharType="end"/>
          </w:r>
          <w:r>
            <w:rPr>
              <w:rFonts w:hint="eastAsia" w:ascii="宋体" w:hAnsi="宋体" w:eastAsia="宋体" w:cs="宋体"/>
              <w:color w:val="auto"/>
              <w:kern w:val="2"/>
              <w:szCs w:val="24"/>
              <w:highlight w:val="none"/>
              <w:lang w:val="en-US" w:eastAsia="zh-CN" w:bidi="ar-SA"/>
            </w:rPr>
            <w:fldChar w:fldCharType="end"/>
          </w:r>
        </w:p>
        <w:p w14:paraId="4456E5E5">
          <w:pPr>
            <w:pStyle w:val="14"/>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_Toc20644 </w:instrText>
          </w:r>
          <w:r>
            <w:rPr>
              <w:rFonts w:hint="eastAsia" w:ascii="宋体" w:hAnsi="宋体" w:eastAsia="宋体" w:cs="宋体"/>
              <w:kern w:val="2"/>
              <w:szCs w:val="24"/>
              <w:highlight w:val="none"/>
              <w:lang w:val="en-US" w:eastAsia="zh-CN" w:bidi="ar-SA"/>
            </w:rPr>
            <w:fldChar w:fldCharType="separate"/>
          </w:r>
          <w:r>
            <w:rPr>
              <w:rFonts w:hint="eastAsia"/>
              <w:lang w:val="en-US" w:eastAsia="zh-CN"/>
            </w:rPr>
            <w:t xml:space="preserve">三、 </w:t>
          </w:r>
          <w:r>
            <w:rPr>
              <w:rFonts w:hint="eastAsia"/>
              <w:highlight w:val="none"/>
              <w:lang w:val="en-US" w:eastAsia="zh-CN"/>
            </w:rPr>
            <w:t>建设方案设计</w:t>
          </w:r>
          <w:r>
            <w:tab/>
          </w:r>
          <w:r>
            <w:fldChar w:fldCharType="begin"/>
          </w:r>
          <w:r>
            <w:instrText xml:space="preserve"> PAGEREF _Toc20644 \h </w:instrText>
          </w:r>
          <w:r>
            <w:fldChar w:fldCharType="separate"/>
          </w:r>
          <w:r>
            <w:t>4</w:t>
          </w:r>
          <w:r>
            <w:fldChar w:fldCharType="end"/>
          </w:r>
          <w:r>
            <w:rPr>
              <w:rFonts w:hint="eastAsia" w:ascii="宋体" w:hAnsi="宋体" w:eastAsia="宋体" w:cs="宋体"/>
              <w:color w:val="auto"/>
              <w:kern w:val="2"/>
              <w:szCs w:val="24"/>
              <w:highlight w:val="none"/>
              <w:lang w:val="en-US" w:eastAsia="zh-CN" w:bidi="ar-SA"/>
            </w:rPr>
            <w:fldChar w:fldCharType="end"/>
          </w:r>
        </w:p>
        <w:p w14:paraId="787DE5A7">
          <w:pPr>
            <w:pStyle w:val="16"/>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_Toc17703 </w:instrText>
          </w:r>
          <w:r>
            <w:rPr>
              <w:rFonts w:hint="eastAsia" w:ascii="宋体" w:hAnsi="宋体" w:eastAsia="宋体" w:cs="宋体"/>
              <w:kern w:val="2"/>
              <w:szCs w:val="24"/>
              <w:highlight w:val="none"/>
              <w:lang w:val="en-US" w:eastAsia="zh-CN" w:bidi="ar-SA"/>
            </w:rPr>
            <w:fldChar w:fldCharType="separate"/>
          </w:r>
          <w:r>
            <w:rPr>
              <w:rFonts w:hint="eastAsia"/>
              <w:lang w:val="en-US" w:eastAsia="zh-CN"/>
            </w:rPr>
            <w:t xml:space="preserve">3.1. </w:t>
          </w:r>
          <w:r>
            <w:rPr>
              <w:rFonts w:hint="eastAsia"/>
              <w:highlight w:val="none"/>
              <w:lang w:val="en-US" w:eastAsia="zh-CN"/>
            </w:rPr>
            <w:t>系统框架图</w:t>
          </w:r>
          <w:r>
            <w:tab/>
          </w:r>
          <w:r>
            <w:fldChar w:fldCharType="begin"/>
          </w:r>
          <w:r>
            <w:instrText xml:space="preserve"> PAGEREF _Toc17703 \h </w:instrText>
          </w:r>
          <w:r>
            <w:fldChar w:fldCharType="separate"/>
          </w:r>
          <w:r>
            <w:t>4</w:t>
          </w:r>
          <w:r>
            <w:fldChar w:fldCharType="end"/>
          </w:r>
          <w:r>
            <w:rPr>
              <w:rFonts w:hint="eastAsia" w:ascii="宋体" w:hAnsi="宋体" w:eastAsia="宋体" w:cs="宋体"/>
              <w:color w:val="auto"/>
              <w:kern w:val="2"/>
              <w:szCs w:val="24"/>
              <w:highlight w:val="none"/>
              <w:lang w:val="en-US" w:eastAsia="zh-CN" w:bidi="ar-SA"/>
            </w:rPr>
            <w:fldChar w:fldCharType="end"/>
          </w:r>
        </w:p>
        <w:p w14:paraId="7E410C06">
          <w:pPr>
            <w:pStyle w:val="16"/>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_Toc26535 </w:instrText>
          </w:r>
          <w:r>
            <w:rPr>
              <w:rFonts w:hint="eastAsia" w:ascii="宋体" w:hAnsi="宋体" w:eastAsia="宋体" w:cs="宋体"/>
              <w:kern w:val="2"/>
              <w:szCs w:val="24"/>
              <w:highlight w:val="none"/>
              <w:lang w:val="en-US" w:eastAsia="zh-CN" w:bidi="ar-SA"/>
            </w:rPr>
            <w:fldChar w:fldCharType="separate"/>
          </w:r>
          <w:r>
            <w:rPr>
              <w:rFonts w:hint="eastAsia"/>
              <w:lang w:val="en-US" w:eastAsia="zh-CN"/>
            </w:rPr>
            <w:t xml:space="preserve">3.2. </w:t>
          </w:r>
          <w:r>
            <w:rPr>
              <w:rFonts w:hint="eastAsia"/>
              <w:highlight w:val="none"/>
              <w:lang w:val="en-US" w:eastAsia="zh-CN"/>
            </w:rPr>
            <w:t>设备选型策略</w:t>
          </w:r>
          <w:r>
            <w:tab/>
          </w:r>
          <w:r>
            <w:fldChar w:fldCharType="begin"/>
          </w:r>
          <w:r>
            <w:instrText xml:space="preserve"> PAGEREF _Toc26535 \h </w:instrText>
          </w:r>
          <w:r>
            <w:fldChar w:fldCharType="separate"/>
          </w:r>
          <w:r>
            <w:t>4</w:t>
          </w:r>
          <w:r>
            <w:fldChar w:fldCharType="end"/>
          </w:r>
          <w:r>
            <w:rPr>
              <w:rFonts w:hint="eastAsia" w:ascii="宋体" w:hAnsi="宋体" w:eastAsia="宋体" w:cs="宋体"/>
              <w:color w:val="auto"/>
              <w:kern w:val="2"/>
              <w:szCs w:val="24"/>
              <w:highlight w:val="none"/>
              <w:lang w:val="en-US" w:eastAsia="zh-CN" w:bidi="ar-SA"/>
            </w:rPr>
            <w:fldChar w:fldCharType="end"/>
          </w:r>
        </w:p>
        <w:p w14:paraId="0583CC88">
          <w:pPr>
            <w:pStyle w:val="14"/>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_Toc13567 </w:instrText>
          </w:r>
          <w:r>
            <w:rPr>
              <w:rFonts w:hint="eastAsia" w:ascii="宋体" w:hAnsi="宋体" w:eastAsia="宋体" w:cs="宋体"/>
              <w:kern w:val="2"/>
              <w:szCs w:val="24"/>
              <w:highlight w:val="none"/>
              <w:lang w:val="en-US" w:eastAsia="zh-CN" w:bidi="ar-SA"/>
            </w:rPr>
            <w:fldChar w:fldCharType="separate"/>
          </w:r>
          <w:r>
            <w:rPr>
              <w:rFonts w:hint="eastAsia"/>
              <w:lang w:val="en-US" w:eastAsia="zh-CN"/>
            </w:rPr>
            <w:t xml:space="preserve">四、 </w:t>
          </w:r>
          <w:r>
            <w:rPr>
              <w:rFonts w:hint="eastAsia"/>
              <w:highlight w:val="none"/>
              <w:lang w:val="en-US" w:eastAsia="zh-CN"/>
            </w:rPr>
            <w:t>产品介绍</w:t>
          </w:r>
          <w:r>
            <w:tab/>
          </w:r>
          <w:r>
            <w:fldChar w:fldCharType="begin"/>
          </w:r>
          <w:r>
            <w:instrText xml:space="preserve"> PAGEREF _Toc13567 \h </w:instrText>
          </w:r>
          <w:r>
            <w:fldChar w:fldCharType="separate"/>
          </w:r>
          <w:r>
            <w:t>5</w:t>
          </w:r>
          <w:r>
            <w:fldChar w:fldCharType="end"/>
          </w:r>
          <w:r>
            <w:rPr>
              <w:rFonts w:hint="eastAsia" w:ascii="宋体" w:hAnsi="宋体" w:eastAsia="宋体" w:cs="宋体"/>
              <w:color w:val="auto"/>
              <w:kern w:val="2"/>
              <w:szCs w:val="24"/>
              <w:highlight w:val="none"/>
              <w:lang w:val="en-US" w:eastAsia="zh-CN" w:bidi="ar-SA"/>
            </w:rPr>
            <w:fldChar w:fldCharType="end"/>
          </w:r>
        </w:p>
        <w:p w14:paraId="364FE226">
          <w:pPr>
            <w:pStyle w:val="16"/>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_Toc20386 </w:instrText>
          </w:r>
          <w:r>
            <w:rPr>
              <w:rFonts w:hint="eastAsia" w:ascii="宋体" w:hAnsi="宋体" w:eastAsia="宋体" w:cs="宋体"/>
              <w:kern w:val="2"/>
              <w:szCs w:val="24"/>
              <w:highlight w:val="none"/>
              <w:lang w:val="en-US" w:eastAsia="zh-CN" w:bidi="ar-SA"/>
            </w:rPr>
            <w:fldChar w:fldCharType="separate"/>
          </w:r>
          <w:r>
            <w:rPr>
              <w:rFonts w:hint="eastAsia"/>
              <w:lang w:val="en-US" w:eastAsia="zh-CN"/>
            </w:rPr>
            <w:t xml:space="preserve">4.1. </w:t>
          </w:r>
          <w:r>
            <w:rPr>
              <w:rFonts w:hint="eastAsia"/>
              <w:highlight w:val="none"/>
              <w:lang w:val="en-US" w:eastAsia="zh-CN"/>
            </w:rPr>
            <w:t>技术参数</w:t>
          </w:r>
          <w:r>
            <w:tab/>
          </w:r>
          <w:r>
            <w:fldChar w:fldCharType="begin"/>
          </w:r>
          <w:r>
            <w:instrText xml:space="preserve"> PAGEREF _Toc20386 \h </w:instrText>
          </w:r>
          <w:r>
            <w:fldChar w:fldCharType="separate"/>
          </w:r>
          <w:r>
            <w:t>5</w:t>
          </w:r>
          <w:r>
            <w:fldChar w:fldCharType="end"/>
          </w:r>
          <w:r>
            <w:rPr>
              <w:rFonts w:hint="eastAsia" w:ascii="宋体" w:hAnsi="宋体" w:eastAsia="宋体" w:cs="宋体"/>
              <w:color w:val="auto"/>
              <w:kern w:val="2"/>
              <w:szCs w:val="24"/>
              <w:highlight w:val="none"/>
              <w:lang w:val="en-US" w:eastAsia="zh-CN" w:bidi="ar-SA"/>
            </w:rPr>
            <w:fldChar w:fldCharType="end"/>
          </w:r>
        </w:p>
        <w:p w14:paraId="7E8AD78D">
          <w:pPr>
            <w:pStyle w:val="16"/>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_Toc21541 </w:instrText>
          </w:r>
          <w:r>
            <w:rPr>
              <w:rFonts w:hint="eastAsia" w:ascii="宋体" w:hAnsi="宋体" w:eastAsia="宋体" w:cs="宋体"/>
              <w:kern w:val="2"/>
              <w:szCs w:val="24"/>
              <w:highlight w:val="none"/>
              <w:lang w:val="en-US" w:eastAsia="zh-CN" w:bidi="ar-SA"/>
            </w:rPr>
            <w:fldChar w:fldCharType="separate"/>
          </w:r>
          <w:r>
            <w:rPr>
              <w:rFonts w:hint="eastAsia"/>
              <w:lang w:val="en-US" w:eastAsia="zh-CN"/>
            </w:rPr>
            <w:t xml:space="preserve">4.2. </w:t>
          </w:r>
          <w:r>
            <w:rPr>
              <w:rFonts w:hint="eastAsia"/>
              <w:highlight w:val="none"/>
              <w:lang w:val="en-US" w:eastAsia="zh-CN"/>
            </w:rPr>
            <w:t>场景适配性</w:t>
          </w:r>
          <w:r>
            <w:tab/>
          </w:r>
          <w:r>
            <w:fldChar w:fldCharType="begin"/>
          </w:r>
          <w:r>
            <w:instrText xml:space="preserve"> PAGEREF _Toc21541 \h </w:instrText>
          </w:r>
          <w:r>
            <w:fldChar w:fldCharType="separate"/>
          </w:r>
          <w:r>
            <w:t>6</w:t>
          </w:r>
          <w:r>
            <w:fldChar w:fldCharType="end"/>
          </w:r>
          <w:r>
            <w:rPr>
              <w:rFonts w:hint="eastAsia" w:ascii="宋体" w:hAnsi="宋体" w:eastAsia="宋体" w:cs="宋体"/>
              <w:color w:val="auto"/>
              <w:kern w:val="2"/>
              <w:szCs w:val="24"/>
              <w:highlight w:val="none"/>
              <w:lang w:val="en-US" w:eastAsia="zh-CN" w:bidi="ar-SA"/>
            </w:rPr>
            <w:fldChar w:fldCharType="end"/>
          </w:r>
        </w:p>
        <w:p w14:paraId="724A53F6">
          <w:pPr>
            <w:pStyle w:val="14"/>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_Toc29705 </w:instrText>
          </w:r>
          <w:r>
            <w:rPr>
              <w:rFonts w:hint="eastAsia" w:ascii="宋体" w:hAnsi="宋体" w:eastAsia="宋体" w:cs="宋体"/>
              <w:kern w:val="2"/>
              <w:szCs w:val="24"/>
              <w:highlight w:val="none"/>
              <w:lang w:val="en-US" w:eastAsia="zh-CN" w:bidi="ar-SA"/>
            </w:rPr>
            <w:fldChar w:fldCharType="separate"/>
          </w:r>
          <w:r>
            <w:rPr>
              <w:rFonts w:hint="eastAsia"/>
              <w:lang w:val="en-US" w:eastAsia="zh-CN"/>
            </w:rPr>
            <w:t xml:space="preserve">五、 </w:t>
          </w:r>
          <w:r>
            <w:rPr>
              <w:rFonts w:hint="eastAsia"/>
              <w:highlight w:val="none"/>
              <w:lang w:val="en-US" w:eastAsia="zh-CN"/>
            </w:rPr>
            <w:t>设备寿命及维护</w:t>
          </w:r>
          <w:r>
            <w:tab/>
          </w:r>
          <w:r>
            <w:fldChar w:fldCharType="begin"/>
          </w:r>
          <w:r>
            <w:instrText xml:space="preserve"> PAGEREF _Toc29705 \h </w:instrText>
          </w:r>
          <w:r>
            <w:fldChar w:fldCharType="separate"/>
          </w:r>
          <w:r>
            <w:t>7</w:t>
          </w:r>
          <w:r>
            <w:fldChar w:fldCharType="end"/>
          </w:r>
          <w:r>
            <w:rPr>
              <w:rFonts w:hint="eastAsia" w:ascii="宋体" w:hAnsi="宋体" w:eastAsia="宋体" w:cs="宋体"/>
              <w:color w:val="auto"/>
              <w:kern w:val="2"/>
              <w:szCs w:val="24"/>
              <w:highlight w:val="none"/>
              <w:lang w:val="en-US" w:eastAsia="zh-CN" w:bidi="ar-SA"/>
            </w:rPr>
            <w:fldChar w:fldCharType="end"/>
          </w:r>
        </w:p>
        <w:p w14:paraId="73F2505A">
          <w:pPr>
            <w:pStyle w:val="16"/>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_Toc19456 </w:instrText>
          </w:r>
          <w:r>
            <w:rPr>
              <w:rFonts w:hint="eastAsia" w:ascii="宋体" w:hAnsi="宋体" w:eastAsia="宋体" w:cs="宋体"/>
              <w:kern w:val="2"/>
              <w:szCs w:val="24"/>
              <w:highlight w:val="none"/>
              <w:lang w:val="en-US" w:eastAsia="zh-CN" w:bidi="ar-SA"/>
            </w:rPr>
            <w:fldChar w:fldCharType="separate"/>
          </w:r>
          <w:r>
            <w:rPr>
              <w:rFonts w:hint="eastAsia"/>
              <w:lang w:val="en-US" w:eastAsia="zh-CN"/>
            </w:rPr>
            <w:t xml:space="preserve">5.1. </w:t>
          </w:r>
          <w:r>
            <w:rPr>
              <w:rFonts w:hint="eastAsia"/>
              <w:highlight w:val="none"/>
              <w:lang w:val="en-US" w:eastAsia="zh-CN"/>
            </w:rPr>
            <w:t>设备寿命周期与维护周期表</w:t>
          </w:r>
          <w:r>
            <w:tab/>
          </w:r>
          <w:r>
            <w:fldChar w:fldCharType="begin"/>
          </w:r>
          <w:r>
            <w:instrText xml:space="preserve"> PAGEREF _Toc19456 \h </w:instrText>
          </w:r>
          <w:r>
            <w:fldChar w:fldCharType="separate"/>
          </w:r>
          <w:r>
            <w:t>7</w:t>
          </w:r>
          <w:r>
            <w:fldChar w:fldCharType="end"/>
          </w:r>
          <w:r>
            <w:rPr>
              <w:rFonts w:hint="eastAsia" w:ascii="宋体" w:hAnsi="宋体" w:eastAsia="宋体" w:cs="宋体"/>
              <w:color w:val="auto"/>
              <w:kern w:val="2"/>
              <w:szCs w:val="24"/>
              <w:highlight w:val="none"/>
              <w:lang w:val="en-US" w:eastAsia="zh-CN" w:bidi="ar-SA"/>
            </w:rPr>
            <w:fldChar w:fldCharType="end"/>
          </w:r>
        </w:p>
        <w:p w14:paraId="3DCAB91C">
          <w:pPr>
            <w:pStyle w:val="16"/>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_Toc7526 </w:instrText>
          </w:r>
          <w:r>
            <w:rPr>
              <w:rFonts w:hint="eastAsia" w:ascii="宋体" w:hAnsi="宋体" w:eastAsia="宋体" w:cs="宋体"/>
              <w:kern w:val="2"/>
              <w:szCs w:val="24"/>
              <w:highlight w:val="none"/>
              <w:lang w:val="en-US" w:eastAsia="zh-CN" w:bidi="ar-SA"/>
            </w:rPr>
            <w:fldChar w:fldCharType="separate"/>
          </w:r>
          <w:r>
            <w:rPr>
              <w:rFonts w:hint="eastAsia"/>
            </w:rPr>
            <w:t xml:space="preserve">5.2. </w:t>
          </w:r>
          <w:r>
            <w:rPr>
              <w:rFonts w:hint="eastAsia"/>
              <w:highlight w:val="none"/>
              <w:lang w:val="en-US" w:eastAsia="zh-CN"/>
            </w:rPr>
            <w:t>设备</w:t>
          </w:r>
          <w:r>
            <w:rPr>
              <w:rFonts w:hint="eastAsia"/>
              <w:highlight w:val="none"/>
            </w:rPr>
            <w:t>日常维护</w:t>
          </w:r>
          <w:r>
            <w:tab/>
          </w:r>
          <w:r>
            <w:fldChar w:fldCharType="begin"/>
          </w:r>
          <w:r>
            <w:instrText xml:space="preserve"> PAGEREF _Toc7526 \h </w:instrText>
          </w:r>
          <w:r>
            <w:fldChar w:fldCharType="separate"/>
          </w:r>
          <w:r>
            <w:t>8</w:t>
          </w:r>
          <w:r>
            <w:fldChar w:fldCharType="end"/>
          </w:r>
          <w:r>
            <w:rPr>
              <w:rFonts w:hint="eastAsia" w:ascii="宋体" w:hAnsi="宋体" w:eastAsia="宋体" w:cs="宋体"/>
              <w:color w:val="auto"/>
              <w:kern w:val="2"/>
              <w:szCs w:val="24"/>
              <w:highlight w:val="none"/>
              <w:lang w:val="en-US" w:eastAsia="zh-CN" w:bidi="ar-SA"/>
            </w:rPr>
            <w:fldChar w:fldCharType="end"/>
          </w:r>
        </w:p>
        <w:p w14:paraId="5C39DE55">
          <w:pPr>
            <w:pStyle w:val="16"/>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_Toc23751 </w:instrText>
          </w:r>
          <w:r>
            <w:rPr>
              <w:rFonts w:hint="eastAsia" w:ascii="宋体" w:hAnsi="宋体" w:eastAsia="宋体" w:cs="宋体"/>
              <w:kern w:val="2"/>
              <w:szCs w:val="24"/>
              <w:highlight w:val="none"/>
              <w:lang w:val="en-US" w:eastAsia="zh-CN" w:bidi="ar-SA"/>
            </w:rPr>
            <w:fldChar w:fldCharType="separate"/>
          </w:r>
          <w:r>
            <w:rPr>
              <w:rFonts w:hint="eastAsia"/>
            </w:rPr>
            <w:t xml:space="preserve">5.3. </w:t>
          </w:r>
          <w:r>
            <w:rPr>
              <w:rFonts w:hint="eastAsia"/>
              <w:highlight w:val="none"/>
              <w:lang w:val="en-US" w:eastAsia="zh-CN"/>
            </w:rPr>
            <w:t>设备</w:t>
          </w:r>
          <w:r>
            <w:rPr>
              <w:rFonts w:hint="eastAsia"/>
              <w:highlight w:val="none"/>
            </w:rPr>
            <w:t>维护注意事项</w:t>
          </w:r>
          <w:r>
            <w:tab/>
          </w:r>
          <w:r>
            <w:fldChar w:fldCharType="begin"/>
          </w:r>
          <w:r>
            <w:instrText xml:space="preserve"> PAGEREF _Toc23751 \h </w:instrText>
          </w:r>
          <w:r>
            <w:fldChar w:fldCharType="separate"/>
          </w:r>
          <w:r>
            <w:t>9</w:t>
          </w:r>
          <w:r>
            <w:fldChar w:fldCharType="end"/>
          </w:r>
          <w:r>
            <w:rPr>
              <w:rFonts w:hint="eastAsia" w:ascii="宋体" w:hAnsi="宋体" w:eastAsia="宋体" w:cs="宋体"/>
              <w:color w:val="auto"/>
              <w:kern w:val="2"/>
              <w:szCs w:val="24"/>
              <w:highlight w:val="none"/>
              <w:lang w:val="en-US" w:eastAsia="zh-CN" w:bidi="ar-SA"/>
            </w:rPr>
            <w:fldChar w:fldCharType="end"/>
          </w:r>
        </w:p>
        <w:p w14:paraId="637526FF">
          <w:pPr>
            <w:pStyle w:val="14"/>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_Toc1431 </w:instrText>
          </w:r>
          <w:r>
            <w:rPr>
              <w:rFonts w:hint="eastAsia" w:ascii="宋体" w:hAnsi="宋体" w:eastAsia="宋体" w:cs="宋体"/>
              <w:kern w:val="2"/>
              <w:szCs w:val="24"/>
              <w:highlight w:val="none"/>
              <w:lang w:val="en-US" w:eastAsia="zh-CN" w:bidi="ar-SA"/>
            </w:rPr>
            <w:fldChar w:fldCharType="separate"/>
          </w:r>
          <w:r>
            <w:rPr>
              <w:rFonts w:hint="eastAsia"/>
              <w:lang w:val="en-US" w:eastAsia="zh-CN"/>
            </w:rPr>
            <w:t xml:space="preserve">六、 </w:t>
          </w:r>
          <w:r>
            <w:rPr>
              <w:rFonts w:hint="eastAsia"/>
              <w:highlight w:val="none"/>
              <w:lang w:val="en-US" w:eastAsia="zh-CN"/>
            </w:rPr>
            <w:t>案例展示</w:t>
          </w:r>
          <w:r>
            <w:tab/>
          </w:r>
          <w:r>
            <w:fldChar w:fldCharType="begin"/>
          </w:r>
          <w:r>
            <w:instrText xml:space="preserve"> PAGEREF _Toc1431 \h </w:instrText>
          </w:r>
          <w:r>
            <w:fldChar w:fldCharType="separate"/>
          </w:r>
          <w:r>
            <w:t>10</w:t>
          </w:r>
          <w:r>
            <w:fldChar w:fldCharType="end"/>
          </w:r>
          <w:r>
            <w:rPr>
              <w:rFonts w:hint="eastAsia" w:ascii="宋体" w:hAnsi="宋体" w:eastAsia="宋体" w:cs="宋体"/>
              <w:color w:val="auto"/>
              <w:kern w:val="2"/>
              <w:szCs w:val="24"/>
              <w:highlight w:val="none"/>
              <w:lang w:val="en-US" w:eastAsia="zh-CN" w:bidi="ar-SA"/>
            </w:rPr>
            <w:fldChar w:fldCharType="end"/>
          </w:r>
        </w:p>
        <w:p w14:paraId="191B1C72">
          <w:pPr>
            <w:pStyle w:val="16"/>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_Toc4417 </w:instrText>
          </w:r>
          <w:r>
            <w:rPr>
              <w:rFonts w:hint="eastAsia" w:ascii="宋体" w:hAnsi="宋体" w:eastAsia="宋体" w:cs="宋体"/>
              <w:kern w:val="2"/>
              <w:szCs w:val="24"/>
              <w:highlight w:val="none"/>
              <w:lang w:val="en-US" w:eastAsia="zh-CN" w:bidi="ar-SA"/>
            </w:rPr>
            <w:fldChar w:fldCharType="separate"/>
          </w:r>
          <w:r>
            <w:rPr>
              <w:rFonts w:hint="eastAsia"/>
              <w:lang w:val="en-US" w:eastAsia="zh-CN"/>
            </w:rPr>
            <w:t xml:space="preserve">6.1. </w:t>
          </w:r>
          <w:r>
            <w:rPr>
              <w:rFonts w:hint="eastAsia"/>
              <w:highlight w:val="none"/>
              <w:lang w:val="en-US" w:eastAsia="zh-CN"/>
            </w:rPr>
            <w:t>案例1：淮安市盱眙县微型水站搭配传感器、分析仪在小龙虾养殖中应用</w:t>
          </w:r>
          <w:r>
            <w:tab/>
          </w:r>
          <w:r>
            <w:fldChar w:fldCharType="begin"/>
          </w:r>
          <w:r>
            <w:instrText xml:space="preserve"> PAGEREF _Toc4417 \h </w:instrText>
          </w:r>
          <w:r>
            <w:fldChar w:fldCharType="separate"/>
          </w:r>
          <w:r>
            <w:t>10</w:t>
          </w:r>
          <w:r>
            <w:fldChar w:fldCharType="end"/>
          </w:r>
          <w:r>
            <w:rPr>
              <w:rFonts w:hint="eastAsia" w:ascii="宋体" w:hAnsi="宋体" w:eastAsia="宋体" w:cs="宋体"/>
              <w:color w:val="auto"/>
              <w:kern w:val="2"/>
              <w:szCs w:val="24"/>
              <w:highlight w:val="none"/>
              <w:lang w:val="en-US" w:eastAsia="zh-CN" w:bidi="ar-SA"/>
            </w:rPr>
            <w:fldChar w:fldCharType="end"/>
          </w:r>
        </w:p>
        <w:p w14:paraId="4775DE95">
          <w:pPr>
            <w:pStyle w:val="16"/>
            <w:tabs>
              <w:tab w:val="right" w:leader="dot" w:pos="8306"/>
            </w:tabs>
          </w:pPr>
          <w:r>
            <w:rPr>
              <w:rFonts w:hint="eastAsia" w:ascii="宋体" w:hAnsi="宋体" w:eastAsia="宋体" w:cs="宋体"/>
              <w:color w:val="auto"/>
              <w:kern w:val="2"/>
              <w:szCs w:val="24"/>
              <w:highlight w:val="none"/>
              <w:lang w:val="en-US" w:eastAsia="zh-CN" w:bidi="ar-SA"/>
            </w:rPr>
            <w:fldChar w:fldCharType="begin"/>
          </w:r>
          <w:r>
            <w:rPr>
              <w:rFonts w:hint="eastAsia" w:ascii="宋体" w:hAnsi="宋体" w:eastAsia="宋体" w:cs="宋体"/>
              <w:kern w:val="2"/>
              <w:szCs w:val="24"/>
              <w:highlight w:val="none"/>
              <w:lang w:val="en-US" w:eastAsia="zh-CN" w:bidi="ar-SA"/>
            </w:rPr>
            <w:instrText xml:space="preserve"> HYPERLINK \l _Toc27427 </w:instrText>
          </w:r>
          <w:r>
            <w:rPr>
              <w:rFonts w:hint="eastAsia" w:ascii="宋体" w:hAnsi="宋体" w:eastAsia="宋体" w:cs="宋体"/>
              <w:kern w:val="2"/>
              <w:szCs w:val="24"/>
              <w:highlight w:val="none"/>
              <w:lang w:val="en-US" w:eastAsia="zh-CN" w:bidi="ar-SA"/>
            </w:rPr>
            <w:fldChar w:fldCharType="separate"/>
          </w:r>
          <w:r>
            <w:rPr>
              <w:rFonts w:hint="eastAsia"/>
              <w:lang w:val="en-US" w:eastAsia="zh-CN"/>
            </w:rPr>
            <w:t xml:space="preserve">6.2. </w:t>
          </w:r>
          <w:r>
            <w:rPr>
              <w:rFonts w:hint="eastAsia"/>
              <w:highlight w:val="none"/>
              <w:lang w:val="en-US" w:eastAsia="zh-CN"/>
            </w:rPr>
            <w:t>案例2：广东江门某养殖尾水水质监测项目</w:t>
          </w:r>
          <w:r>
            <w:tab/>
          </w:r>
          <w:r>
            <w:fldChar w:fldCharType="begin"/>
          </w:r>
          <w:r>
            <w:instrText xml:space="preserve"> PAGEREF _Toc27427 \h </w:instrText>
          </w:r>
          <w:r>
            <w:fldChar w:fldCharType="separate"/>
          </w:r>
          <w:r>
            <w:t>11</w:t>
          </w:r>
          <w:r>
            <w:fldChar w:fldCharType="end"/>
          </w:r>
          <w:r>
            <w:rPr>
              <w:rFonts w:hint="eastAsia" w:ascii="宋体" w:hAnsi="宋体" w:eastAsia="宋体" w:cs="宋体"/>
              <w:color w:val="auto"/>
              <w:kern w:val="2"/>
              <w:szCs w:val="24"/>
              <w:highlight w:val="none"/>
              <w:lang w:val="en-US" w:eastAsia="zh-CN" w:bidi="ar-SA"/>
            </w:rPr>
            <w:fldChar w:fldCharType="end"/>
          </w:r>
        </w:p>
        <w:p w14:paraId="40F13162">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Cs w:val="24"/>
              <w:highlight w:val="none"/>
              <w:lang w:val="en-US" w:eastAsia="zh-CN" w:bidi="ar-SA"/>
            </w:rPr>
            <w:fldChar w:fldCharType="end"/>
          </w:r>
        </w:p>
      </w:sdtContent>
    </w:sdt>
    <w:p w14:paraId="34DAA2F4">
      <w:pPr>
        <w:rPr>
          <w:rFonts w:hint="eastAsia"/>
          <w:color w:val="auto"/>
          <w:highlight w:val="none"/>
        </w:rPr>
      </w:pPr>
    </w:p>
    <w:p w14:paraId="49373C21">
      <w:pPr>
        <w:rPr>
          <w:rFonts w:hint="eastAsia"/>
          <w:color w:val="auto"/>
          <w:highlight w:val="none"/>
        </w:rPr>
        <w:sectPr>
          <w:headerReference r:id="rId6" w:type="default"/>
          <w:footerReference r:id="rId7" w:type="default"/>
          <w:pgSz w:w="11906" w:h="16838"/>
          <w:pgMar w:top="1440" w:right="1800" w:bottom="1440" w:left="1800" w:header="851" w:footer="992" w:gutter="0"/>
          <w:pgNumType w:fmt="decimal" w:start="1"/>
          <w:cols w:space="425" w:num="1"/>
          <w:docGrid w:type="lines" w:linePitch="312" w:charSpace="0"/>
        </w:sectPr>
      </w:pPr>
    </w:p>
    <w:p w14:paraId="522919CD">
      <w:pPr>
        <w:pStyle w:val="2"/>
        <w:bidi w:val="0"/>
        <w:rPr>
          <w:rFonts w:hint="eastAsia"/>
          <w:color w:val="auto"/>
          <w:highlight w:val="none"/>
          <w:lang w:val="en-US" w:eastAsia="zh-CN"/>
        </w:rPr>
      </w:pPr>
      <w:bookmarkStart w:id="0" w:name="_Toc3865"/>
      <w:bookmarkStart w:id="1" w:name="_Toc30473"/>
      <w:r>
        <w:rPr>
          <w:rFonts w:hint="eastAsia"/>
          <w:color w:val="auto"/>
          <w:highlight w:val="none"/>
          <w:lang w:val="en-US" w:eastAsia="zh-CN"/>
        </w:rPr>
        <w:t>公司简介</w:t>
      </w:r>
      <w:bookmarkEnd w:id="0"/>
      <w:bookmarkEnd w:id="1"/>
    </w:p>
    <w:p w14:paraId="005BDF9F">
      <w:pPr>
        <w:rPr>
          <w:rFonts w:hint="eastAsia"/>
          <w:color w:val="auto"/>
          <w:highlight w:val="none"/>
          <w:lang w:val="en-US" w:eastAsia="zh-CN"/>
        </w:rPr>
      </w:pPr>
    </w:p>
    <w:p w14:paraId="73B189D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highlight w:val="none"/>
        </w:rPr>
      </w:pPr>
      <w:r>
        <w:rPr>
          <w:color w:val="auto"/>
          <w:highlight w:val="none"/>
        </w:rPr>
        <w:drawing>
          <wp:inline distT="0" distB="0" distL="0" distR="0">
            <wp:extent cx="4585970" cy="3395980"/>
            <wp:effectExtent l="0" t="0" r="1270"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cstate="print"/>
                    <a:stretch>
                      <a:fillRect/>
                    </a:stretch>
                  </pic:blipFill>
                  <pic:spPr>
                    <a:xfrm>
                      <a:off x="0" y="0"/>
                      <a:ext cx="4585970" cy="3395980"/>
                    </a:xfrm>
                    <a:prstGeom prst="rect">
                      <a:avLst/>
                    </a:prstGeom>
                  </pic:spPr>
                </pic:pic>
              </a:graphicData>
            </a:graphic>
          </wp:inline>
        </w:drawing>
      </w:r>
    </w:p>
    <w:p w14:paraId="1F9DEB6A">
      <w:pPr>
        <w:keepNext w:val="0"/>
        <w:keepLines w:val="0"/>
        <w:pageBreakBefore w:val="0"/>
        <w:widowControl w:val="0"/>
        <w:kinsoku/>
        <w:wordWrap/>
        <w:overflowPunct/>
        <w:topLinePunct w:val="0"/>
        <w:autoSpaceDE/>
        <w:autoSpaceDN/>
        <w:bidi w:val="0"/>
        <w:adjustRightInd/>
        <w:snapToGrid/>
        <w:ind w:firstLine="0" w:firstLineChars="0"/>
        <w:jc w:val="left"/>
        <w:textAlignment w:val="auto"/>
        <w:rPr>
          <w:color w:val="auto"/>
          <w:highlight w:val="none"/>
        </w:rPr>
      </w:pPr>
    </w:p>
    <w:p w14:paraId="05A25232">
      <w:pPr>
        <w:rPr>
          <w:rFonts w:hint="eastAsia"/>
          <w:color w:val="auto"/>
          <w:highlight w:val="none"/>
          <w:lang w:val="en-US" w:eastAsia="zh-CN"/>
        </w:rPr>
      </w:pPr>
      <w:r>
        <w:rPr>
          <w:rFonts w:hint="eastAsia"/>
          <w:highlight w:val="none"/>
          <w:lang w:val="en-US" w:eastAsia="zh-CN"/>
        </w:rPr>
        <w:t>青岛精诚仪器仪表</w:t>
      </w:r>
      <w:r>
        <w:rPr>
          <w:rFonts w:hint="eastAsia"/>
          <w:highlight w:val="none"/>
        </w:rPr>
        <w:t>有限公司（简称</w:t>
      </w:r>
      <w:r>
        <w:rPr>
          <w:rFonts w:hint="eastAsia"/>
          <w:highlight w:val="none"/>
          <w:lang w:val="en-US" w:eastAsia="zh-CN"/>
        </w:rPr>
        <w:t>青岛精诚</w:t>
      </w:r>
      <w:r>
        <w:rPr>
          <w:rFonts w:hint="eastAsia"/>
          <w:highlight w:val="none"/>
        </w:rPr>
        <w:t>）</w:t>
      </w:r>
      <w:r>
        <w:rPr>
          <w:rFonts w:hint="eastAsia"/>
          <w:color w:val="auto"/>
          <w:highlight w:val="none"/>
          <w:lang w:val="en-US" w:eastAsia="zh-CN"/>
        </w:rPr>
        <w:t>，是一家专业从事生态环境、水利水务、工业过程控制、智慧农业、海洋监测等应用的水质分析仪器研发制造商，以自主研发生产的水质自动监测仪器为核心，应用自动化控制与系统集成技术，为客户提供自动化、智能化的环境监测系统解决方案，并为客户提供环境监测设施的第三方运营服务。</w:t>
      </w:r>
    </w:p>
    <w:p w14:paraId="6D03DE0F">
      <w:pPr>
        <w:rPr>
          <w:rFonts w:hint="eastAsia"/>
          <w:color w:val="auto"/>
          <w:highlight w:val="none"/>
          <w:lang w:val="en-US" w:eastAsia="zh-CN"/>
        </w:rPr>
      </w:pPr>
      <w:r>
        <w:rPr>
          <w:rFonts w:hint="eastAsia"/>
          <w:color w:val="auto"/>
          <w:highlight w:val="none"/>
          <w:lang w:val="en-US" w:eastAsia="zh-CN"/>
        </w:rPr>
        <w:t>我公司拥有完善的研发、生产、销售和技术服务团队，是国内水质数字传感领导品牌，为国内近百个市、县（区）政府和生态环境部门提供水环境监测技术支撑。</w:t>
      </w:r>
    </w:p>
    <w:p w14:paraId="61776EF0">
      <w:pPr>
        <w:rPr>
          <w:rFonts w:hint="eastAsia"/>
          <w:color w:val="auto"/>
          <w:highlight w:val="none"/>
          <w:lang w:val="en-US" w:eastAsia="zh-CN"/>
        </w:rPr>
      </w:pPr>
    </w:p>
    <w:p w14:paraId="74C1B3B6">
      <w:pPr>
        <w:rPr>
          <w:rFonts w:hint="eastAsia"/>
          <w:color w:val="auto"/>
          <w:highlight w:val="none"/>
          <w:lang w:val="en-US" w:eastAsia="zh-CN"/>
        </w:rPr>
        <w:sectPr>
          <w:pgSz w:w="11906" w:h="16838"/>
          <w:pgMar w:top="1440" w:right="1800" w:bottom="1440" w:left="1800" w:header="851" w:footer="992" w:gutter="0"/>
          <w:pgNumType w:fmt="decimal"/>
          <w:cols w:space="425" w:num="1"/>
          <w:docGrid w:type="lines" w:linePitch="312" w:charSpace="0"/>
        </w:sectPr>
      </w:pPr>
    </w:p>
    <w:p w14:paraId="0EAF1881">
      <w:pPr>
        <w:pStyle w:val="2"/>
        <w:bidi w:val="0"/>
        <w:rPr>
          <w:rFonts w:hint="eastAsia"/>
          <w:color w:val="auto"/>
          <w:highlight w:val="none"/>
          <w:lang w:val="en-US" w:eastAsia="zh-CN"/>
        </w:rPr>
      </w:pPr>
      <w:bookmarkStart w:id="2" w:name="_Toc32556"/>
      <w:bookmarkStart w:id="3" w:name="_Toc28553"/>
      <w:r>
        <w:rPr>
          <w:rFonts w:hint="eastAsia"/>
          <w:color w:val="auto"/>
          <w:highlight w:val="none"/>
          <w:lang w:val="en-US" w:eastAsia="zh-CN"/>
        </w:rPr>
        <w:t>养殖尾水水质监测概述</w:t>
      </w:r>
      <w:bookmarkEnd w:id="2"/>
      <w:bookmarkEnd w:id="3"/>
    </w:p>
    <w:p w14:paraId="4A3FA25E">
      <w:pPr>
        <w:pStyle w:val="3"/>
        <w:bidi w:val="0"/>
        <w:rPr>
          <w:rFonts w:hint="eastAsia"/>
          <w:color w:val="auto"/>
          <w:highlight w:val="none"/>
          <w:lang w:val="en-US" w:eastAsia="zh-CN"/>
        </w:rPr>
      </w:pPr>
      <w:bookmarkStart w:id="4" w:name="_Toc14530"/>
      <w:r>
        <w:rPr>
          <w:rFonts w:hint="eastAsia"/>
          <w:color w:val="auto"/>
          <w:highlight w:val="none"/>
          <w:lang w:val="en-US" w:eastAsia="zh-CN"/>
        </w:rPr>
        <w:t>养殖尾水水质监测行业背景</w:t>
      </w:r>
      <w:bookmarkEnd w:id="4"/>
    </w:p>
    <w:p w14:paraId="4C17E781">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rPr>
        <w:t>养殖尾水监测行业是指对养殖过程中产生的废水进行监测，以确保其符合环保标准，避免对环境和生态系统造成负面影响。随着全球养殖业规模的扩大，尾水排放问题日益突出，加之各国环保法规趋严和水资源短缺的压力，尾水监测与处理成为行业发展的重点。</w:t>
      </w:r>
    </w:p>
    <w:p w14:paraId="54E84AAF">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rPr>
        <w:t>养殖业既是我国的基础农业之一，也是环境水体的污染排放源之一。随着我国养殖业的迅速发展，养殖过程中残饵和某些化学物质累积，将对环境水体造成污染，有些会对局部水域在短时间内形成很大冲击，并可能导致水体富营养化和赤潮发生。因此，在我国一系列关于污染防治攻坚战和污染防治行动计划的文件中均要求控制养殖尾水污染。</w:t>
      </w:r>
    </w:p>
    <w:p w14:paraId="0F4C3E76">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aps w:val="0"/>
          <w:color w:val="auto"/>
          <w:spacing w:val="0"/>
          <w:sz w:val="24"/>
          <w:szCs w:val="24"/>
          <w:highlight w:val="none"/>
        </w:rPr>
        <w:t>监测技术不断进步，传感器、物联网和大数据等技术的应用使得监测更加精准高效，同时政府通过政策支持和补贴鼓励养殖场安装监测设备。然而，行业也面临成本高、技术复杂以及排放标准不统一等挑战。尽管如此，随着环保意识的提升、技术的进一步成熟以及政策的持续支持，农业养殖尾水监测行业市场需求将持续增长，未来发展前景广阔。</w:t>
      </w:r>
    </w:p>
    <w:p w14:paraId="00852EBD">
      <w:pPr>
        <w:pStyle w:val="3"/>
        <w:bidi w:val="0"/>
        <w:outlineLvl w:val="1"/>
        <w:rPr>
          <w:rFonts w:hint="default"/>
          <w:color w:val="auto"/>
          <w:highlight w:val="none"/>
          <w:lang w:val="en-US" w:eastAsia="zh-CN"/>
        </w:rPr>
      </w:pPr>
      <w:bookmarkStart w:id="5" w:name="_Toc12278"/>
      <w:bookmarkStart w:id="6" w:name="_Toc16844"/>
      <w:r>
        <w:rPr>
          <w:rFonts w:hint="eastAsia"/>
          <w:color w:val="auto"/>
          <w:highlight w:val="none"/>
          <w:lang w:val="en-US" w:eastAsia="zh-CN"/>
        </w:rPr>
        <w:t>养殖尾水水质监测特点</w:t>
      </w:r>
      <w:bookmarkEnd w:id="5"/>
      <w:bookmarkEnd w:id="6"/>
    </w:p>
    <w:p w14:paraId="11DED030">
      <w:pPr>
        <w:rPr>
          <w:rFonts w:hint="eastAsia"/>
          <w:color w:val="auto"/>
          <w:highlight w:val="none"/>
          <w:lang w:val="en-US" w:eastAsia="zh-CN"/>
        </w:rPr>
      </w:pPr>
      <w:r>
        <w:rPr>
          <w:rFonts w:hint="eastAsia"/>
          <w:color w:val="auto"/>
          <w:highlight w:val="none"/>
          <w:lang w:val="en-US" w:eastAsia="zh-CN"/>
        </w:rPr>
        <w:t>养殖尾水监测的主要水质参数包括物理、化学和生物等多个方面，用于全面评估尾水的污染状况及其对环境的潜在影响。</w:t>
      </w:r>
    </w:p>
    <w:p w14:paraId="6076C46F">
      <w:pPr>
        <w:rPr>
          <w:rFonts w:hint="eastAsia"/>
          <w:color w:val="auto"/>
          <w:highlight w:val="none"/>
          <w:lang w:val="en-US" w:eastAsia="zh-CN"/>
        </w:rPr>
      </w:pPr>
      <w:r>
        <w:rPr>
          <w:rFonts w:hint="eastAsia"/>
          <w:color w:val="auto"/>
          <w:highlight w:val="none"/>
          <w:lang w:val="en-US" w:eastAsia="zh-CN"/>
        </w:rPr>
        <w:t>常规物理参数包括pH值、温度、悬浮物（SS），这些指标反映了水体的基本性质和透明度；</w:t>
      </w:r>
    </w:p>
    <w:p w14:paraId="5B8FEAEF">
      <w:pPr>
        <w:rPr>
          <w:rFonts w:hint="eastAsia"/>
          <w:color w:val="auto"/>
          <w:highlight w:val="none"/>
          <w:lang w:val="en-US" w:eastAsia="zh-CN"/>
        </w:rPr>
      </w:pPr>
      <w:r>
        <w:rPr>
          <w:rFonts w:hint="eastAsia"/>
          <w:color w:val="auto"/>
          <w:highlight w:val="none"/>
          <w:lang w:val="en-US" w:eastAsia="zh-CN"/>
        </w:rPr>
        <w:t>化学参数主要包括化学需氧量（CODmn）、总氮（TN）、总磷（TP）这些参数直接反映了水体中有机物、营养盐和有毒物质的含量；生物参数则包括大肠菌群和藻类含量，用于评估水体的卫生安全性和生态健康状况。</w:t>
      </w:r>
    </w:p>
    <w:p w14:paraId="2C02402D">
      <w:pPr>
        <w:rPr>
          <w:rFonts w:hint="eastAsia"/>
          <w:color w:val="auto"/>
          <w:highlight w:val="none"/>
          <w:lang w:val="en-US" w:eastAsia="zh-CN"/>
        </w:rPr>
      </w:pPr>
      <w:r>
        <w:rPr>
          <w:rFonts w:hint="eastAsia"/>
          <w:color w:val="auto"/>
          <w:highlight w:val="none"/>
          <w:lang w:val="en-US" w:eastAsia="zh-CN"/>
        </w:rPr>
        <w:t>此外，海水养殖尾水还需监测盐度，以及可能存在的药物残留（如抗生素和消毒剂）。</w:t>
      </w:r>
    </w:p>
    <w:p w14:paraId="35D2CF63">
      <w:pPr>
        <w:pStyle w:val="2"/>
        <w:bidi w:val="0"/>
        <w:rPr>
          <w:rFonts w:hint="eastAsia"/>
          <w:color w:val="auto"/>
          <w:highlight w:val="none"/>
          <w:lang w:val="en-US" w:eastAsia="zh-CN"/>
        </w:rPr>
      </w:pPr>
      <w:bookmarkStart w:id="7" w:name="_Toc20644"/>
      <w:bookmarkStart w:id="8" w:name="_Toc15099"/>
      <w:r>
        <w:rPr>
          <w:rFonts w:hint="eastAsia"/>
          <w:color w:val="auto"/>
          <w:highlight w:val="none"/>
          <w:lang w:val="en-US" w:eastAsia="zh-CN"/>
        </w:rPr>
        <w:t>建设方案设计</w:t>
      </w:r>
      <w:bookmarkEnd w:id="7"/>
      <w:bookmarkEnd w:id="8"/>
    </w:p>
    <w:p w14:paraId="5FB79E96">
      <w:pPr>
        <w:pStyle w:val="3"/>
        <w:bidi w:val="0"/>
        <w:rPr>
          <w:rFonts w:hint="eastAsia"/>
          <w:color w:val="auto"/>
          <w:highlight w:val="none"/>
          <w:lang w:val="en-US" w:eastAsia="zh-CN"/>
        </w:rPr>
      </w:pPr>
      <w:bookmarkStart w:id="9" w:name="_Toc17703"/>
      <w:r>
        <w:rPr>
          <w:rFonts w:hint="eastAsia"/>
          <w:color w:val="auto"/>
          <w:highlight w:val="none"/>
          <w:lang w:val="en-US" w:eastAsia="zh-CN"/>
        </w:rPr>
        <w:t>系统框架图</w:t>
      </w:r>
      <w:bookmarkEnd w:id="9"/>
    </w:p>
    <w:p w14:paraId="042B4D08">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eastAsia"/>
          <w:color w:val="auto"/>
          <w:highlight w:val="none"/>
          <w:lang w:val="en-US" w:eastAsia="zh-CN"/>
        </w:rPr>
      </w:pPr>
      <w:r>
        <w:rPr>
          <w:highlight w:val="none"/>
        </w:rPr>
        <w:drawing>
          <wp:inline distT="0" distB="0" distL="114300" distR="114300">
            <wp:extent cx="3790950" cy="3757295"/>
            <wp:effectExtent l="0" t="0" r="0" b="1460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0"/>
                    <a:srcRect t="735"/>
                    <a:stretch>
                      <a:fillRect/>
                    </a:stretch>
                  </pic:blipFill>
                  <pic:spPr>
                    <a:xfrm>
                      <a:off x="0" y="0"/>
                      <a:ext cx="3790950" cy="3757295"/>
                    </a:xfrm>
                    <a:prstGeom prst="rect">
                      <a:avLst/>
                    </a:prstGeom>
                    <a:noFill/>
                    <a:ln>
                      <a:noFill/>
                    </a:ln>
                  </pic:spPr>
                </pic:pic>
              </a:graphicData>
            </a:graphic>
          </wp:inline>
        </w:drawing>
      </w:r>
    </w:p>
    <w:p w14:paraId="6D717F2C">
      <w:pPr>
        <w:pStyle w:val="3"/>
        <w:bidi w:val="0"/>
        <w:rPr>
          <w:rFonts w:hint="eastAsia"/>
          <w:color w:val="auto"/>
          <w:highlight w:val="none"/>
          <w:lang w:val="en-US" w:eastAsia="zh-CN"/>
        </w:rPr>
      </w:pPr>
      <w:bookmarkStart w:id="10" w:name="_Toc26535"/>
      <w:r>
        <w:rPr>
          <w:rFonts w:hint="eastAsia"/>
          <w:color w:val="auto"/>
          <w:highlight w:val="none"/>
          <w:lang w:val="en-US" w:eastAsia="zh-CN"/>
        </w:rPr>
        <w:t>设备选型策略</w:t>
      </w:r>
      <w:bookmarkEnd w:id="10"/>
    </w:p>
    <w:p w14:paraId="30F6EB94">
      <w:pPr>
        <w:widowControl w:val="0"/>
        <w:numPr>
          <w:ilvl w:val="0"/>
          <w:numId w:val="0"/>
        </w:numPr>
        <w:spacing w:line="360" w:lineRule="auto"/>
        <w:jc w:val="both"/>
        <w:rPr>
          <w:rFonts w:hint="eastAsia"/>
          <w:color w:val="auto"/>
          <w:highlight w:val="none"/>
          <w:lang w:val="en-US" w:eastAsia="zh-CN"/>
        </w:rPr>
      </w:pPr>
    </w:p>
    <w:tbl>
      <w:tblPr>
        <w:tblStyle w:val="19"/>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14"/>
        <w:gridCol w:w="2839"/>
        <w:gridCol w:w="2866"/>
      </w:tblGrid>
      <w:tr w14:paraId="63A1CB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52" w:type="pct"/>
            <w:vAlign w:val="center"/>
          </w:tcPr>
          <w:p w14:paraId="4E332A2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核心监测参数</w:t>
            </w:r>
          </w:p>
        </w:tc>
        <w:tc>
          <w:tcPr>
            <w:tcW w:w="1666" w:type="pct"/>
            <w:vAlign w:val="center"/>
          </w:tcPr>
          <w:p w14:paraId="15C168C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设备名称</w:t>
            </w:r>
          </w:p>
        </w:tc>
        <w:tc>
          <w:tcPr>
            <w:tcW w:w="1680" w:type="pct"/>
            <w:vAlign w:val="center"/>
          </w:tcPr>
          <w:p w14:paraId="0B5855C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设备原理</w:t>
            </w:r>
          </w:p>
        </w:tc>
      </w:tr>
      <w:tr w14:paraId="534C66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3"/>
            <w:vAlign w:val="center"/>
          </w:tcPr>
          <w:p w14:paraId="7ACD774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在线监测设备</w:t>
            </w:r>
          </w:p>
        </w:tc>
      </w:tr>
      <w:tr w14:paraId="3F8A60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52" w:type="pct"/>
            <w:shd w:val="clear" w:color="auto" w:fill="auto"/>
            <w:vAlign w:val="center"/>
          </w:tcPr>
          <w:p w14:paraId="60A01E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kern w:val="2"/>
                <w:sz w:val="21"/>
                <w:szCs w:val="21"/>
                <w:highlight w:val="none"/>
                <w:lang w:val="en-US" w:eastAsia="zh-CN" w:bidi="ar-SA"/>
              </w:rPr>
            </w:pPr>
            <w:r>
              <w:rPr>
                <w:rFonts w:hint="eastAsia"/>
                <w:sz w:val="21"/>
                <w:szCs w:val="21"/>
                <w:highlight w:val="none"/>
                <w:lang w:val="en-US" w:eastAsia="zh-CN"/>
              </w:rPr>
              <w:t>悬浮物</w:t>
            </w:r>
          </w:p>
        </w:tc>
        <w:tc>
          <w:tcPr>
            <w:tcW w:w="1666" w:type="pct"/>
            <w:shd w:val="clear" w:color="auto" w:fill="auto"/>
            <w:vAlign w:val="center"/>
          </w:tcPr>
          <w:p w14:paraId="25FB0B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在线</w:t>
            </w:r>
            <w:r>
              <w:rPr>
                <w:rFonts w:hint="eastAsia" w:cs="宋体"/>
                <w:i w:val="0"/>
                <w:iCs w:val="0"/>
                <w:color w:val="000000"/>
                <w:kern w:val="0"/>
                <w:sz w:val="21"/>
                <w:szCs w:val="21"/>
                <w:highlight w:val="none"/>
                <w:u w:val="none"/>
                <w:lang w:val="en-US" w:eastAsia="zh-CN" w:bidi="ar"/>
              </w:rPr>
              <w:t>悬浮物</w:t>
            </w:r>
            <w:r>
              <w:rPr>
                <w:rFonts w:hint="eastAsia" w:ascii="宋体" w:hAnsi="宋体" w:eastAsia="宋体" w:cs="宋体"/>
                <w:i w:val="0"/>
                <w:iCs w:val="0"/>
                <w:color w:val="000000"/>
                <w:kern w:val="0"/>
                <w:sz w:val="21"/>
                <w:szCs w:val="21"/>
                <w:highlight w:val="none"/>
                <w:u w:val="none"/>
                <w:lang w:val="en-US" w:eastAsia="zh-CN" w:bidi="ar"/>
              </w:rPr>
              <w:t>传感器</w:t>
            </w:r>
          </w:p>
        </w:tc>
        <w:tc>
          <w:tcPr>
            <w:tcW w:w="1680" w:type="pct"/>
            <w:shd w:val="clear" w:color="auto" w:fill="auto"/>
            <w:vAlign w:val="center"/>
          </w:tcPr>
          <w:p w14:paraId="7E6761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散射光法</w:t>
            </w:r>
          </w:p>
        </w:tc>
      </w:tr>
      <w:tr w14:paraId="5889A7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52" w:type="pct"/>
            <w:vAlign w:val="center"/>
          </w:tcPr>
          <w:p w14:paraId="60AFE7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vertAlign w:val="baseline"/>
                <w:lang w:val="en-US" w:eastAsia="zh-CN"/>
              </w:rPr>
            </w:pPr>
            <w:r>
              <w:rPr>
                <w:rFonts w:hint="eastAsia" w:ascii="宋体" w:hAnsi="宋体" w:eastAsia="宋体" w:cs="宋体"/>
                <w:i w:val="0"/>
                <w:iCs w:val="0"/>
                <w:color w:val="000000"/>
                <w:kern w:val="0"/>
                <w:sz w:val="21"/>
                <w:szCs w:val="21"/>
                <w:highlight w:val="none"/>
                <w:u w:val="none"/>
                <w:lang w:val="en-US" w:eastAsia="zh-CN" w:bidi="ar"/>
              </w:rPr>
              <w:t>PH</w:t>
            </w:r>
          </w:p>
        </w:tc>
        <w:tc>
          <w:tcPr>
            <w:tcW w:w="1666" w:type="pct"/>
            <w:vAlign w:val="center"/>
          </w:tcPr>
          <w:p w14:paraId="1FF9B4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vertAlign w:val="baseline"/>
                <w:lang w:val="en-US" w:eastAsia="zh-CN"/>
              </w:rPr>
            </w:pPr>
            <w:r>
              <w:rPr>
                <w:rFonts w:hint="eastAsia" w:ascii="宋体" w:hAnsi="宋体" w:eastAsia="宋体" w:cs="宋体"/>
                <w:i w:val="0"/>
                <w:iCs w:val="0"/>
                <w:color w:val="000000"/>
                <w:kern w:val="0"/>
                <w:sz w:val="21"/>
                <w:szCs w:val="21"/>
                <w:highlight w:val="none"/>
                <w:u w:val="none"/>
                <w:lang w:val="en-US" w:eastAsia="zh-CN" w:bidi="ar"/>
              </w:rPr>
              <w:t>在线PH传感器</w:t>
            </w:r>
          </w:p>
        </w:tc>
        <w:tc>
          <w:tcPr>
            <w:tcW w:w="1680" w:type="pct"/>
            <w:vAlign w:val="center"/>
          </w:tcPr>
          <w:p w14:paraId="1A7C59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vertAlign w:val="baseline"/>
                <w:lang w:val="en-US" w:eastAsia="zh-CN"/>
              </w:rPr>
            </w:pPr>
            <w:r>
              <w:rPr>
                <w:rFonts w:hint="eastAsia" w:ascii="宋体" w:hAnsi="宋体" w:eastAsia="宋体" w:cs="宋体"/>
                <w:i w:val="0"/>
                <w:iCs w:val="0"/>
                <w:color w:val="000000"/>
                <w:kern w:val="0"/>
                <w:sz w:val="21"/>
                <w:szCs w:val="21"/>
                <w:highlight w:val="none"/>
                <w:u w:val="none"/>
                <w:lang w:val="en-US" w:eastAsia="zh-CN" w:bidi="ar"/>
              </w:rPr>
              <w:t>玻璃电极法</w:t>
            </w:r>
          </w:p>
        </w:tc>
      </w:tr>
      <w:tr w14:paraId="32755F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52" w:type="pct"/>
            <w:vAlign w:val="center"/>
          </w:tcPr>
          <w:p w14:paraId="2DB5C4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highlight w:val="none"/>
                <w:vertAlign w:val="baseline"/>
                <w:lang w:val="en-US" w:eastAsia="zh-CN"/>
              </w:rPr>
            </w:pPr>
            <w:r>
              <w:rPr>
                <w:rFonts w:hint="eastAsia" w:ascii="宋体" w:hAnsi="宋体" w:eastAsia="宋体" w:cs="宋体"/>
                <w:i w:val="0"/>
                <w:iCs w:val="0"/>
                <w:color w:val="000000"/>
                <w:kern w:val="0"/>
                <w:sz w:val="21"/>
                <w:szCs w:val="21"/>
                <w:highlight w:val="none"/>
                <w:u w:val="none"/>
                <w:lang w:val="en-US" w:eastAsia="zh-CN" w:bidi="ar"/>
              </w:rPr>
              <w:t>高锰酸盐指数</w:t>
            </w:r>
          </w:p>
        </w:tc>
        <w:tc>
          <w:tcPr>
            <w:tcW w:w="1666" w:type="pct"/>
            <w:vAlign w:val="center"/>
          </w:tcPr>
          <w:p w14:paraId="13F80C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vertAlign w:val="baseline"/>
                <w:lang w:val="en-US" w:eastAsia="zh-CN"/>
              </w:rPr>
            </w:pPr>
            <w:r>
              <w:rPr>
                <w:rFonts w:hint="eastAsia" w:ascii="宋体" w:hAnsi="宋体" w:eastAsia="宋体" w:cs="宋体"/>
                <w:i w:val="0"/>
                <w:iCs w:val="0"/>
                <w:color w:val="000000"/>
                <w:kern w:val="0"/>
                <w:sz w:val="21"/>
                <w:szCs w:val="21"/>
                <w:highlight w:val="none"/>
                <w:u w:val="none"/>
                <w:lang w:val="en-US" w:eastAsia="zh-CN" w:bidi="ar"/>
              </w:rPr>
              <w:t>在线高锰酸盐指数分析</w:t>
            </w:r>
            <w:r>
              <w:rPr>
                <w:rFonts w:hint="eastAsia" w:cs="宋体"/>
                <w:i w:val="0"/>
                <w:iCs w:val="0"/>
                <w:color w:val="000000"/>
                <w:kern w:val="0"/>
                <w:sz w:val="21"/>
                <w:szCs w:val="21"/>
                <w:highlight w:val="none"/>
                <w:u w:val="none"/>
                <w:lang w:val="en-US" w:eastAsia="zh-CN" w:bidi="ar"/>
              </w:rPr>
              <w:t>仪</w:t>
            </w:r>
            <w:r>
              <w:rPr>
                <w:rFonts w:hint="eastAsia" w:ascii="宋体" w:hAnsi="宋体" w:eastAsia="宋体" w:cs="宋体"/>
                <w:i w:val="0"/>
                <w:iCs w:val="0"/>
                <w:color w:val="000000"/>
                <w:kern w:val="0"/>
                <w:sz w:val="21"/>
                <w:szCs w:val="21"/>
                <w:highlight w:val="none"/>
                <w:u w:val="none"/>
                <w:lang w:val="en-US" w:eastAsia="zh-CN" w:bidi="ar"/>
              </w:rPr>
              <w:t>/在线全光谱多参数传感器/便携式多参数分析仪</w:t>
            </w:r>
          </w:p>
        </w:tc>
        <w:tc>
          <w:tcPr>
            <w:tcW w:w="1680" w:type="pct"/>
            <w:vAlign w:val="center"/>
          </w:tcPr>
          <w:p w14:paraId="7691DE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highlight w:val="none"/>
                <w:vertAlign w:val="baseline"/>
                <w:lang w:val="en-US" w:eastAsia="zh-CN"/>
              </w:rPr>
            </w:pPr>
            <w:r>
              <w:rPr>
                <w:rFonts w:hint="eastAsia" w:ascii="宋体" w:hAnsi="宋体" w:eastAsia="宋体" w:cs="宋体"/>
                <w:i w:val="0"/>
                <w:iCs w:val="0"/>
                <w:color w:val="000000"/>
                <w:kern w:val="0"/>
                <w:sz w:val="21"/>
                <w:szCs w:val="21"/>
                <w:highlight w:val="none"/>
                <w:u w:val="none"/>
                <w:lang w:val="en-US" w:eastAsia="zh-CN" w:bidi="ar"/>
              </w:rPr>
              <w:t>高锰酸钾氧化法/全光谱法/光电比色法</w:t>
            </w:r>
          </w:p>
        </w:tc>
      </w:tr>
      <w:tr w14:paraId="1EBA07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52" w:type="pct"/>
            <w:vAlign w:val="center"/>
          </w:tcPr>
          <w:p w14:paraId="5712AFC5">
            <w:pPr>
              <w:spacing w:line="240" w:lineRule="auto"/>
              <w:ind w:firstLine="0" w:firstLineChars="0"/>
              <w:jc w:val="center"/>
              <w:rPr>
                <w:rFonts w:hint="default"/>
                <w:color w:val="auto"/>
                <w:sz w:val="21"/>
                <w:szCs w:val="21"/>
                <w:highlight w:val="none"/>
                <w:vertAlign w:val="baseline"/>
                <w:lang w:val="en-US" w:eastAsia="zh-CN"/>
              </w:rPr>
            </w:pPr>
            <w:r>
              <w:rPr>
                <w:rFonts w:hint="eastAsia"/>
                <w:sz w:val="21"/>
                <w:szCs w:val="21"/>
                <w:highlight w:val="none"/>
              </w:rPr>
              <w:t>总磷</w:t>
            </w:r>
          </w:p>
        </w:tc>
        <w:tc>
          <w:tcPr>
            <w:tcW w:w="1666" w:type="pct"/>
            <w:vAlign w:val="center"/>
          </w:tcPr>
          <w:p w14:paraId="5B928C57">
            <w:pPr>
              <w:widowControl/>
              <w:spacing w:line="240" w:lineRule="auto"/>
              <w:ind w:firstLine="0" w:firstLineChars="0"/>
              <w:jc w:val="center"/>
              <w:textAlignment w:val="center"/>
              <w:rPr>
                <w:rFonts w:hint="default"/>
                <w:color w:val="auto"/>
                <w:sz w:val="21"/>
                <w:szCs w:val="21"/>
                <w:highlight w:val="none"/>
                <w:vertAlign w:val="baseline"/>
                <w:lang w:val="en-US" w:eastAsia="zh-CN"/>
              </w:rPr>
            </w:pPr>
            <w:r>
              <w:rPr>
                <w:rFonts w:hint="eastAsia"/>
                <w:color w:val="000000"/>
                <w:kern w:val="0"/>
                <w:sz w:val="21"/>
                <w:szCs w:val="21"/>
                <w:highlight w:val="none"/>
                <w:lang w:bidi="ar"/>
              </w:rPr>
              <w:t>在线总磷分析仪/在线全光谱多参数传感器</w:t>
            </w:r>
            <w:r>
              <w:rPr>
                <w:rFonts w:hint="eastAsia" w:ascii="宋体" w:hAnsi="宋体" w:eastAsia="宋体" w:cs="宋体"/>
                <w:i w:val="0"/>
                <w:iCs w:val="0"/>
                <w:color w:val="000000"/>
                <w:kern w:val="0"/>
                <w:sz w:val="21"/>
                <w:szCs w:val="21"/>
                <w:highlight w:val="none"/>
                <w:u w:val="none"/>
                <w:lang w:val="en-US" w:eastAsia="zh-CN" w:bidi="ar"/>
              </w:rPr>
              <w:t>/便携式多参数分析仪</w:t>
            </w:r>
          </w:p>
        </w:tc>
        <w:tc>
          <w:tcPr>
            <w:tcW w:w="1680" w:type="pct"/>
            <w:vAlign w:val="center"/>
          </w:tcPr>
          <w:p w14:paraId="52206FB6">
            <w:pPr>
              <w:widowControl/>
              <w:spacing w:line="240" w:lineRule="auto"/>
              <w:ind w:firstLine="0" w:firstLineChars="0"/>
              <w:jc w:val="center"/>
              <w:textAlignment w:val="center"/>
              <w:rPr>
                <w:rFonts w:hint="default"/>
                <w:color w:val="auto"/>
                <w:sz w:val="21"/>
                <w:szCs w:val="21"/>
                <w:highlight w:val="none"/>
                <w:vertAlign w:val="baseline"/>
                <w:lang w:val="en-US" w:eastAsia="zh-CN"/>
              </w:rPr>
            </w:pPr>
            <w:r>
              <w:rPr>
                <w:rFonts w:hint="eastAsia"/>
                <w:color w:val="000000"/>
                <w:kern w:val="0"/>
                <w:sz w:val="21"/>
                <w:szCs w:val="21"/>
                <w:highlight w:val="none"/>
                <w:lang w:bidi="ar"/>
              </w:rPr>
              <w:t>钼酸铵分光光度法/全光谱法</w:t>
            </w:r>
            <w:r>
              <w:rPr>
                <w:rFonts w:hint="eastAsia" w:ascii="宋体" w:hAnsi="宋体" w:eastAsia="宋体" w:cs="宋体"/>
                <w:i w:val="0"/>
                <w:iCs w:val="0"/>
                <w:color w:val="000000"/>
                <w:kern w:val="0"/>
                <w:sz w:val="21"/>
                <w:szCs w:val="21"/>
                <w:highlight w:val="none"/>
                <w:u w:val="none"/>
                <w:lang w:val="en-US" w:eastAsia="zh-CN" w:bidi="ar"/>
              </w:rPr>
              <w:t>/光电比色法</w:t>
            </w:r>
          </w:p>
        </w:tc>
      </w:tr>
      <w:tr w14:paraId="4F1414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52" w:type="pct"/>
            <w:vAlign w:val="center"/>
          </w:tcPr>
          <w:p w14:paraId="39F6E8EF">
            <w:pPr>
              <w:spacing w:line="240" w:lineRule="auto"/>
              <w:ind w:firstLine="0" w:firstLineChars="0"/>
              <w:jc w:val="center"/>
              <w:rPr>
                <w:rFonts w:hint="default"/>
                <w:color w:val="auto"/>
                <w:sz w:val="21"/>
                <w:szCs w:val="21"/>
                <w:highlight w:val="none"/>
                <w:vertAlign w:val="baseline"/>
                <w:lang w:val="en-US" w:eastAsia="zh-CN"/>
              </w:rPr>
            </w:pPr>
            <w:r>
              <w:rPr>
                <w:rFonts w:hint="eastAsia"/>
                <w:sz w:val="21"/>
                <w:szCs w:val="21"/>
                <w:highlight w:val="none"/>
              </w:rPr>
              <w:t>总氮</w:t>
            </w:r>
          </w:p>
        </w:tc>
        <w:tc>
          <w:tcPr>
            <w:tcW w:w="1666" w:type="pct"/>
            <w:vAlign w:val="center"/>
          </w:tcPr>
          <w:p w14:paraId="2DFF394D">
            <w:pPr>
              <w:widowControl/>
              <w:spacing w:line="240" w:lineRule="auto"/>
              <w:ind w:firstLine="0" w:firstLineChars="0"/>
              <w:jc w:val="center"/>
              <w:textAlignment w:val="center"/>
              <w:rPr>
                <w:rFonts w:hint="default"/>
                <w:color w:val="auto"/>
                <w:sz w:val="21"/>
                <w:szCs w:val="21"/>
                <w:highlight w:val="none"/>
                <w:vertAlign w:val="baseline"/>
                <w:lang w:val="en-US" w:eastAsia="zh-CN"/>
              </w:rPr>
            </w:pPr>
            <w:r>
              <w:rPr>
                <w:rFonts w:hint="eastAsia"/>
                <w:color w:val="000000"/>
                <w:kern w:val="0"/>
                <w:sz w:val="21"/>
                <w:szCs w:val="21"/>
                <w:highlight w:val="none"/>
                <w:lang w:bidi="ar"/>
              </w:rPr>
              <w:t>在线总氮分析仪/在线全光谱多参数传感器</w:t>
            </w:r>
            <w:r>
              <w:rPr>
                <w:rFonts w:hint="eastAsia" w:ascii="宋体" w:hAnsi="宋体" w:eastAsia="宋体" w:cs="宋体"/>
                <w:i w:val="0"/>
                <w:iCs w:val="0"/>
                <w:color w:val="000000"/>
                <w:kern w:val="0"/>
                <w:sz w:val="21"/>
                <w:szCs w:val="21"/>
                <w:highlight w:val="none"/>
                <w:u w:val="none"/>
                <w:lang w:val="en-US" w:eastAsia="zh-CN" w:bidi="ar"/>
              </w:rPr>
              <w:t>/便携式多参数分析仪</w:t>
            </w:r>
          </w:p>
        </w:tc>
        <w:tc>
          <w:tcPr>
            <w:tcW w:w="1680" w:type="pct"/>
            <w:vAlign w:val="center"/>
          </w:tcPr>
          <w:p w14:paraId="3137A8FD">
            <w:pPr>
              <w:widowControl/>
              <w:spacing w:line="240" w:lineRule="auto"/>
              <w:ind w:firstLine="0" w:firstLineChars="0"/>
              <w:jc w:val="center"/>
              <w:textAlignment w:val="center"/>
              <w:rPr>
                <w:rFonts w:hint="default"/>
                <w:color w:val="auto"/>
                <w:sz w:val="21"/>
                <w:szCs w:val="21"/>
                <w:highlight w:val="none"/>
                <w:vertAlign w:val="baseline"/>
                <w:lang w:val="en-US" w:eastAsia="zh-CN"/>
              </w:rPr>
            </w:pPr>
            <w:r>
              <w:rPr>
                <w:rFonts w:hint="eastAsia"/>
                <w:color w:val="000000"/>
                <w:kern w:val="0"/>
                <w:sz w:val="21"/>
                <w:szCs w:val="21"/>
                <w:highlight w:val="none"/>
                <w:lang w:bidi="ar"/>
              </w:rPr>
              <w:t>过硫酸钾消解-紫外分光光度法/全光谱法</w:t>
            </w:r>
            <w:r>
              <w:rPr>
                <w:rFonts w:hint="eastAsia" w:ascii="宋体" w:hAnsi="宋体" w:eastAsia="宋体" w:cs="宋体"/>
                <w:i w:val="0"/>
                <w:iCs w:val="0"/>
                <w:color w:val="000000"/>
                <w:kern w:val="0"/>
                <w:sz w:val="21"/>
                <w:szCs w:val="21"/>
                <w:highlight w:val="none"/>
                <w:u w:val="none"/>
                <w:lang w:val="en-US" w:eastAsia="zh-CN" w:bidi="ar"/>
              </w:rPr>
              <w:t>/光电比色法</w:t>
            </w:r>
          </w:p>
        </w:tc>
      </w:tr>
      <w:tr w14:paraId="7D9C30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3"/>
            <w:vAlign w:val="center"/>
          </w:tcPr>
          <w:p w14:paraId="3909ED8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便携式监测设备</w:t>
            </w:r>
          </w:p>
        </w:tc>
      </w:tr>
      <w:tr w14:paraId="31C2FF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52" w:type="pct"/>
            <w:vAlign w:val="center"/>
          </w:tcPr>
          <w:p w14:paraId="5ED3CD73">
            <w:pPr>
              <w:widowControl/>
              <w:spacing w:line="240" w:lineRule="auto"/>
              <w:ind w:firstLine="0" w:firstLineChars="0"/>
              <w:jc w:val="center"/>
              <w:textAlignment w:val="center"/>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高锰酸盐指数</w:t>
            </w:r>
          </w:p>
        </w:tc>
        <w:tc>
          <w:tcPr>
            <w:tcW w:w="1666" w:type="pct"/>
            <w:vMerge w:val="restart"/>
            <w:vAlign w:val="center"/>
          </w:tcPr>
          <w:p w14:paraId="2D96C83E">
            <w:pPr>
              <w:widowControl/>
              <w:spacing w:line="240" w:lineRule="auto"/>
              <w:ind w:firstLine="0" w:firstLineChars="0"/>
              <w:jc w:val="center"/>
              <w:textAlignment w:val="center"/>
              <w:rPr>
                <w:rFonts w:hint="eastAsia"/>
                <w:color w:val="auto"/>
                <w:sz w:val="21"/>
                <w:szCs w:val="21"/>
                <w:highlight w:val="none"/>
                <w:vertAlign w:val="baseline"/>
                <w:lang w:val="en-US" w:eastAsia="zh-CN"/>
              </w:rPr>
            </w:pPr>
            <w:r>
              <w:rPr>
                <w:rFonts w:hint="eastAsia"/>
                <w:color w:val="000000"/>
                <w:kern w:val="0"/>
                <w:sz w:val="21"/>
                <w:szCs w:val="21"/>
                <w:highlight w:val="none"/>
                <w:lang w:bidi="ar"/>
              </w:rPr>
              <w:t>便携式多参数分析仪</w:t>
            </w:r>
          </w:p>
        </w:tc>
        <w:tc>
          <w:tcPr>
            <w:tcW w:w="1680" w:type="pct"/>
            <w:vMerge w:val="restart"/>
            <w:vAlign w:val="center"/>
          </w:tcPr>
          <w:p w14:paraId="52855F36">
            <w:pPr>
              <w:widowControl/>
              <w:spacing w:line="240" w:lineRule="auto"/>
              <w:ind w:firstLine="0" w:firstLineChars="0"/>
              <w:jc w:val="center"/>
              <w:textAlignment w:val="center"/>
              <w:rPr>
                <w:rFonts w:hint="eastAsia"/>
                <w:color w:val="auto"/>
                <w:sz w:val="21"/>
                <w:szCs w:val="21"/>
                <w:highlight w:val="none"/>
                <w:vertAlign w:val="baseline"/>
                <w:lang w:val="en-US" w:eastAsia="zh-CN"/>
              </w:rPr>
            </w:pPr>
            <w:r>
              <w:rPr>
                <w:rFonts w:hint="eastAsia"/>
                <w:color w:val="000000"/>
                <w:kern w:val="0"/>
                <w:sz w:val="21"/>
                <w:szCs w:val="21"/>
                <w:highlight w:val="none"/>
                <w:lang w:bidi="ar"/>
              </w:rPr>
              <w:t>光电比色法</w:t>
            </w:r>
          </w:p>
        </w:tc>
      </w:tr>
      <w:tr w14:paraId="5D1148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52" w:type="pct"/>
            <w:shd w:val="clear" w:color="auto" w:fill="auto"/>
            <w:vAlign w:val="center"/>
          </w:tcPr>
          <w:p w14:paraId="470F78C1">
            <w:pPr>
              <w:spacing w:line="240" w:lineRule="auto"/>
              <w:ind w:firstLine="0" w:firstLineChars="0"/>
              <w:jc w:val="center"/>
              <w:rPr>
                <w:rFonts w:hint="eastAsia" w:ascii="宋体" w:hAnsi="宋体" w:eastAsia="宋体" w:cs="宋体"/>
                <w:color w:val="auto"/>
                <w:kern w:val="2"/>
                <w:sz w:val="21"/>
                <w:szCs w:val="21"/>
                <w:highlight w:val="none"/>
                <w:vertAlign w:val="baseline"/>
                <w:lang w:val="en-US" w:eastAsia="zh-CN" w:bidi="ar-SA"/>
              </w:rPr>
            </w:pPr>
            <w:r>
              <w:rPr>
                <w:rFonts w:hint="eastAsia"/>
                <w:sz w:val="21"/>
                <w:szCs w:val="21"/>
                <w:highlight w:val="none"/>
              </w:rPr>
              <w:t>总磷</w:t>
            </w:r>
          </w:p>
        </w:tc>
        <w:tc>
          <w:tcPr>
            <w:tcW w:w="1666" w:type="pct"/>
            <w:vMerge w:val="continue"/>
            <w:vAlign w:val="center"/>
          </w:tcPr>
          <w:p w14:paraId="1639150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vertAlign w:val="baseline"/>
                <w:lang w:val="en-US" w:eastAsia="zh-CN"/>
              </w:rPr>
            </w:pPr>
          </w:p>
        </w:tc>
        <w:tc>
          <w:tcPr>
            <w:tcW w:w="1680" w:type="pct"/>
            <w:vMerge w:val="continue"/>
            <w:vAlign w:val="center"/>
          </w:tcPr>
          <w:p w14:paraId="7692503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vertAlign w:val="baseline"/>
                <w:lang w:val="en-US" w:eastAsia="zh-CN"/>
              </w:rPr>
            </w:pPr>
          </w:p>
        </w:tc>
      </w:tr>
      <w:tr w14:paraId="5B94BB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52" w:type="pct"/>
            <w:shd w:val="clear" w:color="auto" w:fill="auto"/>
            <w:vAlign w:val="center"/>
          </w:tcPr>
          <w:p w14:paraId="62D7559D">
            <w:pPr>
              <w:spacing w:line="240" w:lineRule="auto"/>
              <w:ind w:firstLine="0" w:firstLineChars="0"/>
              <w:jc w:val="center"/>
              <w:rPr>
                <w:rFonts w:hint="eastAsia" w:ascii="宋体" w:hAnsi="宋体" w:eastAsia="宋体" w:cs="宋体"/>
                <w:color w:val="auto"/>
                <w:kern w:val="2"/>
                <w:sz w:val="21"/>
                <w:szCs w:val="21"/>
                <w:highlight w:val="none"/>
                <w:vertAlign w:val="baseline"/>
                <w:lang w:val="en-US" w:eastAsia="zh-CN" w:bidi="ar-SA"/>
              </w:rPr>
            </w:pPr>
            <w:r>
              <w:rPr>
                <w:rFonts w:hint="eastAsia"/>
                <w:sz w:val="21"/>
                <w:szCs w:val="21"/>
                <w:highlight w:val="none"/>
              </w:rPr>
              <w:t>总氮</w:t>
            </w:r>
          </w:p>
        </w:tc>
        <w:tc>
          <w:tcPr>
            <w:tcW w:w="1666" w:type="pct"/>
            <w:vMerge w:val="continue"/>
            <w:vAlign w:val="center"/>
          </w:tcPr>
          <w:p w14:paraId="5AD8FB8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vertAlign w:val="baseline"/>
                <w:lang w:val="en-US" w:eastAsia="zh-CN"/>
              </w:rPr>
            </w:pPr>
          </w:p>
        </w:tc>
        <w:tc>
          <w:tcPr>
            <w:tcW w:w="1680" w:type="pct"/>
            <w:vMerge w:val="continue"/>
            <w:vAlign w:val="center"/>
          </w:tcPr>
          <w:p w14:paraId="7A69C16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vertAlign w:val="baseline"/>
                <w:lang w:val="en-US" w:eastAsia="zh-CN"/>
              </w:rPr>
            </w:pPr>
          </w:p>
        </w:tc>
      </w:tr>
      <w:tr w14:paraId="41766C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52" w:type="pct"/>
            <w:vAlign w:val="center"/>
          </w:tcPr>
          <w:p w14:paraId="27CF60F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sz w:val="21"/>
                <w:szCs w:val="21"/>
                <w:highlight w:val="none"/>
                <w:lang w:val="en-US" w:eastAsia="zh-CN"/>
              </w:rPr>
            </w:pPr>
            <w:r>
              <w:rPr>
                <w:rFonts w:hint="eastAsia"/>
                <w:sz w:val="21"/>
                <w:szCs w:val="21"/>
                <w:highlight w:val="none"/>
                <w:lang w:val="en-US" w:eastAsia="zh-CN"/>
              </w:rPr>
              <w:t>PH</w:t>
            </w:r>
          </w:p>
        </w:tc>
        <w:tc>
          <w:tcPr>
            <w:tcW w:w="1666" w:type="pct"/>
            <w:vAlign w:val="center"/>
          </w:tcPr>
          <w:p w14:paraId="48F0D69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笔式PH计</w:t>
            </w:r>
          </w:p>
        </w:tc>
        <w:tc>
          <w:tcPr>
            <w:tcW w:w="1680" w:type="pct"/>
            <w:vAlign w:val="center"/>
          </w:tcPr>
          <w:p w14:paraId="61907C1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bidi="ar"/>
              </w:rPr>
              <w:t>玻璃电极法</w:t>
            </w:r>
          </w:p>
        </w:tc>
      </w:tr>
      <w:tr w14:paraId="680EB9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52" w:type="pct"/>
            <w:vAlign w:val="center"/>
          </w:tcPr>
          <w:p w14:paraId="6F43167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rPr>
            </w:pPr>
            <w:r>
              <w:rPr>
                <w:rFonts w:hint="eastAsia"/>
                <w:sz w:val="21"/>
                <w:szCs w:val="21"/>
                <w:highlight w:val="none"/>
                <w:lang w:val="en-US" w:eastAsia="zh-CN"/>
              </w:rPr>
              <w:t>全系传感器式设备</w:t>
            </w:r>
          </w:p>
        </w:tc>
        <w:tc>
          <w:tcPr>
            <w:tcW w:w="1666" w:type="pct"/>
            <w:vAlign w:val="center"/>
          </w:tcPr>
          <w:p w14:paraId="6C9D3EB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蓝精灵</w:t>
            </w:r>
          </w:p>
        </w:tc>
        <w:tc>
          <w:tcPr>
            <w:tcW w:w="1680" w:type="pct"/>
            <w:vAlign w:val="center"/>
          </w:tcPr>
          <w:p w14:paraId="6771B8F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蓝牙</w:t>
            </w:r>
          </w:p>
        </w:tc>
      </w:tr>
    </w:tbl>
    <w:p w14:paraId="7FAC930D">
      <w:pPr>
        <w:pStyle w:val="2"/>
        <w:bidi w:val="0"/>
        <w:rPr>
          <w:rFonts w:hint="eastAsia"/>
          <w:color w:val="auto"/>
          <w:highlight w:val="none"/>
          <w:lang w:val="en-US" w:eastAsia="zh-CN"/>
        </w:rPr>
      </w:pPr>
      <w:bookmarkStart w:id="11" w:name="_Toc13567"/>
      <w:bookmarkStart w:id="12" w:name="_Toc24440"/>
      <w:r>
        <w:rPr>
          <w:rFonts w:hint="eastAsia"/>
          <w:color w:val="auto"/>
          <w:highlight w:val="none"/>
          <w:lang w:val="en-US" w:eastAsia="zh-CN"/>
        </w:rPr>
        <w:t>产品介绍</w:t>
      </w:r>
      <w:bookmarkEnd w:id="11"/>
      <w:bookmarkEnd w:id="12"/>
    </w:p>
    <w:p w14:paraId="5630B0FF">
      <w:pPr>
        <w:pStyle w:val="3"/>
        <w:bidi w:val="0"/>
        <w:rPr>
          <w:rFonts w:hint="eastAsia"/>
          <w:color w:val="auto"/>
          <w:highlight w:val="none"/>
          <w:lang w:val="en-US" w:eastAsia="zh-CN"/>
        </w:rPr>
      </w:pPr>
      <w:bookmarkStart w:id="13" w:name="_Toc20386"/>
      <w:r>
        <w:rPr>
          <w:rFonts w:hint="eastAsia"/>
          <w:color w:val="auto"/>
          <w:highlight w:val="none"/>
          <w:lang w:val="en-US" w:eastAsia="zh-CN"/>
        </w:rPr>
        <w:t>技术参数</w:t>
      </w:r>
      <w:bookmarkEnd w:id="13"/>
    </w:p>
    <w:tbl>
      <w:tblPr>
        <w:tblStyle w:val="19"/>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0"/>
        <w:gridCol w:w="4185"/>
        <w:gridCol w:w="2754"/>
      </w:tblGrid>
      <w:tr w14:paraId="73F711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927" w:type="pct"/>
            <w:vAlign w:val="center"/>
          </w:tcPr>
          <w:p w14:paraId="614C5F2A">
            <w:pPr>
              <w:spacing w:line="240" w:lineRule="auto"/>
              <w:ind w:firstLine="0" w:firstLineChars="0"/>
              <w:jc w:val="center"/>
              <w:rPr>
                <w:rFonts w:hint="eastAsia"/>
                <w:b/>
                <w:bCs/>
                <w:sz w:val="21"/>
                <w:szCs w:val="21"/>
                <w:highlight w:val="none"/>
              </w:rPr>
            </w:pPr>
            <w:r>
              <w:rPr>
                <w:rFonts w:hint="eastAsia"/>
                <w:b/>
                <w:bCs/>
                <w:sz w:val="21"/>
                <w:szCs w:val="21"/>
                <w:highlight w:val="none"/>
              </w:rPr>
              <w:t>设备名称</w:t>
            </w:r>
          </w:p>
        </w:tc>
        <w:tc>
          <w:tcPr>
            <w:tcW w:w="2456" w:type="pct"/>
            <w:vAlign w:val="center"/>
          </w:tcPr>
          <w:p w14:paraId="49EBB5BC">
            <w:pPr>
              <w:spacing w:line="240" w:lineRule="auto"/>
              <w:ind w:firstLine="0" w:firstLineChars="0"/>
              <w:jc w:val="center"/>
              <w:rPr>
                <w:rFonts w:hint="eastAsia"/>
                <w:b/>
                <w:bCs/>
                <w:sz w:val="21"/>
                <w:szCs w:val="21"/>
                <w:highlight w:val="none"/>
              </w:rPr>
            </w:pPr>
            <w:r>
              <w:rPr>
                <w:rFonts w:hint="eastAsia"/>
                <w:b/>
                <w:bCs/>
                <w:sz w:val="21"/>
                <w:szCs w:val="21"/>
                <w:highlight w:val="none"/>
              </w:rPr>
              <w:t>监测参数</w:t>
            </w:r>
          </w:p>
        </w:tc>
        <w:tc>
          <w:tcPr>
            <w:tcW w:w="1616" w:type="pct"/>
            <w:vAlign w:val="center"/>
          </w:tcPr>
          <w:p w14:paraId="28AC459B">
            <w:pPr>
              <w:spacing w:line="240" w:lineRule="auto"/>
              <w:ind w:firstLine="0" w:firstLineChars="0"/>
              <w:jc w:val="center"/>
              <w:rPr>
                <w:rFonts w:hint="eastAsia"/>
                <w:b/>
                <w:bCs/>
                <w:sz w:val="21"/>
                <w:szCs w:val="21"/>
                <w:highlight w:val="none"/>
              </w:rPr>
            </w:pPr>
            <w:r>
              <w:rPr>
                <w:rFonts w:hint="eastAsia"/>
                <w:b/>
                <w:bCs/>
                <w:sz w:val="21"/>
                <w:szCs w:val="21"/>
                <w:highlight w:val="none"/>
              </w:rPr>
              <w:t>图片示例</w:t>
            </w:r>
          </w:p>
        </w:tc>
      </w:tr>
      <w:tr w14:paraId="11AD0C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33" w:hRule="atLeast"/>
        </w:trPr>
        <w:tc>
          <w:tcPr>
            <w:tcW w:w="927" w:type="pct"/>
            <w:vMerge w:val="restart"/>
            <w:shd w:val="clear" w:color="auto" w:fill="auto"/>
            <w:vAlign w:val="center"/>
          </w:tcPr>
          <w:p w14:paraId="7A9EC9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lang w:val="en-US" w:eastAsia="zh-CN"/>
              </w:rPr>
            </w:pPr>
            <w:r>
              <w:rPr>
                <w:rFonts w:hint="eastAsia"/>
                <w:color w:val="auto"/>
                <w:sz w:val="21"/>
                <w:szCs w:val="21"/>
                <w:highlight w:val="none"/>
                <w:vertAlign w:val="baseline"/>
                <w:lang w:val="en-US" w:eastAsia="zh-CN"/>
              </w:rPr>
              <w:t>岸边水质监测微站</w:t>
            </w:r>
          </w:p>
        </w:tc>
        <w:tc>
          <w:tcPr>
            <w:tcW w:w="2456" w:type="pct"/>
            <w:shd w:val="clear" w:color="auto" w:fill="auto"/>
            <w:vAlign w:val="center"/>
          </w:tcPr>
          <w:p w14:paraId="02EF792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b/>
                <w:bCs/>
                <w:sz w:val="21"/>
                <w:szCs w:val="21"/>
                <w:highlight w:val="none"/>
                <w:lang w:val="en-US" w:eastAsia="zh-CN"/>
              </w:rPr>
            </w:pPr>
            <w:r>
              <w:rPr>
                <w:rFonts w:hint="eastAsia"/>
                <w:b/>
                <w:bCs/>
                <w:sz w:val="21"/>
                <w:szCs w:val="21"/>
                <w:highlight w:val="none"/>
                <w:lang w:val="en-US" w:eastAsia="zh-CN"/>
              </w:rPr>
              <w:t>传感器式水质监测微站</w:t>
            </w:r>
          </w:p>
          <w:p w14:paraId="674CF1F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eastAsia="宋体"/>
                <w:sz w:val="21"/>
                <w:szCs w:val="21"/>
                <w:highlight w:val="none"/>
                <w:lang w:val="en-US" w:eastAsia="zh-CN"/>
              </w:rPr>
            </w:pPr>
            <w:r>
              <w:rPr>
                <w:rFonts w:hint="eastAsia"/>
                <w:sz w:val="21"/>
                <w:szCs w:val="21"/>
                <w:highlight w:val="none"/>
                <w:lang w:val="en-US" w:eastAsia="zh-CN"/>
              </w:rPr>
              <w:t>在线传感器：PH、悬浮物</w:t>
            </w:r>
          </w:p>
        </w:tc>
        <w:tc>
          <w:tcPr>
            <w:tcW w:w="1616" w:type="pct"/>
            <w:vAlign w:val="center"/>
          </w:tcPr>
          <w:p w14:paraId="4D8F52DB">
            <w:pPr>
              <w:spacing w:line="240" w:lineRule="auto"/>
              <w:ind w:firstLine="0" w:firstLineChars="0"/>
              <w:jc w:val="center"/>
              <w:rPr>
                <w:highlight w:val="none"/>
              </w:rPr>
            </w:pPr>
            <w:r>
              <w:rPr>
                <w:highlight w:val="none"/>
              </w:rPr>
              <w:drawing>
                <wp:inline distT="0" distB="0" distL="114300" distR="114300">
                  <wp:extent cx="953135" cy="1046480"/>
                  <wp:effectExtent l="0" t="0" r="18415" b="127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1"/>
                          <a:srcRect l="30284" t="25212" r="34188" b="11257"/>
                          <a:stretch>
                            <a:fillRect/>
                          </a:stretch>
                        </pic:blipFill>
                        <pic:spPr>
                          <a:xfrm>
                            <a:off x="0" y="0"/>
                            <a:ext cx="953135" cy="1046480"/>
                          </a:xfrm>
                          <a:prstGeom prst="rect">
                            <a:avLst/>
                          </a:prstGeom>
                          <a:noFill/>
                          <a:ln>
                            <a:noFill/>
                          </a:ln>
                        </pic:spPr>
                      </pic:pic>
                    </a:graphicData>
                  </a:graphic>
                </wp:inline>
              </w:drawing>
            </w:r>
          </w:p>
        </w:tc>
      </w:tr>
      <w:tr w14:paraId="45541C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7" w:type="pct"/>
            <w:vMerge w:val="continue"/>
            <w:shd w:val="clear" w:color="auto" w:fill="auto"/>
            <w:vAlign w:val="center"/>
          </w:tcPr>
          <w:p w14:paraId="21BDD9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vertAlign w:val="baseline"/>
                <w:lang w:val="en-US" w:eastAsia="zh-CN"/>
              </w:rPr>
            </w:pPr>
          </w:p>
        </w:tc>
        <w:tc>
          <w:tcPr>
            <w:tcW w:w="2456" w:type="pct"/>
            <w:shd w:val="clear" w:color="auto" w:fill="auto"/>
            <w:vAlign w:val="center"/>
          </w:tcPr>
          <w:p w14:paraId="6F2F756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b/>
                <w:bCs/>
                <w:sz w:val="21"/>
                <w:szCs w:val="21"/>
                <w:highlight w:val="none"/>
                <w:lang w:val="en-US" w:eastAsia="zh-CN"/>
              </w:rPr>
            </w:pPr>
            <w:r>
              <w:rPr>
                <w:rFonts w:hint="eastAsia"/>
                <w:b/>
                <w:bCs/>
                <w:sz w:val="21"/>
                <w:szCs w:val="21"/>
                <w:highlight w:val="none"/>
                <w:lang w:val="en-US" w:eastAsia="zh-CN"/>
              </w:rPr>
              <w:t>传感器分析仪式水质监测微站</w:t>
            </w:r>
          </w:p>
          <w:p w14:paraId="6784BBB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sz w:val="21"/>
                <w:szCs w:val="21"/>
                <w:highlight w:val="none"/>
                <w:lang w:val="en-US" w:eastAsia="zh-CN"/>
              </w:rPr>
            </w:pPr>
            <w:r>
              <w:rPr>
                <w:rFonts w:hint="eastAsia"/>
                <w:sz w:val="21"/>
                <w:szCs w:val="21"/>
                <w:highlight w:val="none"/>
                <w:lang w:val="en-US" w:eastAsia="zh-CN"/>
              </w:rPr>
              <w:t>可搭载在线传感器及在线分析仪</w:t>
            </w:r>
          </w:p>
          <w:p w14:paraId="2B0B5A9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eastAsia="宋体"/>
                <w:sz w:val="21"/>
                <w:szCs w:val="21"/>
                <w:highlight w:val="none"/>
                <w:lang w:val="en-US" w:eastAsia="zh-CN"/>
              </w:rPr>
            </w:pPr>
            <w:r>
              <w:rPr>
                <w:rFonts w:hint="eastAsia"/>
                <w:sz w:val="21"/>
                <w:szCs w:val="21"/>
                <w:highlight w:val="none"/>
                <w:lang w:val="en-US" w:eastAsia="zh-CN"/>
              </w:rPr>
              <w:t>在线传感器：</w:t>
            </w:r>
            <w:r>
              <w:rPr>
                <w:rFonts w:hint="eastAsia"/>
                <w:sz w:val="21"/>
                <w:szCs w:val="21"/>
                <w:highlight w:val="none"/>
              </w:rPr>
              <w:t>PH</w:t>
            </w:r>
            <w:r>
              <w:rPr>
                <w:rFonts w:hint="eastAsia"/>
                <w:sz w:val="21"/>
                <w:szCs w:val="21"/>
                <w:highlight w:val="none"/>
                <w:lang w:eastAsia="zh-CN"/>
              </w:rPr>
              <w:t>、</w:t>
            </w:r>
            <w:r>
              <w:rPr>
                <w:rFonts w:hint="eastAsia"/>
                <w:sz w:val="21"/>
                <w:szCs w:val="21"/>
                <w:highlight w:val="none"/>
                <w:lang w:val="en-US" w:eastAsia="zh-CN"/>
              </w:rPr>
              <w:t>悬浮物</w:t>
            </w:r>
          </w:p>
          <w:p w14:paraId="0ABBBF4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sz w:val="21"/>
                <w:szCs w:val="21"/>
                <w:highlight w:val="none"/>
                <w:lang w:val="en-US" w:eastAsia="zh-CN"/>
              </w:rPr>
            </w:pPr>
            <w:r>
              <w:rPr>
                <w:rFonts w:hint="eastAsia"/>
                <w:sz w:val="21"/>
                <w:szCs w:val="21"/>
                <w:highlight w:val="none"/>
                <w:lang w:val="en-US" w:eastAsia="zh-CN"/>
              </w:rPr>
              <w:t>在线高锰酸盐指数分析仪：</w:t>
            </w:r>
          </w:p>
          <w:p w14:paraId="05226927">
            <w:pPr>
              <w:spacing w:line="240" w:lineRule="auto"/>
              <w:ind w:firstLine="0" w:firstLineChars="0"/>
              <w:rPr>
                <w:rFonts w:hint="eastAsia"/>
                <w:sz w:val="21"/>
                <w:szCs w:val="21"/>
                <w:highlight w:val="none"/>
              </w:rPr>
            </w:pPr>
            <w:r>
              <w:rPr>
                <w:sz w:val="21"/>
                <w:szCs w:val="21"/>
                <w:highlight w:val="none"/>
              </w:rPr>
              <w:t>原理</w:t>
            </w:r>
            <w:r>
              <w:rPr>
                <w:rFonts w:hint="eastAsia"/>
                <w:sz w:val="21"/>
                <w:szCs w:val="21"/>
                <w:highlight w:val="none"/>
              </w:rPr>
              <w:t>：高锰酸钾氧化法</w:t>
            </w:r>
          </w:p>
          <w:p w14:paraId="694D4410">
            <w:pPr>
              <w:spacing w:line="240" w:lineRule="auto"/>
              <w:ind w:firstLine="0" w:firstLineChars="0"/>
              <w:rPr>
                <w:rFonts w:hint="eastAsia"/>
                <w:sz w:val="21"/>
                <w:szCs w:val="21"/>
                <w:highlight w:val="none"/>
              </w:rPr>
            </w:pPr>
            <w:r>
              <w:rPr>
                <w:sz w:val="21"/>
                <w:szCs w:val="21"/>
                <w:highlight w:val="none"/>
              </w:rPr>
              <w:t>量程</w:t>
            </w:r>
            <w:r>
              <w:rPr>
                <w:rFonts w:hint="eastAsia"/>
                <w:sz w:val="21"/>
                <w:szCs w:val="21"/>
                <w:highlight w:val="none"/>
              </w:rPr>
              <w:t>：0.0～20.00mg/L</w:t>
            </w:r>
          </w:p>
          <w:p w14:paraId="2A86BEC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sz w:val="21"/>
                <w:szCs w:val="21"/>
                <w:highlight w:val="none"/>
              </w:rPr>
            </w:pPr>
            <w:r>
              <w:rPr>
                <w:sz w:val="21"/>
                <w:szCs w:val="21"/>
                <w:highlight w:val="none"/>
              </w:rPr>
              <w:t>精度</w:t>
            </w:r>
            <w:r>
              <w:rPr>
                <w:rFonts w:hint="eastAsia"/>
                <w:sz w:val="21"/>
                <w:szCs w:val="21"/>
                <w:highlight w:val="none"/>
              </w:rPr>
              <w:t>：±10%</w:t>
            </w:r>
          </w:p>
          <w:p w14:paraId="1FDEF3E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sz w:val="21"/>
                <w:szCs w:val="21"/>
                <w:highlight w:val="none"/>
                <w:lang w:val="en-US" w:eastAsia="zh-CN"/>
              </w:rPr>
            </w:pPr>
            <w:r>
              <w:rPr>
                <w:rFonts w:hint="eastAsia"/>
                <w:sz w:val="21"/>
                <w:szCs w:val="21"/>
                <w:highlight w:val="none"/>
                <w:lang w:val="en-US" w:eastAsia="zh-CN"/>
              </w:rPr>
              <w:t>在线总磷分析仪：</w:t>
            </w:r>
          </w:p>
          <w:p w14:paraId="635657FC">
            <w:pPr>
              <w:spacing w:line="240" w:lineRule="auto"/>
              <w:ind w:firstLine="0" w:firstLineChars="0"/>
              <w:rPr>
                <w:rFonts w:hint="eastAsia"/>
                <w:sz w:val="21"/>
                <w:szCs w:val="21"/>
                <w:highlight w:val="none"/>
              </w:rPr>
            </w:pPr>
            <w:r>
              <w:rPr>
                <w:sz w:val="21"/>
                <w:szCs w:val="21"/>
                <w:highlight w:val="none"/>
              </w:rPr>
              <w:t>原理</w:t>
            </w:r>
            <w:r>
              <w:rPr>
                <w:rFonts w:hint="eastAsia"/>
                <w:sz w:val="21"/>
                <w:szCs w:val="21"/>
                <w:highlight w:val="none"/>
              </w:rPr>
              <w:t>：钼酸铵分光光度法</w:t>
            </w:r>
          </w:p>
          <w:p w14:paraId="22DB6B8D">
            <w:pPr>
              <w:spacing w:line="240" w:lineRule="auto"/>
              <w:ind w:firstLine="0" w:firstLineChars="0"/>
              <w:rPr>
                <w:rFonts w:hint="eastAsia"/>
                <w:sz w:val="21"/>
                <w:szCs w:val="21"/>
                <w:highlight w:val="none"/>
              </w:rPr>
            </w:pPr>
            <w:r>
              <w:rPr>
                <w:sz w:val="21"/>
                <w:szCs w:val="21"/>
                <w:highlight w:val="none"/>
              </w:rPr>
              <w:t>量程</w:t>
            </w:r>
            <w:r>
              <w:rPr>
                <w:rFonts w:hint="eastAsia"/>
                <w:sz w:val="21"/>
                <w:szCs w:val="21"/>
                <w:highlight w:val="none"/>
              </w:rPr>
              <w:t>：.0～10.0/20.0mg/L</w:t>
            </w:r>
          </w:p>
          <w:p w14:paraId="06B7342D">
            <w:pPr>
              <w:spacing w:line="240" w:lineRule="auto"/>
              <w:ind w:firstLine="0" w:firstLineChars="0"/>
              <w:jc w:val="left"/>
              <w:rPr>
                <w:rFonts w:hint="eastAsia"/>
                <w:sz w:val="21"/>
                <w:szCs w:val="21"/>
                <w:highlight w:val="none"/>
              </w:rPr>
            </w:pPr>
            <w:r>
              <w:rPr>
                <w:sz w:val="21"/>
                <w:szCs w:val="21"/>
                <w:highlight w:val="none"/>
              </w:rPr>
              <w:t>精度</w:t>
            </w:r>
            <w:r>
              <w:rPr>
                <w:rFonts w:hint="eastAsia"/>
                <w:sz w:val="21"/>
                <w:szCs w:val="21"/>
                <w:highlight w:val="none"/>
              </w:rPr>
              <w:t>：±10%</w:t>
            </w:r>
          </w:p>
          <w:p w14:paraId="66E6DF9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sz w:val="21"/>
                <w:szCs w:val="21"/>
                <w:highlight w:val="none"/>
                <w:lang w:val="en-US" w:eastAsia="zh-CN"/>
              </w:rPr>
            </w:pPr>
            <w:r>
              <w:rPr>
                <w:rFonts w:hint="eastAsia"/>
                <w:sz w:val="21"/>
                <w:szCs w:val="21"/>
                <w:highlight w:val="none"/>
                <w:lang w:val="en-US" w:eastAsia="zh-CN"/>
              </w:rPr>
              <w:t>在线总氮分析仪：</w:t>
            </w:r>
          </w:p>
          <w:p w14:paraId="175FAB8E">
            <w:pPr>
              <w:spacing w:line="240" w:lineRule="auto"/>
              <w:ind w:firstLine="0" w:firstLineChars="0"/>
              <w:rPr>
                <w:rFonts w:hint="eastAsia"/>
                <w:sz w:val="21"/>
                <w:szCs w:val="21"/>
                <w:highlight w:val="none"/>
              </w:rPr>
            </w:pPr>
            <w:r>
              <w:rPr>
                <w:sz w:val="21"/>
                <w:szCs w:val="21"/>
                <w:highlight w:val="none"/>
              </w:rPr>
              <w:t>原理</w:t>
            </w:r>
            <w:r>
              <w:rPr>
                <w:rFonts w:hint="eastAsia"/>
                <w:sz w:val="21"/>
                <w:szCs w:val="21"/>
                <w:highlight w:val="none"/>
              </w:rPr>
              <w:t>：过硫酸钾消解-紫外分光光度法</w:t>
            </w:r>
          </w:p>
          <w:p w14:paraId="5E6CCF5E">
            <w:pPr>
              <w:spacing w:line="240" w:lineRule="auto"/>
              <w:ind w:firstLine="0" w:firstLineChars="0"/>
              <w:rPr>
                <w:rFonts w:hint="eastAsia"/>
                <w:sz w:val="21"/>
                <w:szCs w:val="21"/>
                <w:highlight w:val="none"/>
              </w:rPr>
            </w:pPr>
            <w:r>
              <w:rPr>
                <w:sz w:val="21"/>
                <w:szCs w:val="21"/>
                <w:highlight w:val="none"/>
              </w:rPr>
              <w:t>量程</w:t>
            </w:r>
            <w:r>
              <w:rPr>
                <w:rFonts w:hint="eastAsia"/>
                <w:sz w:val="21"/>
                <w:szCs w:val="21"/>
                <w:highlight w:val="none"/>
              </w:rPr>
              <w:t>：0.0～50.0/200.0mg/L</w:t>
            </w:r>
          </w:p>
          <w:p w14:paraId="12CEDA0E">
            <w:pPr>
              <w:spacing w:line="240" w:lineRule="auto"/>
              <w:ind w:firstLine="0" w:firstLineChars="0"/>
              <w:jc w:val="left"/>
              <w:rPr>
                <w:rFonts w:hint="eastAsia"/>
                <w:sz w:val="21"/>
                <w:szCs w:val="21"/>
                <w:highlight w:val="none"/>
              </w:rPr>
            </w:pPr>
            <w:r>
              <w:rPr>
                <w:sz w:val="21"/>
                <w:szCs w:val="21"/>
                <w:highlight w:val="none"/>
              </w:rPr>
              <w:t>精度</w:t>
            </w:r>
            <w:r>
              <w:rPr>
                <w:rFonts w:hint="eastAsia"/>
                <w:sz w:val="21"/>
                <w:szCs w:val="21"/>
                <w:highlight w:val="none"/>
              </w:rPr>
              <w:t>：</w:t>
            </w:r>
            <w:r>
              <w:rPr>
                <w:rFonts w:hint="eastAsia"/>
                <w:sz w:val="21"/>
                <w:szCs w:val="21"/>
                <w:highlight w:val="none"/>
                <w:lang w:val="en-US" w:eastAsia="zh-CN"/>
              </w:rPr>
              <w:t>±</w:t>
            </w:r>
            <w:r>
              <w:rPr>
                <w:rFonts w:hint="eastAsia"/>
                <w:sz w:val="21"/>
                <w:szCs w:val="21"/>
                <w:highlight w:val="none"/>
              </w:rPr>
              <w:t>10%</w:t>
            </w:r>
          </w:p>
        </w:tc>
        <w:tc>
          <w:tcPr>
            <w:tcW w:w="1616" w:type="pct"/>
            <w:vAlign w:val="center"/>
          </w:tcPr>
          <w:p w14:paraId="40AA267B">
            <w:pPr>
              <w:spacing w:line="240" w:lineRule="auto"/>
              <w:ind w:firstLine="0" w:firstLineChars="0"/>
              <w:jc w:val="center"/>
              <w:rPr>
                <w:highlight w:val="none"/>
              </w:rPr>
            </w:pPr>
            <w:r>
              <w:rPr>
                <w:highlight w:val="none"/>
              </w:rPr>
              <w:drawing>
                <wp:inline distT="0" distB="0" distL="114300" distR="114300">
                  <wp:extent cx="1134745" cy="2200275"/>
                  <wp:effectExtent l="0" t="0" r="8255"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2"/>
                          <a:srcRect l="68336"/>
                          <a:stretch>
                            <a:fillRect/>
                          </a:stretch>
                        </pic:blipFill>
                        <pic:spPr>
                          <a:xfrm>
                            <a:off x="0" y="0"/>
                            <a:ext cx="1134745" cy="2200275"/>
                          </a:xfrm>
                          <a:prstGeom prst="rect">
                            <a:avLst/>
                          </a:prstGeom>
                          <a:noFill/>
                          <a:ln>
                            <a:noFill/>
                          </a:ln>
                        </pic:spPr>
                      </pic:pic>
                    </a:graphicData>
                  </a:graphic>
                </wp:inline>
              </w:drawing>
            </w:r>
          </w:p>
        </w:tc>
      </w:tr>
      <w:tr w14:paraId="5049B2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7" w:type="pct"/>
            <w:shd w:val="clear" w:color="auto" w:fill="auto"/>
            <w:vAlign w:val="center"/>
          </w:tcPr>
          <w:p w14:paraId="38CEF3CD">
            <w:pPr>
              <w:spacing w:line="240" w:lineRule="auto"/>
              <w:ind w:firstLine="0" w:firstLineChars="0"/>
              <w:jc w:val="center"/>
              <w:rPr>
                <w:rFonts w:hint="eastAsia" w:ascii="宋体" w:hAnsi="宋体" w:eastAsia="宋体" w:cs="宋体"/>
                <w:kern w:val="2"/>
                <w:sz w:val="21"/>
                <w:szCs w:val="21"/>
                <w:highlight w:val="none"/>
                <w:lang w:val="en-US" w:eastAsia="zh-CN" w:bidi="ar-SA"/>
              </w:rPr>
            </w:pPr>
            <w:r>
              <w:rPr>
                <w:rFonts w:hint="eastAsia"/>
                <w:sz w:val="21"/>
                <w:szCs w:val="21"/>
                <w:highlight w:val="none"/>
              </w:rPr>
              <w:t>在线全光谱多参数传感器</w:t>
            </w:r>
          </w:p>
        </w:tc>
        <w:tc>
          <w:tcPr>
            <w:tcW w:w="2456" w:type="pct"/>
            <w:shd w:val="clear" w:color="auto" w:fill="auto"/>
            <w:vAlign w:val="center"/>
          </w:tcPr>
          <w:p w14:paraId="635D00D0">
            <w:pPr>
              <w:spacing w:line="240" w:lineRule="auto"/>
              <w:ind w:firstLine="0" w:firstLineChars="0"/>
              <w:jc w:val="left"/>
              <w:rPr>
                <w:rFonts w:hint="eastAsia"/>
                <w:sz w:val="21"/>
                <w:szCs w:val="21"/>
                <w:highlight w:val="none"/>
              </w:rPr>
            </w:pPr>
            <w:r>
              <w:rPr>
                <w:sz w:val="21"/>
                <w:szCs w:val="21"/>
                <w:highlight w:val="none"/>
              </w:rPr>
              <w:t>原理</w:t>
            </w:r>
            <w:r>
              <w:rPr>
                <w:rFonts w:hint="eastAsia"/>
                <w:sz w:val="21"/>
                <w:szCs w:val="21"/>
                <w:highlight w:val="none"/>
              </w:rPr>
              <w:t>：全光谱吸收法</w:t>
            </w:r>
          </w:p>
          <w:p w14:paraId="0B32F80E">
            <w:pPr>
              <w:spacing w:line="240" w:lineRule="auto"/>
              <w:ind w:firstLine="0" w:firstLineChars="0"/>
              <w:jc w:val="left"/>
              <w:rPr>
                <w:rFonts w:hint="eastAsia"/>
                <w:sz w:val="21"/>
                <w:szCs w:val="21"/>
                <w:highlight w:val="none"/>
              </w:rPr>
            </w:pPr>
            <w:r>
              <w:rPr>
                <w:sz w:val="21"/>
                <w:szCs w:val="21"/>
                <w:highlight w:val="none"/>
              </w:rPr>
              <w:t>量程</w:t>
            </w:r>
            <w:r>
              <w:rPr>
                <w:rFonts w:hint="eastAsia"/>
                <w:sz w:val="21"/>
                <w:szCs w:val="21"/>
                <w:highlight w:val="none"/>
              </w:rPr>
              <w:t>：</w:t>
            </w:r>
          </w:p>
          <w:p w14:paraId="2200598E">
            <w:pPr>
              <w:spacing w:line="240" w:lineRule="auto"/>
              <w:ind w:firstLine="0" w:firstLineChars="0"/>
              <w:jc w:val="left"/>
              <w:rPr>
                <w:rFonts w:hint="eastAsia"/>
                <w:sz w:val="21"/>
                <w:szCs w:val="21"/>
                <w:highlight w:val="none"/>
              </w:rPr>
            </w:pPr>
            <w:r>
              <w:rPr>
                <w:rFonts w:hint="eastAsia"/>
                <w:sz w:val="21"/>
                <w:szCs w:val="21"/>
                <w:highlight w:val="none"/>
              </w:rPr>
              <w:t>COD：0～200mg/Lequiv. KHP；色度：0～500Hazen；TOC：0～150mg/L；浊度：0～400NTU；BOD：0～150mg/L；UV254：0～1.5AU；TP：0～15mg/L；TN：0～100mg/L；NHN：0～80mg/L；硝酸盐：0～15mg/L；亚硝酸盐：0～10mg/L；CODMn：0～100mg/L</w:t>
            </w:r>
          </w:p>
          <w:p w14:paraId="73B92F89">
            <w:pPr>
              <w:spacing w:line="240" w:lineRule="auto"/>
              <w:ind w:firstLine="0" w:firstLineChars="0"/>
              <w:jc w:val="left"/>
              <w:rPr>
                <w:rFonts w:hint="eastAsia" w:ascii="宋体" w:hAnsi="宋体" w:eastAsia="宋体" w:cs="宋体"/>
                <w:kern w:val="2"/>
                <w:sz w:val="21"/>
                <w:szCs w:val="21"/>
                <w:highlight w:val="none"/>
                <w:lang w:val="en-US" w:eastAsia="zh-CN" w:bidi="ar-SA"/>
              </w:rPr>
            </w:pPr>
            <w:r>
              <w:rPr>
                <w:sz w:val="21"/>
                <w:szCs w:val="21"/>
                <w:highlight w:val="none"/>
              </w:rPr>
              <w:t>精度</w:t>
            </w:r>
            <w:r>
              <w:rPr>
                <w:rFonts w:hint="eastAsia"/>
                <w:sz w:val="21"/>
                <w:szCs w:val="21"/>
                <w:highlight w:val="none"/>
              </w:rPr>
              <w:t>：±5%F.S.</w:t>
            </w:r>
          </w:p>
        </w:tc>
        <w:tc>
          <w:tcPr>
            <w:tcW w:w="1616" w:type="pct"/>
            <w:shd w:val="clear" w:color="auto" w:fill="auto"/>
            <w:vAlign w:val="center"/>
          </w:tcPr>
          <w:p w14:paraId="2E779124">
            <w:pPr>
              <w:autoSpaceDE w:val="0"/>
              <w:spacing w:beforeAutospacing="1" w:afterAutospacing="1"/>
              <w:ind w:firstLine="0" w:firstLineChars="0"/>
              <w:jc w:val="center"/>
              <w:rPr>
                <w:rFonts w:hint="eastAsia" w:ascii="宋体" w:hAnsi="宋体" w:eastAsia="宋体" w:cs="宋体"/>
                <w:kern w:val="2"/>
                <w:sz w:val="28"/>
                <w:szCs w:val="28"/>
                <w:highlight w:val="none"/>
                <w:lang w:val="en-US" w:eastAsia="zh-CN" w:bidi="ar"/>
              </w:rPr>
            </w:pPr>
            <w:r>
              <w:rPr>
                <w:rFonts w:hint="default" w:ascii="Times New Roman" w:hAnsi="Times New Roman" w:eastAsia="宋体" w:cs="Times New Roman"/>
                <w:highlight w:val="none"/>
                <w:lang w:val="en-US" w:eastAsia="zh-CN"/>
              </w:rPr>
              <w:drawing>
                <wp:inline distT="0" distB="0" distL="114300" distR="114300">
                  <wp:extent cx="426085" cy="1622425"/>
                  <wp:effectExtent l="0" t="0" r="0" b="0"/>
                  <wp:docPr id="6" name="图片 6" descr="C:/Users/lina/Desktop/FUV-408-.pngFUV-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ina/Desktop/FUV-408-.pngFUV-408-"/>
                          <pic:cNvPicPr>
                            <a:picLocks noChangeAspect="1"/>
                          </pic:cNvPicPr>
                        </pic:nvPicPr>
                        <pic:blipFill>
                          <a:blip r:embed="rId13"/>
                          <a:srcRect l="29555" r="30036"/>
                          <a:stretch>
                            <a:fillRect/>
                          </a:stretch>
                        </pic:blipFill>
                        <pic:spPr>
                          <a:xfrm>
                            <a:off x="0" y="0"/>
                            <a:ext cx="426085" cy="1622425"/>
                          </a:xfrm>
                          <a:prstGeom prst="rect">
                            <a:avLst/>
                          </a:prstGeom>
                          <a:noFill/>
                          <a:ln>
                            <a:noFill/>
                          </a:ln>
                        </pic:spPr>
                      </pic:pic>
                    </a:graphicData>
                  </a:graphic>
                </wp:inline>
              </w:drawing>
            </w:r>
          </w:p>
        </w:tc>
      </w:tr>
      <w:tr w14:paraId="686D75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0" w:type="dxa"/>
            <w:shd w:val="clear" w:color="auto" w:fill="auto"/>
            <w:vAlign w:val="center"/>
          </w:tcPr>
          <w:p w14:paraId="665CB2B0">
            <w:pPr>
              <w:spacing w:line="240" w:lineRule="auto"/>
              <w:ind w:firstLine="0" w:firstLineChars="0"/>
              <w:jc w:val="center"/>
              <w:rPr>
                <w:rFonts w:hint="eastAsia" w:ascii="宋体" w:hAnsi="宋体" w:eastAsia="宋体" w:cs="宋体"/>
                <w:kern w:val="2"/>
                <w:sz w:val="21"/>
                <w:szCs w:val="21"/>
                <w:highlight w:val="none"/>
                <w:lang w:val="en-US" w:eastAsia="zh-CN" w:bidi="ar-SA"/>
              </w:rPr>
            </w:pPr>
            <w:r>
              <w:rPr>
                <w:rFonts w:hint="eastAsia"/>
                <w:sz w:val="21"/>
                <w:szCs w:val="21"/>
                <w:highlight w:val="none"/>
              </w:rPr>
              <w:t>在线悬浮物传感器</w:t>
            </w:r>
          </w:p>
        </w:tc>
        <w:tc>
          <w:tcPr>
            <w:tcW w:w="4185" w:type="dxa"/>
            <w:shd w:val="clear" w:color="auto" w:fill="auto"/>
            <w:vAlign w:val="center"/>
          </w:tcPr>
          <w:p w14:paraId="1DD6C589">
            <w:pPr>
              <w:spacing w:line="240" w:lineRule="auto"/>
              <w:ind w:firstLine="0" w:firstLineChars="0"/>
              <w:rPr>
                <w:rFonts w:hint="eastAsia"/>
                <w:sz w:val="21"/>
                <w:szCs w:val="21"/>
                <w:highlight w:val="none"/>
              </w:rPr>
            </w:pPr>
            <w:r>
              <w:rPr>
                <w:sz w:val="21"/>
                <w:szCs w:val="21"/>
                <w:highlight w:val="none"/>
              </w:rPr>
              <w:t>原理：</w:t>
            </w:r>
            <w:r>
              <w:rPr>
                <w:rFonts w:hint="eastAsia"/>
                <w:sz w:val="21"/>
                <w:szCs w:val="21"/>
                <w:highlight w:val="none"/>
              </w:rPr>
              <w:t>散射光法</w:t>
            </w:r>
          </w:p>
          <w:p w14:paraId="22271867">
            <w:pPr>
              <w:spacing w:line="240" w:lineRule="auto"/>
              <w:ind w:firstLine="0" w:firstLineChars="0"/>
              <w:rPr>
                <w:rFonts w:hint="eastAsia"/>
                <w:sz w:val="21"/>
                <w:szCs w:val="21"/>
                <w:highlight w:val="none"/>
              </w:rPr>
            </w:pPr>
            <w:r>
              <w:rPr>
                <w:sz w:val="21"/>
                <w:szCs w:val="21"/>
                <w:highlight w:val="none"/>
              </w:rPr>
              <w:t>量程：</w:t>
            </w:r>
            <w:r>
              <w:rPr>
                <w:rFonts w:hint="eastAsia"/>
                <w:sz w:val="21"/>
                <w:szCs w:val="21"/>
                <w:highlight w:val="none"/>
              </w:rPr>
              <w:t>0～200.0 mg/L</w:t>
            </w:r>
          </w:p>
          <w:p w14:paraId="7DDF1390">
            <w:pPr>
              <w:spacing w:line="240" w:lineRule="auto"/>
              <w:ind w:firstLine="0" w:firstLineChars="0"/>
              <w:rPr>
                <w:rFonts w:hint="eastAsia" w:ascii="宋体" w:hAnsi="宋体" w:eastAsia="宋体" w:cs="宋体"/>
                <w:kern w:val="2"/>
                <w:sz w:val="21"/>
                <w:szCs w:val="21"/>
                <w:highlight w:val="none"/>
                <w:lang w:val="en-US" w:eastAsia="zh-CN" w:bidi="ar-SA"/>
              </w:rPr>
            </w:pPr>
            <w:r>
              <w:rPr>
                <w:sz w:val="21"/>
                <w:szCs w:val="21"/>
                <w:highlight w:val="none"/>
              </w:rPr>
              <w:t>精度：</w:t>
            </w:r>
            <w:r>
              <w:rPr>
                <w:rFonts w:hint="eastAsia"/>
                <w:sz w:val="21"/>
                <w:szCs w:val="21"/>
                <w:highlight w:val="none"/>
              </w:rPr>
              <w:t>±5%(取决于污泥同质性)</w:t>
            </w:r>
          </w:p>
        </w:tc>
        <w:tc>
          <w:tcPr>
            <w:tcW w:w="1616" w:type="pct"/>
            <w:shd w:val="clear" w:color="auto" w:fill="auto"/>
            <w:vAlign w:val="center"/>
          </w:tcPr>
          <w:p w14:paraId="55C9D5BB">
            <w:pPr>
              <w:spacing w:line="240" w:lineRule="auto"/>
              <w:ind w:firstLine="0" w:firstLineChars="0"/>
              <w:jc w:val="center"/>
              <w:rPr>
                <w:rFonts w:hint="eastAsia" w:ascii="Times New Roman" w:hAnsi="Times New Roman" w:eastAsia="宋体" w:cs="宋体"/>
                <w:b/>
                <w:kern w:val="2"/>
                <w:sz w:val="28"/>
                <w:szCs w:val="28"/>
                <w:highlight w:val="none"/>
                <w:lang w:val="en-US" w:eastAsia="zh-CN" w:bidi="ar-SA"/>
              </w:rPr>
            </w:pPr>
            <w:r>
              <w:rPr>
                <w:rFonts w:ascii="Times New Roman" w:hAnsi="Times New Roman"/>
                <w:b/>
                <w:sz w:val="28"/>
                <w:szCs w:val="28"/>
                <w:highlight w:val="none"/>
              </w:rPr>
              <w:drawing>
                <wp:inline distT="0" distB="0" distL="0" distR="0">
                  <wp:extent cx="222885" cy="1285240"/>
                  <wp:effectExtent l="0" t="230505" r="0" b="30861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4">
                            <a:extLst>
                              <a:ext uri="{28A0092B-C50C-407E-A947-70E740481C1C}">
                                <a14:useLocalDpi xmlns:a14="http://schemas.microsoft.com/office/drawing/2010/main" val="0"/>
                              </a:ext>
                            </a:extLst>
                          </a:blip>
                          <a:srcRect l="38096" t="5451" r="42408" b="10358"/>
                          <a:stretch>
                            <a:fillRect/>
                          </a:stretch>
                        </pic:blipFill>
                        <pic:spPr>
                          <a:xfrm rot="3600000">
                            <a:off x="0" y="0"/>
                            <a:ext cx="222885" cy="1285240"/>
                          </a:xfrm>
                          <a:prstGeom prst="rect">
                            <a:avLst/>
                          </a:prstGeom>
                          <a:noFill/>
                          <a:ln w="9525">
                            <a:noFill/>
                            <a:miter lim="800000"/>
                            <a:headEnd/>
                            <a:tailEnd/>
                          </a:ln>
                        </pic:spPr>
                      </pic:pic>
                    </a:graphicData>
                  </a:graphic>
                </wp:inline>
              </w:drawing>
            </w:r>
          </w:p>
        </w:tc>
      </w:tr>
      <w:tr w14:paraId="16D018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7" w:type="pct"/>
            <w:shd w:val="clear" w:color="auto" w:fill="auto"/>
            <w:vAlign w:val="center"/>
          </w:tcPr>
          <w:p w14:paraId="6C6041C9">
            <w:pPr>
              <w:spacing w:line="240" w:lineRule="auto"/>
              <w:ind w:firstLine="0" w:firstLineChars="0"/>
              <w:jc w:val="center"/>
              <w:rPr>
                <w:rFonts w:hint="eastAsia" w:ascii="宋体" w:hAnsi="宋体" w:eastAsia="宋体" w:cs="宋体"/>
                <w:kern w:val="2"/>
                <w:sz w:val="21"/>
                <w:szCs w:val="21"/>
                <w:highlight w:val="none"/>
                <w:lang w:val="en-US" w:eastAsia="zh-CN" w:bidi="ar-SA"/>
              </w:rPr>
            </w:pPr>
            <w:r>
              <w:rPr>
                <w:rFonts w:hint="eastAsia"/>
                <w:sz w:val="21"/>
                <w:szCs w:val="21"/>
                <w:highlight w:val="none"/>
                <w:lang w:val="en-US" w:eastAsia="zh-CN"/>
              </w:rPr>
              <w:t>在线PH传感器</w:t>
            </w:r>
          </w:p>
        </w:tc>
        <w:tc>
          <w:tcPr>
            <w:tcW w:w="2456" w:type="pct"/>
            <w:shd w:val="clear" w:color="auto" w:fill="auto"/>
            <w:vAlign w:val="center"/>
          </w:tcPr>
          <w:p w14:paraId="0BF65446">
            <w:pPr>
              <w:spacing w:line="240" w:lineRule="auto"/>
              <w:ind w:firstLine="0" w:firstLineChars="0"/>
              <w:rPr>
                <w:rFonts w:hint="eastAsia"/>
                <w:sz w:val="21"/>
                <w:szCs w:val="21"/>
                <w:highlight w:val="none"/>
              </w:rPr>
            </w:pPr>
            <w:r>
              <w:rPr>
                <w:sz w:val="21"/>
                <w:szCs w:val="21"/>
                <w:highlight w:val="none"/>
              </w:rPr>
              <w:t>原理：玻璃电极法</w:t>
            </w:r>
          </w:p>
          <w:p w14:paraId="319D6EEB">
            <w:pPr>
              <w:spacing w:line="240" w:lineRule="auto"/>
              <w:ind w:firstLine="0" w:firstLineChars="0"/>
              <w:rPr>
                <w:rFonts w:hint="eastAsia"/>
                <w:sz w:val="21"/>
                <w:szCs w:val="21"/>
                <w:highlight w:val="none"/>
              </w:rPr>
            </w:pPr>
            <w:r>
              <w:rPr>
                <w:sz w:val="21"/>
                <w:szCs w:val="21"/>
                <w:highlight w:val="none"/>
              </w:rPr>
              <w:t>量程：0-14 pH</w:t>
            </w:r>
          </w:p>
          <w:p w14:paraId="53DDF003">
            <w:pPr>
              <w:spacing w:line="240" w:lineRule="auto"/>
              <w:ind w:firstLine="0" w:firstLineChars="0"/>
              <w:rPr>
                <w:rFonts w:hint="default" w:ascii="宋体" w:hAnsi="宋体" w:eastAsia="宋体" w:cs="宋体"/>
                <w:kern w:val="2"/>
                <w:sz w:val="21"/>
                <w:szCs w:val="21"/>
                <w:highlight w:val="none"/>
                <w:lang w:val="en-US" w:eastAsia="zh-CN" w:bidi="ar-SA"/>
              </w:rPr>
            </w:pPr>
            <w:r>
              <w:rPr>
                <w:sz w:val="21"/>
                <w:szCs w:val="21"/>
                <w:highlight w:val="none"/>
              </w:rPr>
              <w:t>精度：±0.1 pH</w:t>
            </w:r>
          </w:p>
        </w:tc>
        <w:tc>
          <w:tcPr>
            <w:tcW w:w="1616" w:type="pct"/>
            <w:vAlign w:val="center"/>
          </w:tcPr>
          <w:p w14:paraId="288895CC">
            <w:pPr>
              <w:spacing w:line="240" w:lineRule="auto"/>
              <w:ind w:firstLine="0" w:firstLineChars="0"/>
              <w:jc w:val="center"/>
              <w:rPr>
                <w:highlight w:val="none"/>
              </w:rPr>
            </w:pPr>
            <w:r>
              <w:rPr>
                <w:highlight w:val="none"/>
              </w:rPr>
              <w:drawing>
                <wp:inline distT="0" distB="0" distL="0" distR="0">
                  <wp:extent cx="225425" cy="1291590"/>
                  <wp:effectExtent l="0" t="247015" r="0" b="28956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5" cstate="print">
                            <a:extLst>
                              <a:ext uri="{28A0092B-C50C-407E-A947-70E740481C1C}">
                                <a14:useLocalDpi xmlns:a14="http://schemas.microsoft.com/office/drawing/2010/main" val="0"/>
                              </a:ext>
                            </a:extLst>
                          </a:blip>
                          <a:srcRect l="36692" t="5693" r="42466" b="8031"/>
                          <a:stretch>
                            <a:fillRect/>
                          </a:stretch>
                        </pic:blipFill>
                        <pic:spPr>
                          <a:xfrm rot="3600000">
                            <a:off x="0" y="0"/>
                            <a:ext cx="225425" cy="1291590"/>
                          </a:xfrm>
                          <a:prstGeom prst="rect">
                            <a:avLst/>
                          </a:prstGeom>
                          <a:noFill/>
                          <a:ln>
                            <a:noFill/>
                          </a:ln>
                        </pic:spPr>
                      </pic:pic>
                    </a:graphicData>
                  </a:graphic>
                </wp:inline>
              </w:drawing>
            </w:r>
          </w:p>
        </w:tc>
      </w:tr>
      <w:tr w14:paraId="3E1B63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40" w:hRule="atLeast"/>
        </w:trPr>
        <w:tc>
          <w:tcPr>
            <w:tcW w:w="927" w:type="pct"/>
            <w:shd w:val="clear" w:color="auto" w:fill="auto"/>
            <w:vAlign w:val="center"/>
          </w:tcPr>
          <w:p w14:paraId="097529F5">
            <w:pPr>
              <w:spacing w:line="240" w:lineRule="auto"/>
              <w:ind w:firstLine="0" w:firstLineChars="0"/>
              <w:jc w:val="center"/>
              <w:rPr>
                <w:rFonts w:hint="eastAsia" w:ascii="宋体" w:hAnsi="宋体" w:eastAsia="宋体" w:cs="宋体"/>
                <w:kern w:val="2"/>
                <w:sz w:val="21"/>
                <w:szCs w:val="21"/>
                <w:highlight w:val="none"/>
                <w:lang w:val="en-US" w:eastAsia="zh-CN" w:bidi="ar-SA"/>
              </w:rPr>
            </w:pPr>
            <w:r>
              <w:rPr>
                <w:rFonts w:hint="eastAsia"/>
                <w:sz w:val="21"/>
                <w:szCs w:val="21"/>
                <w:highlight w:val="none"/>
              </w:rPr>
              <w:t>便携式多参数分析仪</w:t>
            </w:r>
          </w:p>
        </w:tc>
        <w:tc>
          <w:tcPr>
            <w:tcW w:w="2456" w:type="pct"/>
            <w:shd w:val="clear" w:color="auto" w:fill="auto"/>
            <w:vAlign w:val="center"/>
          </w:tcPr>
          <w:p w14:paraId="059CABD6">
            <w:pPr>
              <w:spacing w:line="240" w:lineRule="auto"/>
              <w:ind w:firstLine="0" w:firstLineChars="0"/>
              <w:rPr>
                <w:rFonts w:hint="eastAsia"/>
                <w:sz w:val="21"/>
                <w:szCs w:val="21"/>
                <w:highlight w:val="none"/>
              </w:rPr>
            </w:pPr>
            <w:r>
              <w:rPr>
                <w:rFonts w:hint="eastAsia"/>
                <w:sz w:val="21"/>
                <w:szCs w:val="21"/>
                <w:highlight w:val="none"/>
              </w:rPr>
              <w:t>检测参数：COD、 高锰酸盐指数、氨氮、总磷、总氮、硝酸盐氮、亚硝酸盐氮、磷酸盐、硫酸盐、亚硫酸盐、硫化物、余氯、重金属（铜镍锌锰）等</w:t>
            </w:r>
          </w:p>
          <w:p w14:paraId="5CD1B6CB">
            <w:pPr>
              <w:spacing w:line="240" w:lineRule="auto"/>
              <w:ind w:firstLine="0" w:firstLineChars="0"/>
              <w:jc w:val="left"/>
              <w:rPr>
                <w:rFonts w:hint="eastAsia"/>
                <w:sz w:val="21"/>
                <w:szCs w:val="21"/>
                <w:highlight w:val="none"/>
              </w:rPr>
            </w:pPr>
            <w:r>
              <w:rPr>
                <w:rFonts w:hint="eastAsia"/>
                <w:sz w:val="21"/>
                <w:szCs w:val="21"/>
                <w:highlight w:val="none"/>
              </w:rPr>
              <w:t>工作波长范围：420nm 520nm，580nm，610nm；波长半宽度：5±2（nm）；</w:t>
            </w:r>
          </w:p>
          <w:p w14:paraId="3B9BDA23">
            <w:pPr>
              <w:spacing w:line="240" w:lineRule="auto"/>
              <w:ind w:firstLine="0" w:firstLineChars="0"/>
              <w:jc w:val="left"/>
              <w:rPr>
                <w:rFonts w:hint="eastAsia"/>
                <w:sz w:val="21"/>
                <w:szCs w:val="21"/>
                <w:highlight w:val="none"/>
              </w:rPr>
            </w:pPr>
            <w:r>
              <w:rPr>
                <w:rFonts w:hint="eastAsia"/>
                <w:sz w:val="21"/>
                <w:szCs w:val="21"/>
                <w:highlight w:val="none"/>
              </w:rPr>
              <w:t>仪器的检测范围：吸光度值0.000-3.000；</w:t>
            </w:r>
          </w:p>
          <w:p w14:paraId="7C932D36">
            <w:pPr>
              <w:spacing w:line="240" w:lineRule="auto"/>
              <w:ind w:firstLine="0" w:firstLineChars="0"/>
              <w:jc w:val="left"/>
              <w:rPr>
                <w:rFonts w:hint="eastAsia"/>
                <w:sz w:val="21"/>
                <w:szCs w:val="21"/>
                <w:highlight w:val="none"/>
              </w:rPr>
            </w:pPr>
            <w:r>
              <w:rPr>
                <w:rFonts w:hint="eastAsia"/>
                <w:sz w:val="21"/>
                <w:szCs w:val="21"/>
                <w:highlight w:val="none"/>
              </w:rPr>
              <w:t>光源灯：冷光源；</w:t>
            </w:r>
          </w:p>
          <w:p w14:paraId="12F2508F">
            <w:pPr>
              <w:spacing w:line="240" w:lineRule="auto"/>
              <w:ind w:firstLine="0" w:firstLineChars="0"/>
              <w:jc w:val="left"/>
              <w:rPr>
                <w:rFonts w:hint="eastAsia" w:ascii="宋体" w:hAnsi="宋体" w:eastAsia="宋体" w:cs="宋体"/>
                <w:kern w:val="2"/>
                <w:sz w:val="21"/>
                <w:szCs w:val="21"/>
                <w:highlight w:val="none"/>
                <w:lang w:val="en-US" w:eastAsia="zh-CN" w:bidi="ar-SA"/>
              </w:rPr>
            </w:pPr>
            <w:r>
              <w:rPr>
                <w:rFonts w:hint="eastAsia"/>
                <w:sz w:val="21"/>
                <w:szCs w:val="21"/>
                <w:highlight w:val="none"/>
              </w:rPr>
              <w:t>分辨率：0.001；</w:t>
            </w:r>
          </w:p>
        </w:tc>
        <w:tc>
          <w:tcPr>
            <w:tcW w:w="1616" w:type="pct"/>
            <w:shd w:val="clear" w:color="auto" w:fill="auto"/>
            <w:vAlign w:val="center"/>
          </w:tcPr>
          <w:p w14:paraId="52DB3209">
            <w:pPr>
              <w:autoSpaceDE w:val="0"/>
              <w:spacing w:beforeAutospacing="1" w:afterAutospacing="1"/>
              <w:ind w:firstLine="0" w:firstLineChars="0"/>
              <w:jc w:val="center"/>
              <w:rPr>
                <w:rFonts w:hint="eastAsia" w:ascii="宋体" w:hAnsi="宋体" w:eastAsia="宋体" w:cs="宋体"/>
                <w:kern w:val="2"/>
                <w:sz w:val="24"/>
                <w:szCs w:val="24"/>
                <w:highlight w:val="none"/>
                <w:lang w:val="en-US" w:eastAsia="zh-CN" w:bidi="ar-SA"/>
              </w:rPr>
            </w:pPr>
            <w:r>
              <w:rPr>
                <w:rFonts w:hint="eastAsia"/>
                <w:sz w:val="28"/>
                <w:szCs w:val="28"/>
                <w:highlight w:val="none"/>
                <w:lang w:bidi="ar"/>
              </w:rPr>
              <w:drawing>
                <wp:inline distT="0" distB="0" distL="114300" distR="114300">
                  <wp:extent cx="828675" cy="1152525"/>
                  <wp:effectExtent l="0" t="0" r="9525" b="5715"/>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16"/>
                          <a:stretch>
                            <a:fillRect/>
                          </a:stretch>
                        </pic:blipFill>
                        <pic:spPr>
                          <a:xfrm>
                            <a:off x="0" y="0"/>
                            <a:ext cx="828675" cy="1152525"/>
                          </a:xfrm>
                          <a:prstGeom prst="rect">
                            <a:avLst/>
                          </a:prstGeom>
                          <a:noFill/>
                          <a:ln w="9525">
                            <a:noFill/>
                          </a:ln>
                        </pic:spPr>
                      </pic:pic>
                    </a:graphicData>
                  </a:graphic>
                </wp:inline>
              </w:drawing>
            </w:r>
          </w:p>
        </w:tc>
      </w:tr>
      <w:tr w14:paraId="2DD9DD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3" w:hRule="atLeast"/>
        </w:trPr>
        <w:tc>
          <w:tcPr>
            <w:tcW w:w="927" w:type="pct"/>
            <w:shd w:val="clear" w:color="auto" w:fill="auto"/>
            <w:vAlign w:val="center"/>
          </w:tcPr>
          <w:p w14:paraId="1A90218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highlight w:val="none"/>
              </w:rPr>
            </w:pPr>
            <w:r>
              <w:rPr>
                <w:rFonts w:hint="eastAsia"/>
                <w:color w:val="auto"/>
                <w:sz w:val="21"/>
                <w:szCs w:val="21"/>
                <w:highlight w:val="none"/>
                <w:vertAlign w:val="baseline"/>
                <w:lang w:val="en-US" w:eastAsia="zh-CN"/>
              </w:rPr>
              <w:t>笔式PH计</w:t>
            </w:r>
          </w:p>
        </w:tc>
        <w:tc>
          <w:tcPr>
            <w:tcW w:w="2456" w:type="pct"/>
            <w:shd w:val="clear" w:color="auto" w:fill="auto"/>
            <w:vAlign w:val="center"/>
          </w:tcPr>
          <w:p w14:paraId="6FBD5922">
            <w:pPr>
              <w:spacing w:line="240" w:lineRule="auto"/>
              <w:ind w:firstLine="0" w:firstLineChars="0"/>
              <w:jc w:val="left"/>
              <w:rPr>
                <w:rFonts w:hint="eastAsia"/>
                <w:sz w:val="21"/>
                <w:szCs w:val="21"/>
                <w:highlight w:val="none"/>
              </w:rPr>
            </w:pPr>
            <w:r>
              <w:rPr>
                <w:rFonts w:hint="eastAsia"/>
                <w:sz w:val="21"/>
                <w:szCs w:val="21"/>
                <w:highlight w:val="none"/>
              </w:rPr>
              <w:t>测量范围：0.1～14.0PH</w:t>
            </w:r>
          </w:p>
          <w:p w14:paraId="23539951">
            <w:pPr>
              <w:spacing w:line="240" w:lineRule="auto"/>
              <w:ind w:firstLine="0" w:firstLineChars="0"/>
              <w:jc w:val="left"/>
              <w:rPr>
                <w:rFonts w:hint="eastAsia"/>
                <w:sz w:val="21"/>
                <w:szCs w:val="21"/>
                <w:highlight w:val="none"/>
              </w:rPr>
            </w:pPr>
            <w:r>
              <w:rPr>
                <w:rFonts w:hint="eastAsia"/>
                <w:sz w:val="21"/>
                <w:szCs w:val="21"/>
                <w:highlight w:val="none"/>
              </w:rPr>
              <w:t>分辨率：0.1PH</w:t>
            </w:r>
          </w:p>
          <w:p w14:paraId="555FB4F3">
            <w:pPr>
              <w:spacing w:line="240" w:lineRule="auto"/>
              <w:ind w:firstLine="0" w:firstLineChars="0"/>
              <w:jc w:val="left"/>
              <w:rPr>
                <w:rFonts w:hint="eastAsia"/>
                <w:sz w:val="21"/>
                <w:szCs w:val="21"/>
                <w:highlight w:val="none"/>
              </w:rPr>
            </w:pPr>
            <w:r>
              <w:rPr>
                <w:rFonts w:hint="eastAsia"/>
                <w:sz w:val="21"/>
                <w:szCs w:val="21"/>
                <w:highlight w:val="none"/>
              </w:rPr>
              <w:t>精度：±0.2PH</w:t>
            </w:r>
          </w:p>
        </w:tc>
        <w:tc>
          <w:tcPr>
            <w:tcW w:w="1616" w:type="pct"/>
            <w:shd w:val="clear" w:color="auto" w:fill="auto"/>
            <w:vAlign w:val="center"/>
          </w:tcPr>
          <w:p w14:paraId="66A4A17B">
            <w:pPr>
              <w:autoSpaceDE w:val="0"/>
              <w:spacing w:beforeAutospacing="1" w:afterAutospacing="1"/>
              <w:ind w:firstLine="0" w:firstLineChars="0"/>
              <w:jc w:val="center"/>
              <w:rPr>
                <w:rFonts w:hint="eastAsia"/>
                <w:sz w:val="28"/>
                <w:szCs w:val="28"/>
                <w:highlight w:val="none"/>
                <w:lang w:bidi="ar"/>
              </w:rPr>
            </w:pPr>
            <w:r>
              <w:rPr>
                <w:rFonts w:hint="eastAsia" w:ascii="Times New Roman" w:hAnsi="Times New Roman" w:eastAsia="宋体" w:cs="Times New Roman"/>
                <w:bCs/>
                <w:szCs w:val="21"/>
                <w:highlight w:val="none"/>
                <w:lang w:eastAsia="zh-CN"/>
              </w:rPr>
              <w:drawing>
                <wp:inline distT="0" distB="0" distL="114300" distR="114300">
                  <wp:extent cx="217170" cy="1073785"/>
                  <wp:effectExtent l="0" t="258445" r="0" b="271145"/>
                  <wp:docPr id="7" name="图片 7" descr="9b2692f9f002b75de3ccdc4b6e73a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b2692f9f002b75de3ccdc4b6e73a281"/>
                          <pic:cNvPicPr>
                            <a:picLocks noChangeAspect="1"/>
                          </pic:cNvPicPr>
                        </pic:nvPicPr>
                        <pic:blipFill>
                          <a:blip r:embed="rId17"/>
                          <a:srcRect l="36124" t="14414" r="42873" b="7946"/>
                          <a:stretch>
                            <a:fillRect/>
                          </a:stretch>
                        </pic:blipFill>
                        <pic:spPr>
                          <a:xfrm rot="3300000">
                            <a:off x="0" y="0"/>
                            <a:ext cx="217170" cy="1073785"/>
                          </a:xfrm>
                          <a:prstGeom prst="rect">
                            <a:avLst/>
                          </a:prstGeom>
                        </pic:spPr>
                      </pic:pic>
                    </a:graphicData>
                  </a:graphic>
                </wp:inline>
              </w:drawing>
            </w:r>
          </w:p>
        </w:tc>
      </w:tr>
      <w:tr w14:paraId="667F4D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3" w:hRule="atLeast"/>
        </w:trPr>
        <w:tc>
          <w:tcPr>
            <w:tcW w:w="927" w:type="pct"/>
            <w:shd w:val="clear" w:color="auto" w:fill="auto"/>
            <w:vAlign w:val="center"/>
          </w:tcPr>
          <w:p w14:paraId="49EF8DAB">
            <w:pPr>
              <w:spacing w:line="240" w:lineRule="auto"/>
              <w:ind w:firstLine="0" w:firstLineChars="0"/>
              <w:jc w:val="center"/>
              <w:rPr>
                <w:rFonts w:hint="eastAsia"/>
                <w:sz w:val="21"/>
                <w:szCs w:val="21"/>
                <w:highlight w:val="none"/>
              </w:rPr>
            </w:pPr>
            <w:r>
              <w:rPr>
                <w:rFonts w:hint="eastAsia"/>
                <w:sz w:val="21"/>
                <w:szCs w:val="21"/>
                <w:highlight w:val="none"/>
                <w:lang w:val="en-US" w:eastAsia="zh-CN"/>
              </w:rPr>
              <w:t>蓝精灵</w:t>
            </w:r>
          </w:p>
        </w:tc>
        <w:tc>
          <w:tcPr>
            <w:tcW w:w="2456" w:type="pct"/>
            <w:shd w:val="clear" w:color="auto" w:fill="auto"/>
            <w:vAlign w:val="center"/>
          </w:tcPr>
          <w:p w14:paraId="45C624DF">
            <w:pPr>
              <w:spacing w:line="240" w:lineRule="auto"/>
              <w:ind w:firstLine="0" w:firstLineChars="0"/>
              <w:jc w:val="left"/>
              <w:rPr>
                <w:rFonts w:hint="eastAsia"/>
                <w:sz w:val="21"/>
                <w:szCs w:val="21"/>
                <w:highlight w:val="none"/>
                <w:lang w:val="en-US" w:eastAsia="zh-CN"/>
              </w:rPr>
            </w:pPr>
            <w:r>
              <w:rPr>
                <w:rFonts w:hint="eastAsia"/>
                <w:sz w:val="21"/>
                <w:szCs w:val="21"/>
                <w:highlight w:val="none"/>
                <w:lang w:val="en-US" w:eastAsia="zh-CN"/>
              </w:rPr>
              <w:t>输出方式：ASCII码蓝牙传输</w:t>
            </w:r>
          </w:p>
          <w:p w14:paraId="09528517">
            <w:pPr>
              <w:spacing w:line="240" w:lineRule="auto"/>
              <w:ind w:firstLine="0" w:firstLineChars="0"/>
              <w:jc w:val="left"/>
              <w:rPr>
                <w:rFonts w:hint="eastAsia"/>
                <w:sz w:val="21"/>
                <w:szCs w:val="21"/>
                <w:highlight w:val="none"/>
                <w:lang w:val="en-US" w:eastAsia="zh-CN"/>
              </w:rPr>
            </w:pPr>
            <w:r>
              <w:rPr>
                <w:rFonts w:hint="eastAsia"/>
                <w:sz w:val="21"/>
                <w:szCs w:val="21"/>
                <w:highlight w:val="none"/>
                <w:lang w:val="en-US" w:eastAsia="zh-CN"/>
              </w:rPr>
              <w:t>输入方式：十六进制蓝牙传输</w:t>
            </w:r>
          </w:p>
          <w:p w14:paraId="68B717F8">
            <w:pPr>
              <w:spacing w:line="240" w:lineRule="auto"/>
              <w:ind w:firstLine="0" w:firstLineChars="0"/>
              <w:jc w:val="left"/>
              <w:rPr>
                <w:rFonts w:hint="eastAsia"/>
                <w:sz w:val="21"/>
                <w:szCs w:val="21"/>
                <w:highlight w:val="none"/>
                <w:lang w:val="en-US" w:eastAsia="zh-CN"/>
              </w:rPr>
            </w:pPr>
            <w:r>
              <w:rPr>
                <w:rFonts w:hint="eastAsia"/>
                <w:sz w:val="21"/>
                <w:szCs w:val="21"/>
                <w:highlight w:val="none"/>
                <w:lang w:val="en-US" w:eastAsia="zh-CN"/>
              </w:rPr>
              <w:t>传输距离：空旷无阻隔地带，约50米</w:t>
            </w:r>
          </w:p>
          <w:p w14:paraId="2FAF4734">
            <w:pPr>
              <w:spacing w:line="240" w:lineRule="auto"/>
              <w:ind w:firstLine="0" w:firstLineChars="0"/>
              <w:jc w:val="left"/>
              <w:rPr>
                <w:rFonts w:hint="eastAsia"/>
                <w:sz w:val="21"/>
                <w:szCs w:val="21"/>
                <w:highlight w:val="none"/>
                <w:lang w:val="en-US" w:eastAsia="zh-CN"/>
              </w:rPr>
            </w:pPr>
            <w:r>
              <w:rPr>
                <w:rFonts w:hint="eastAsia"/>
                <w:sz w:val="21"/>
                <w:szCs w:val="21"/>
                <w:highlight w:val="none"/>
                <w:lang w:val="en-US" w:eastAsia="zh-CN"/>
              </w:rPr>
              <w:t>存储容量：4M字节</w:t>
            </w:r>
          </w:p>
          <w:p w14:paraId="299F1A73">
            <w:pPr>
              <w:spacing w:line="240" w:lineRule="auto"/>
              <w:ind w:firstLine="0" w:firstLineChars="0"/>
              <w:jc w:val="left"/>
              <w:rPr>
                <w:rFonts w:hint="eastAsia"/>
                <w:sz w:val="21"/>
                <w:szCs w:val="21"/>
                <w:highlight w:val="none"/>
                <w:lang w:val="en-US" w:eastAsia="zh-CN"/>
              </w:rPr>
            </w:pPr>
            <w:r>
              <w:rPr>
                <w:rFonts w:hint="eastAsia"/>
                <w:sz w:val="21"/>
                <w:szCs w:val="21"/>
                <w:highlight w:val="none"/>
                <w:lang w:val="en-US" w:eastAsia="zh-CN"/>
              </w:rPr>
              <w:t>工作时长：定时读取 约7天</w:t>
            </w:r>
          </w:p>
          <w:p w14:paraId="11CDA51F">
            <w:pPr>
              <w:spacing w:line="240" w:lineRule="auto"/>
              <w:ind w:firstLine="0" w:firstLineChars="0"/>
              <w:jc w:val="left"/>
              <w:rPr>
                <w:rFonts w:hint="eastAsia"/>
                <w:sz w:val="21"/>
                <w:szCs w:val="21"/>
                <w:highlight w:val="none"/>
              </w:rPr>
            </w:pPr>
            <w:r>
              <w:rPr>
                <w:rFonts w:hint="eastAsia"/>
                <w:sz w:val="21"/>
                <w:szCs w:val="21"/>
                <w:highlight w:val="none"/>
                <w:lang w:val="en-US" w:eastAsia="zh-CN"/>
              </w:rPr>
              <w:t>电源：3.7V/3000mAh 聚合物锂电池 5V充电</w:t>
            </w:r>
          </w:p>
        </w:tc>
        <w:tc>
          <w:tcPr>
            <w:tcW w:w="1616" w:type="pct"/>
            <w:shd w:val="clear" w:color="auto" w:fill="auto"/>
            <w:vAlign w:val="center"/>
          </w:tcPr>
          <w:p w14:paraId="4A2BB25F">
            <w:pPr>
              <w:autoSpaceDE w:val="0"/>
              <w:spacing w:beforeAutospacing="1" w:afterAutospacing="1"/>
              <w:ind w:firstLine="0" w:firstLineChars="0"/>
              <w:jc w:val="center"/>
              <w:rPr>
                <w:rFonts w:hint="eastAsia"/>
                <w:sz w:val="28"/>
                <w:szCs w:val="28"/>
                <w:highlight w:val="none"/>
                <w:lang w:bidi="ar"/>
              </w:rPr>
            </w:pPr>
            <w:r>
              <w:rPr>
                <w:rFonts w:ascii="Times New Roman" w:hAnsi="Times New Roman"/>
                <w:highlight w:val="none"/>
              </w:rPr>
              <w:drawing>
                <wp:inline distT="0" distB="0" distL="114300" distR="114300">
                  <wp:extent cx="227965" cy="906780"/>
                  <wp:effectExtent l="0" t="0" r="635" b="7620"/>
                  <wp:docPr id="10" name="图片 10" descr="lALPDgQ9y9q9fTbNCNjNBNo_1242_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ALPDgQ9y9q9fTbNCNjNBNo_1242_2264"/>
                          <pic:cNvPicPr>
                            <a:picLocks noChangeAspect="1"/>
                          </pic:cNvPicPr>
                        </pic:nvPicPr>
                        <pic:blipFill>
                          <a:blip r:embed="rId18"/>
                          <a:srcRect l="29852" t="5162" r="29593" b="6439"/>
                          <a:stretch>
                            <a:fillRect/>
                          </a:stretch>
                        </pic:blipFill>
                        <pic:spPr>
                          <a:xfrm>
                            <a:off x="0" y="0"/>
                            <a:ext cx="227965" cy="906780"/>
                          </a:xfrm>
                          <a:prstGeom prst="rect">
                            <a:avLst/>
                          </a:prstGeom>
                          <a:noFill/>
                          <a:ln>
                            <a:noFill/>
                          </a:ln>
                        </pic:spPr>
                      </pic:pic>
                    </a:graphicData>
                  </a:graphic>
                </wp:inline>
              </w:drawing>
            </w:r>
          </w:p>
        </w:tc>
      </w:tr>
    </w:tbl>
    <w:p w14:paraId="0ECF2442">
      <w:pPr>
        <w:rPr>
          <w:rFonts w:hint="eastAsia"/>
          <w:color w:val="auto"/>
          <w:highlight w:val="none"/>
          <w:lang w:val="en-US" w:eastAsia="zh-CN"/>
        </w:rPr>
      </w:pPr>
    </w:p>
    <w:p w14:paraId="31AD675E">
      <w:pPr>
        <w:pStyle w:val="3"/>
        <w:bidi w:val="0"/>
        <w:rPr>
          <w:rFonts w:hint="eastAsia"/>
          <w:color w:val="auto"/>
          <w:highlight w:val="none"/>
          <w:lang w:val="en-US" w:eastAsia="zh-CN"/>
        </w:rPr>
      </w:pPr>
      <w:bookmarkStart w:id="14" w:name="_Toc21541"/>
      <w:r>
        <w:rPr>
          <w:rFonts w:hint="eastAsia"/>
          <w:color w:val="auto"/>
          <w:highlight w:val="none"/>
          <w:lang w:val="en-US" w:eastAsia="zh-CN"/>
        </w:rPr>
        <w:t>场景适配性</w:t>
      </w:r>
      <w:bookmarkEnd w:id="14"/>
    </w:p>
    <w:p w14:paraId="2FBB956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val="en-US" w:eastAsia="zh-CN"/>
        </w:rPr>
      </w:pPr>
      <w:r>
        <w:rPr>
          <w:rFonts w:hint="eastAsia"/>
          <w:b/>
          <w:bCs/>
          <w:lang w:val="en-US" w:eastAsia="zh-CN"/>
        </w:rPr>
        <w:t>1.多参数覆盖与养殖污染特征匹配</w:t>
      </w:r>
    </w:p>
    <w:p w14:paraId="318ABFB1">
      <w:pPr>
        <w:bidi w:val="0"/>
        <w:rPr>
          <w:rFonts w:hint="eastAsia"/>
          <w:lang w:val="en-US" w:eastAsia="zh-CN"/>
        </w:rPr>
      </w:pPr>
      <w:r>
        <w:rPr>
          <w:rFonts w:hint="eastAsia"/>
          <w:lang w:val="en-US" w:eastAsia="zh-CN"/>
        </w:rPr>
        <w:t>针对养殖尾水中残饵、排泄物及药物残留导致的富营养化问题，系统重点配置总氮（TN）、总磷（TP）、高锰酸盐指数（CODMn）等核心参数监测模块，精准捕捉氮磷营养盐超标风险。针对海水养殖场景，集成盐度监测与抗腐蚀设计，有效应对海水离子干扰。对于药物残留敏感区域，可选配抗生素快速检测模块，满足特色养殖品种的精细化管控需求。</w:t>
      </w:r>
    </w:p>
    <w:p w14:paraId="59925DE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val="en-US" w:eastAsia="zh-CN"/>
        </w:rPr>
      </w:pPr>
      <w:r>
        <w:rPr>
          <w:rFonts w:hint="eastAsia"/>
          <w:b/>
          <w:bCs/>
          <w:lang w:val="en-US" w:eastAsia="zh-CN"/>
        </w:rPr>
        <w:t>2.分级设备选型适应多样化场景</w:t>
      </w:r>
    </w:p>
    <w:p w14:paraId="75597B55">
      <w:pPr>
        <w:bidi w:val="0"/>
        <w:rPr>
          <w:rFonts w:hint="eastAsia"/>
          <w:lang w:val="en-US" w:eastAsia="zh-CN"/>
        </w:rPr>
      </w:pPr>
      <w:r>
        <w:rPr>
          <w:rFonts w:hint="eastAsia"/>
          <w:lang w:val="en-US" w:eastAsia="zh-CN"/>
        </w:rPr>
        <w:t>集约化养殖基地：采用"岸边水质监测微站+在线分析仪"组合方案，通过高锰酸钾氧化法、紫外分光光度法等实验室级监测技术实现连续自动化监测，满足大型养殖场全天候监管要求。</w:t>
      </w:r>
    </w:p>
    <w:p w14:paraId="2E99C06A">
      <w:pPr>
        <w:bidi w:val="0"/>
        <w:rPr>
          <w:rFonts w:hint="eastAsia"/>
          <w:lang w:val="en-US" w:eastAsia="zh-CN"/>
        </w:rPr>
      </w:pPr>
      <w:r>
        <w:rPr>
          <w:rFonts w:hint="eastAsia"/>
          <w:lang w:val="en-US" w:eastAsia="zh-CN"/>
        </w:rPr>
        <w:t>分散式小型塘口：配置蓝精灵蓝牙传感器与便携式多参数分析仪，支持移动巡检与突发污染应急检测，设备具备IP68防护等级，适应田间泥泞、高温高湿等恶劣环境。</w:t>
      </w:r>
    </w:p>
    <w:p w14:paraId="470A6B08">
      <w:pPr>
        <w:bidi w:val="0"/>
        <w:rPr>
          <w:rFonts w:hint="eastAsia"/>
          <w:lang w:val="en-US" w:eastAsia="zh-CN"/>
        </w:rPr>
      </w:pPr>
      <w:r>
        <w:rPr>
          <w:rFonts w:hint="eastAsia"/>
          <w:lang w:val="en-US" w:eastAsia="zh-CN"/>
        </w:rPr>
        <w:t>生态敏感区：部署全光谱多参数传感器，通过200-800nm宽光谱分析实现COD、BOD等15项参数同步监测，提前预警水体生态失衡风险。</w:t>
      </w:r>
    </w:p>
    <w:p w14:paraId="333AD95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val="en-US" w:eastAsia="zh-CN"/>
        </w:rPr>
      </w:pPr>
      <w:r>
        <w:rPr>
          <w:rFonts w:hint="eastAsia"/>
          <w:b/>
          <w:bCs/>
          <w:lang w:val="en-US" w:eastAsia="zh-CN"/>
        </w:rPr>
        <w:t>3.环境耐受性强化设计</w:t>
      </w:r>
    </w:p>
    <w:p w14:paraId="0C4C166D">
      <w:pPr>
        <w:bidi w:val="0"/>
        <w:rPr>
          <w:rFonts w:hint="eastAsia"/>
          <w:lang w:val="en-US" w:eastAsia="zh-CN"/>
        </w:rPr>
      </w:pPr>
      <w:r>
        <w:rPr>
          <w:rFonts w:hint="eastAsia"/>
          <w:lang w:val="en-US" w:eastAsia="zh-CN"/>
        </w:rPr>
        <w:t>抗生物污染：传感器测量窗口采用纳米防附着涂层，配合自动清洁刷机构，有效防止藻类、贝类等生物膜附着。悬浮物探头配置湍流自清洁结构，确保高浊度水体下的测量稳定性。</w:t>
      </w:r>
    </w:p>
    <w:p w14:paraId="46FBF302">
      <w:pPr>
        <w:bidi w:val="0"/>
        <w:rPr>
          <w:rFonts w:hint="eastAsia"/>
          <w:lang w:val="en-US" w:eastAsia="zh-CN"/>
        </w:rPr>
      </w:pPr>
      <w:r>
        <w:rPr>
          <w:rFonts w:hint="eastAsia"/>
          <w:lang w:val="en-US" w:eastAsia="zh-CN"/>
        </w:rPr>
        <w:t>极端气候适应：设备工作温度范围扩展至-20℃~60℃，外壳采用ASA+PC复合材料，耐受紫外线长期照射。电气部件通过三防（防潮、防盐雾、防霉）处理，适应沿海多雨地区应用。</w:t>
      </w:r>
    </w:p>
    <w:p w14:paraId="484063CA">
      <w:pPr>
        <w:bidi w:val="0"/>
        <w:rPr>
          <w:rFonts w:hint="eastAsia"/>
          <w:lang w:val="en-US" w:eastAsia="zh-CN"/>
        </w:rPr>
      </w:pPr>
      <w:r>
        <w:rPr>
          <w:rFonts w:hint="eastAsia"/>
          <w:lang w:val="en-US" w:eastAsia="zh-CN"/>
        </w:rPr>
        <w:t>低功耗运行：微型水站采用太阳能供电系统，配备3000mAh锂电池组，在无市电区域可持续工作7-15天，满足偏远塘口的离网监测需求。</w:t>
      </w:r>
    </w:p>
    <w:p w14:paraId="0053BBC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val="en-US" w:eastAsia="zh-CN"/>
        </w:rPr>
      </w:pPr>
      <w:r>
        <w:rPr>
          <w:rFonts w:hint="eastAsia"/>
          <w:b/>
          <w:bCs/>
          <w:lang w:val="en-US" w:eastAsia="zh-CN"/>
        </w:rPr>
        <w:t>4.智能化数据管理</w:t>
      </w:r>
    </w:p>
    <w:p w14:paraId="74ACD5A6">
      <w:pPr>
        <w:bidi w:val="0"/>
        <w:rPr>
          <w:rFonts w:hint="eastAsia"/>
          <w:lang w:val="en-US" w:eastAsia="zh-CN"/>
        </w:rPr>
      </w:pPr>
      <w:r>
        <w:rPr>
          <w:rFonts w:hint="eastAsia"/>
          <w:lang w:val="en-US" w:eastAsia="zh-CN"/>
        </w:rPr>
        <w:t>通过4G/北斗双模传输，实现养殖区网络盲点的数据回传。系统内置阈值预警功能，当TP&gt;0.4mg/L或TN&gt;1.5mg/L时自动触发报警，同步推送至养殖管理平台。数据平台支持与尾水处理设施联动控制，实现"监测-处理-回用"闭环管理。</w:t>
      </w:r>
    </w:p>
    <w:p w14:paraId="7EC26C7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val="en-US" w:eastAsia="zh-CN"/>
        </w:rPr>
      </w:pPr>
      <w:r>
        <w:rPr>
          <w:rFonts w:hint="eastAsia"/>
          <w:b/>
          <w:bCs/>
          <w:lang w:val="en-US" w:eastAsia="zh-CN"/>
        </w:rPr>
        <w:t>5.运维适配养殖生产周期</w:t>
      </w:r>
    </w:p>
    <w:p w14:paraId="1E6D6246">
      <w:pPr>
        <w:bidi w:val="0"/>
        <w:rPr>
          <w:rFonts w:hint="eastAsia"/>
          <w:lang w:val="en-US" w:eastAsia="zh-CN"/>
        </w:rPr>
      </w:pPr>
      <w:r>
        <w:rPr>
          <w:rFonts w:hint="eastAsia"/>
          <w:lang w:val="en-US" w:eastAsia="zh-CN"/>
        </w:rPr>
        <w:t>维护周期与养殖批次深度耦合：在投苗期（低负荷阶段）执行季度维护，养殖高峰期（尾水污染负荷峰值）缩短为月度维护。试剂耗材采用预封装设计，支持养殖人员快速更换，维护耗时控制在30分钟/站点以内。便携设备配备语音引导功能，降低非专业人员操作门槛。</w:t>
      </w:r>
    </w:p>
    <w:p w14:paraId="7A6B9756">
      <w:pPr>
        <w:pStyle w:val="2"/>
        <w:bidi w:val="0"/>
        <w:rPr>
          <w:rFonts w:hint="eastAsia"/>
          <w:color w:val="auto"/>
          <w:highlight w:val="none"/>
          <w:lang w:val="en-US" w:eastAsia="zh-CN"/>
        </w:rPr>
      </w:pPr>
      <w:bookmarkStart w:id="15" w:name="_Toc27010"/>
      <w:bookmarkStart w:id="16" w:name="_Toc29705"/>
      <w:r>
        <w:rPr>
          <w:rFonts w:hint="eastAsia"/>
          <w:color w:val="auto"/>
          <w:highlight w:val="none"/>
          <w:lang w:val="en-US" w:eastAsia="zh-CN"/>
        </w:rPr>
        <w:t>设备寿命及维护</w:t>
      </w:r>
      <w:bookmarkEnd w:id="15"/>
      <w:bookmarkEnd w:id="16"/>
    </w:p>
    <w:p w14:paraId="4274C5D3">
      <w:pPr>
        <w:pStyle w:val="3"/>
        <w:bidi w:val="0"/>
        <w:rPr>
          <w:rFonts w:hint="default"/>
          <w:color w:val="auto"/>
          <w:highlight w:val="none"/>
          <w:lang w:val="en-US" w:eastAsia="zh-CN"/>
        </w:rPr>
      </w:pPr>
      <w:bookmarkStart w:id="17" w:name="_Toc11155"/>
      <w:bookmarkStart w:id="18" w:name="_Toc19456"/>
      <w:r>
        <w:rPr>
          <w:rFonts w:hint="eastAsia"/>
          <w:color w:val="auto"/>
          <w:highlight w:val="none"/>
          <w:lang w:val="en-US" w:eastAsia="zh-CN"/>
        </w:rPr>
        <w:t>设备寿命周期与维护周期表</w:t>
      </w:r>
      <w:bookmarkEnd w:id="17"/>
      <w:bookmarkEnd w:id="18"/>
    </w:p>
    <w:tbl>
      <w:tblPr>
        <w:tblStyle w:val="19"/>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39"/>
        <w:gridCol w:w="2839"/>
        <w:gridCol w:w="2841"/>
      </w:tblGrid>
      <w:tr w14:paraId="56A89A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723FA885">
            <w:pPr>
              <w:spacing w:line="240" w:lineRule="auto"/>
              <w:ind w:firstLine="0" w:firstLineChars="0"/>
              <w:jc w:val="center"/>
              <w:rPr>
                <w:rFonts w:hint="eastAsia"/>
                <w:b/>
                <w:bCs/>
                <w:sz w:val="21"/>
                <w:szCs w:val="21"/>
                <w:highlight w:val="none"/>
              </w:rPr>
            </w:pPr>
            <w:r>
              <w:rPr>
                <w:rFonts w:hint="eastAsia"/>
                <w:b/>
                <w:bCs/>
                <w:sz w:val="21"/>
                <w:szCs w:val="21"/>
                <w:highlight w:val="none"/>
              </w:rPr>
              <w:t>设备名称</w:t>
            </w:r>
          </w:p>
        </w:tc>
        <w:tc>
          <w:tcPr>
            <w:tcW w:w="1666" w:type="pct"/>
            <w:vAlign w:val="center"/>
          </w:tcPr>
          <w:p w14:paraId="0F30D853">
            <w:pPr>
              <w:spacing w:line="240" w:lineRule="auto"/>
              <w:ind w:firstLine="0" w:firstLineChars="0"/>
              <w:jc w:val="center"/>
              <w:rPr>
                <w:rFonts w:hint="eastAsia"/>
                <w:b/>
                <w:bCs/>
                <w:sz w:val="21"/>
                <w:szCs w:val="21"/>
                <w:highlight w:val="none"/>
              </w:rPr>
            </w:pPr>
            <w:r>
              <w:rPr>
                <w:rFonts w:hint="eastAsia"/>
                <w:b/>
                <w:bCs/>
                <w:sz w:val="21"/>
                <w:szCs w:val="21"/>
                <w:highlight w:val="none"/>
              </w:rPr>
              <w:t>维护周期</w:t>
            </w:r>
          </w:p>
        </w:tc>
        <w:tc>
          <w:tcPr>
            <w:tcW w:w="1667" w:type="pct"/>
            <w:vAlign w:val="center"/>
          </w:tcPr>
          <w:p w14:paraId="5FE7B21B">
            <w:pPr>
              <w:spacing w:line="240" w:lineRule="auto"/>
              <w:ind w:firstLine="0" w:firstLineChars="0"/>
              <w:jc w:val="center"/>
              <w:rPr>
                <w:rFonts w:hint="eastAsia"/>
                <w:b/>
                <w:bCs/>
                <w:sz w:val="21"/>
                <w:szCs w:val="21"/>
                <w:highlight w:val="none"/>
              </w:rPr>
            </w:pPr>
            <w:r>
              <w:rPr>
                <w:rFonts w:hint="eastAsia"/>
                <w:b/>
                <w:bCs/>
                <w:sz w:val="21"/>
                <w:szCs w:val="21"/>
                <w:highlight w:val="none"/>
              </w:rPr>
              <w:t>使用寿命</w:t>
            </w:r>
          </w:p>
        </w:tc>
      </w:tr>
      <w:tr w14:paraId="7388F4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6" w:type="pct"/>
            <w:shd w:val="clear" w:color="auto" w:fill="auto"/>
            <w:vAlign w:val="center"/>
          </w:tcPr>
          <w:p w14:paraId="0AEA422B">
            <w:pPr>
              <w:widowControl/>
              <w:spacing w:line="240" w:lineRule="auto"/>
              <w:ind w:firstLine="0" w:firstLineChars="0"/>
              <w:jc w:val="center"/>
              <w:textAlignment w:val="center"/>
              <w:rPr>
                <w:rFonts w:hint="eastAsia"/>
                <w:sz w:val="22"/>
                <w:szCs w:val="22"/>
                <w:highlight w:val="none"/>
              </w:rPr>
            </w:pPr>
            <w:r>
              <w:rPr>
                <w:rFonts w:hint="eastAsia"/>
                <w:sz w:val="21"/>
                <w:szCs w:val="21"/>
                <w:highlight w:val="none"/>
              </w:rPr>
              <w:t>在线全光谱多参数传感器</w:t>
            </w:r>
          </w:p>
        </w:tc>
        <w:tc>
          <w:tcPr>
            <w:tcW w:w="1666" w:type="pct"/>
            <w:shd w:val="clear" w:color="auto" w:fill="auto"/>
            <w:vAlign w:val="center"/>
          </w:tcPr>
          <w:p w14:paraId="737B8324">
            <w:pPr>
              <w:widowControl/>
              <w:spacing w:line="240" w:lineRule="auto"/>
              <w:ind w:firstLine="0" w:firstLineChars="0"/>
              <w:jc w:val="center"/>
              <w:textAlignment w:val="center"/>
              <w:rPr>
                <w:rFonts w:hint="eastAsia"/>
                <w:color w:val="000000"/>
                <w:kern w:val="0"/>
                <w:sz w:val="22"/>
                <w:szCs w:val="22"/>
                <w:highlight w:val="none"/>
                <w:lang w:bidi="ar"/>
              </w:rPr>
            </w:pPr>
            <w:r>
              <w:rPr>
                <w:rFonts w:hint="eastAsia"/>
                <w:color w:val="000000"/>
                <w:kern w:val="0"/>
                <w:sz w:val="22"/>
                <w:szCs w:val="22"/>
                <w:highlight w:val="none"/>
                <w:lang w:bidi="ar"/>
              </w:rPr>
              <w:t>3-4个月/次</w:t>
            </w:r>
          </w:p>
        </w:tc>
        <w:tc>
          <w:tcPr>
            <w:tcW w:w="1667" w:type="pct"/>
            <w:shd w:val="clear" w:color="auto" w:fill="auto"/>
            <w:vAlign w:val="center"/>
          </w:tcPr>
          <w:p w14:paraId="24C7C7B9">
            <w:pPr>
              <w:widowControl/>
              <w:spacing w:line="240" w:lineRule="auto"/>
              <w:ind w:firstLine="0" w:firstLineChars="0"/>
              <w:jc w:val="center"/>
              <w:textAlignment w:val="center"/>
              <w:rPr>
                <w:rFonts w:hint="eastAsia"/>
                <w:color w:val="000000"/>
                <w:kern w:val="0"/>
                <w:sz w:val="22"/>
                <w:szCs w:val="22"/>
                <w:highlight w:val="none"/>
                <w:lang w:bidi="ar"/>
              </w:rPr>
            </w:pPr>
            <w:r>
              <w:rPr>
                <w:rFonts w:hint="eastAsia"/>
                <w:color w:val="000000"/>
                <w:kern w:val="0"/>
                <w:sz w:val="22"/>
                <w:szCs w:val="22"/>
                <w:highlight w:val="none"/>
                <w:lang w:bidi="ar"/>
              </w:rPr>
              <w:t>2-3年</w:t>
            </w:r>
          </w:p>
        </w:tc>
      </w:tr>
      <w:tr w14:paraId="3D55AC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6" w:type="pct"/>
            <w:shd w:val="clear" w:color="auto" w:fill="auto"/>
            <w:vAlign w:val="center"/>
          </w:tcPr>
          <w:p w14:paraId="1D36B27C">
            <w:pPr>
              <w:spacing w:line="240" w:lineRule="auto"/>
              <w:ind w:firstLine="0" w:firstLineChars="0"/>
              <w:jc w:val="center"/>
              <w:rPr>
                <w:rFonts w:hint="eastAsia"/>
                <w:sz w:val="22"/>
                <w:szCs w:val="22"/>
                <w:highlight w:val="none"/>
              </w:rPr>
            </w:pPr>
            <w:r>
              <w:rPr>
                <w:rFonts w:hint="eastAsia"/>
                <w:sz w:val="22"/>
                <w:szCs w:val="22"/>
                <w:highlight w:val="none"/>
              </w:rPr>
              <w:t>在线PH传感器</w:t>
            </w:r>
          </w:p>
        </w:tc>
        <w:tc>
          <w:tcPr>
            <w:tcW w:w="1666" w:type="pct"/>
            <w:shd w:val="clear" w:color="auto" w:fill="auto"/>
            <w:vAlign w:val="center"/>
          </w:tcPr>
          <w:p w14:paraId="566A0A93">
            <w:pPr>
              <w:widowControl/>
              <w:spacing w:line="240" w:lineRule="auto"/>
              <w:ind w:firstLine="0" w:firstLineChars="0"/>
              <w:jc w:val="center"/>
              <w:textAlignment w:val="center"/>
              <w:rPr>
                <w:rFonts w:hint="eastAsia"/>
                <w:highlight w:val="none"/>
              </w:rPr>
            </w:pPr>
            <w:r>
              <w:rPr>
                <w:rFonts w:hint="eastAsia"/>
                <w:color w:val="000000"/>
                <w:kern w:val="0"/>
                <w:sz w:val="22"/>
                <w:szCs w:val="22"/>
                <w:highlight w:val="none"/>
                <w:lang w:bidi="ar"/>
              </w:rPr>
              <w:t>3-4个月/次</w:t>
            </w:r>
          </w:p>
        </w:tc>
        <w:tc>
          <w:tcPr>
            <w:tcW w:w="1667" w:type="pct"/>
            <w:shd w:val="clear" w:color="auto" w:fill="auto"/>
            <w:vAlign w:val="center"/>
          </w:tcPr>
          <w:p w14:paraId="3D2486D7">
            <w:pPr>
              <w:widowControl/>
              <w:spacing w:line="240" w:lineRule="auto"/>
              <w:ind w:firstLine="0" w:firstLineChars="0"/>
              <w:jc w:val="center"/>
              <w:textAlignment w:val="center"/>
              <w:rPr>
                <w:rFonts w:hint="eastAsia"/>
                <w:highlight w:val="none"/>
              </w:rPr>
            </w:pPr>
            <w:r>
              <w:rPr>
                <w:rFonts w:hint="eastAsia"/>
                <w:color w:val="000000"/>
                <w:kern w:val="0"/>
                <w:sz w:val="22"/>
                <w:szCs w:val="22"/>
                <w:highlight w:val="none"/>
                <w:lang w:bidi="ar"/>
              </w:rPr>
              <w:t>1年</w:t>
            </w:r>
          </w:p>
        </w:tc>
      </w:tr>
      <w:tr w14:paraId="3A4211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58F850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2"/>
                <w:szCs w:val="22"/>
                <w:highlight w:val="none"/>
              </w:rPr>
            </w:pPr>
            <w:r>
              <w:rPr>
                <w:rFonts w:hint="eastAsia"/>
                <w:sz w:val="22"/>
                <w:szCs w:val="22"/>
                <w:highlight w:val="none"/>
              </w:rPr>
              <w:t>在线</w:t>
            </w:r>
            <w:r>
              <w:rPr>
                <w:rFonts w:hint="eastAsia"/>
                <w:sz w:val="22"/>
                <w:szCs w:val="22"/>
                <w:highlight w:val="none"/>
                <w:lang w:val="en-US" w:eastAsia="zh-CN"/>
              </w:rPr>
              <w:t>悬浮物</w:t>
            </w:r>
            <w:r>
              <w:rPr>
                <w:rFonts w:hint="eastAsia"/>
                <w:sz w:val="22"/>
                <w:szCs w:val="22"/>
                <w:highlight w:val="none"/>
              </w:rPr>
              <w:t>传感器</w:t>
            </w:r>
          </w:p>
        </w:tc>
        <w:tc>
          <w:tcPr>
            <w:tcW w:w="1666" w:type="pct"/>
            <w:shd w:val="clear" w:color="auto" w:fill="auto"/>
            <w:vAlign w:val="center"/>
          </w:tcPr>
          <w:p w14:paraId="18748F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olor w:val="000000"/>
                <w:kern w:val="0"/>
                <w:sz w:val="22"/>
                <w:szCs w:val="22"/>
                <w:highlight w:val="none"/>
                <w:lang w:bidi="ar"/>
              </w:rPr>
            </w:pPr>
            <w:r>
              <w:rPr>
                <w:rFonts w:hint="eastAsia" w:ascii="宋体" w:hAnsi="宋体" w:eastAsia="宋体" w:cs="宋体"/>
                <w:i w:val="0"/>
                <w:iCs w:val="0"/>
                <w:color w:val="000000"/>
                <w:kern w:val="0"/>
                <w:sz w:val="22"/>
                <w:szCs w:val="22"/>
                <w:highlight w:val="none"/>
                <w:u w:val="none"/>
                <w:lang w:val="en-US" w:eastAsia="zh-CN" w:bidi="ar"/>
              </w:rPr>
              <w:t>3-4个月/次</w:t>
            </w:r>
          </w:p>
        </w:tc>
        <w:tc>
          <w:tcPr>
            <w:tcW w:w="1667" w:type="pct"/>
            <w:shd w:val="clear" w:color="auto" w:fill="auto"/>
            <w:vAlign w:val="center"/>
          </w:tcPr>
          <w:p w14:paraId="1AAF73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olor w:val="000000"/>
                <w:kern w:val="0"/>
                <w:sz w:val="22"/>
                <w:szCs w:val="22"/>
                <w:highlight w:val="none"/>
                <w:lang w:bidi="ar"/>
              </w:rPr>
            </w:pPr>
            <w:r>
              <w:rPr>
                <w:rFonts w:hint="eastAsia" w:ascii="宋体" w:hAnsi="宋体" w:eastAsia="宋体" w:cs="宋体"/>
                <w:i w:val="0"/>
                <w:iCs w:val="0"/>
                <w:color w:val="000000"/>
                <w:kern w:val="0"/>
                <w:sz w:val="22"/>
                <w:szCs w:val="22"/>
                <w:highlight w:val="none"/>
                <w:u w:val="none"/>
                <w:lang w:val="en-US" w:eastAsia="zh-CN" w:bidi="ar"/>
              </w:rPr>
              <w:t>2-3年</w:t>
            </w:r>
          </w:p>
        </w:tc>
      </w:tr>
      <w:tr w14:paraId="46A53F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67E39004">
            <w:pPr>
              <w:spacing w:line="240" w:lineRule="auto"/>
              <w:ind w:firstLine="0" w:firstLineChars="0"/>
              <w:jc w:val="center"/>
              <w:rPr>
                <w:rFonts w:hint="eastAsia"/>
                <w:sz w:val="22"/>
                <w:szCs w:val="22"/>
                <w:highlight w:val="none"/>
              </w:rPr>
            </w:pPr>
            <w:r>
              <w:rPr>
                <w:rFonts w:hint="eastAsia"/>
                <w:sz w:val="22"/>
                <w:szCs w:val="22"/>
                <w:highlight w:val="none"/>
              </w:rPr>
              <w:t>在线</w:t>
            </w:r>
            <w:r>
              <w:rPr>
                <w:rFonts w:hint="eastAsia"/>
                <w:sz w:val="22"/>
                <w:szCs w:val="22"/>
                <w:highlight w:val="none"/>
                <w:lang w:val="en-US" w:eastAsia="zh-CN"/>
              </w:rPr>
              <w:t>高锰酸盐指数</w:t>
            </w:r>
            <w:r>
              <w:rPr>
                <w:rFonts w:hint="eastAsia"/>
                <w:sz w:val="22"/>
                <w:szCs w:val="22"/>
                <w:highlight w:val="none"/>
              </w:rPr>
              <w:t>分析仪</w:t>
            </w:r>
          </w:p>
        </w:tc>
        <w:tc>
          <w:tcPr>
            <w:tcW w:w="1666" w:type="pct"/>
            <w:shd w:val="clear" w:color="auto" w:fill="auto"/>
            <w:vAlign w:val="center"/>
          </w:tcPr>
          <w:p w14:paraId="0E54AC42">
            <w:pPr>
              <w:widowControl/>
              <w:spacing w:line="240" w:lineRule="auto"/>
              <w:ind w:firstLine="0" w:firstLineChars="0"/>
              <w:jc w:val="center"/>
              <w:textAlignment w:val="center"/>
              <w:rPr>
                <w:rFonts w:hint="eastAsia"/>
                <w:color w:val="000000"/>
                <w:kern w:val="0"/>
                <w:sz w:val="22"/>
                <w:szCs w:val="22"/>
                <w:highlight w:val="none"/>
                <w:lang w:bidi="ar"/>
              </w:rPr>
            </w:pPr>
            <w:r>
              <w:rPr>
                <w:rFonts w:hint="eastAsia"/>
                <w:color w:val="000000"/>
                <w:kern w:val="0"/>
                <w:sz w:val="22"/>
                <w:szCs w:val="22"/>
                <w:highlight w:val="none"/>
                <w:lang w:bidi="ar"/>
              </w:rPr>
              <w:t>1个月/次</w:t>
            </w:r>
          </w:p>
        </w:tc>
        <w:tc>
          <w:tcPr>
            <w:tcW w:w="1667" w:type="pct"/>
            <w:shd w:val="clear" w:color="auto" w:fill="auto"/>
            <w:vAlign w:val="center"/>
          </w:tcPr>
          <w:p w14:paraId="2B17EC85">
            <w:pPr>
              <w:widowControl/>
              <w:spacing w:line="240" w:lineRule="auto"/>
              <w:ind w:firstLine="0" w:firstLineChars="0"/>
              <w:jc w:val="center"/>
              <w:textAlignment w:val="center"/>
              <w:rPr>
                <w:rFonts w:hint="eastAsia"/>
                <w:color w:val="000000"/>
                <w:kern w:val="0"/>
                <w:sz w:val="22"/>
                <w:szCs w:val="22"/>
                <w:highlight w:val="none"/>
                <w:lang w:bidi="ar"/>
              </w:rPr>
            </w:pPr>
            <w:r>
              <w:rPr>
                <w:rFonts w:hint="eastAsia"/>
                <w:color w:val="000000"/>
                <w:kern w:val="0"/>
                <w:sz w:val="22"/>
                <w:szCs w:val="22"/>
                <w:highlight w:val="none"/>
                <w:lang w:bidi="ar"/>
              </w:rPr>
              <w:t>3-5年</w:t>
            </w:r>
          </w:p>
        </w:tc>
      </w:tr>
      <w:tr w14:paraId="072E8B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17F299F1">
            <w:pPr>
              <w:spacing w:line="240" w:lineRule="auto"/>
              <w:ind w:firstLine="0" w:firstLineChars="0"/>
              <w:jc w:val="center"/>
              <w:rPr>
                <w:rFonts w:hint="eastAsia"/>
                <w:sz w:val="22"/>
                <w:szCs w:val="22"/>
                <w:highlight w:val="none"/>
              </w:rPr>
            </w:pPr>
            <w:r>
              <w:rPr>
                <w:rFonts w:hint="eastAsia"/>
                <w:sz w:val="22"/>
                <w:szCs w:val="22"/>
                <w:highlight w:val="none"/>
              </w:rPr>
              <w:t>在线总磷分析仪</w:t>
            </w:r>
          </w:p>
        </w:tc>
        <w:tc>
          <w:tcPr>
            <w:tcW w:w="1666" w:type="pct"/>
            <w:shd w:val="clear" w:color="auto" w:fill="auto"/>
            <w:vAlign w:val="center"/>
          </w:tcPr>
          <w:p w14:paraId="02DF706F">
            <w:pPr>
              <w:widowControl/>
              <w:spacing w:line="240" w:lineRule="auto"/>
              <w:ind w:firstLine="0" w:firstLineChars="0"/>
              <w:jc w:val="center"/>
              <w:textAlignment w:val="center"/>
              <w:rPr>
                <w:rFonts w:hint="eastAsia"/>
                <w:color w:val="000000"/>
                <w:kern w:val="0"/>
                <w:sz w:val="22"/>
                <w:szCs w:val="22"/>
                <w:highlight w:val="none"/>
                <w:lang w:bidi="ar"/>
              </w:rPr>
            </w:pPr>
            <w:r>
              <w:rPr>
                <w:rFonts w:hint="eastAsia"/>
                <w:color w:val="000000"/>
                <w:kern w:val="0"/>
                <w:sz w:val="22"/>
                <w:szCs w:val="22"/>
                <w:highlight w:val="none"/>
                <w:lang w:bidi="ar"/>
              </w:rPr>
              <w:t>1个月/次</w:t>
            </w:r>
          </w:p>
        </w:tc>
        <w:tc>
          <w:tcPr>
            <w:tcW w:w="1667" w:type="pct"/>
            <w:shd w:val="clear" w:color="auto" w:fill="auto"/>
            <w:vAlign w:val="center"/>
          </w:tcPr>
          <w:p w14:paraId="581CBF07">
            <w:pPr>
              <w:widowControl/>
              <w:spacing w:line="240" w:lineRule="auto"/>
              <w:ind w:firstLine="0" w:firstLineChars="0"/>
              <w:jc w:val="center"/>
              <w:textAlignment w:val="center"/>
              <w:rPr>
                <w:rFonts w:hint="eastAsia"/>
                <w:color w:val="000000"/>
                <w:kern w:val="0"/>
                <w:sz w:val="22"/>
                <w:szCs w:val="22"/>
                <w:highlight w:val="none"/>
                <w:lang w:bidi="ar"/>
              </w:rPr>
            </w:pPr>
            <w:r>
              <w:rPr>
                <w:rFonts w:hint="eastAsia"/>
                <w:color w:val="000000"/>
                <w:kern w:val="0"/>
                <w:sz w:val="22"/>
                <w:szCs w:val="22"/>
                <w:highlight w:val="none"/>
                <w:lang w:bidi="ar"/>
              </w:rPr>
              <w:t>3-5年</w:t>
            </w:r>
          </w:p>
        </w:tc>
      </w:tr>
      <w:tr w14:paraId="5D15D9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shd w:val="clear" w:color="auto" w:fill="auto"/>
            <w:vAlign w:val="center"/>
          </w:tcPr>
          <w:p w14:paraId="2EEE2A80">
            <w:pPr>
              <w:spacing w:line="240" w:lineRule="auto"/>
              <w:ind w:firstLine="0" w:firstLineChars="0"/>
              <w:jc w:val="center"/>
              <w:rPr>
                <w:rFonts w:hint="eastAsia" w:ascii="宋体" w:hAnsi="宋体" w:eastAsia="宋体" w:cs="宋体"/>
                <w:kern w:val="2"/>
                <w:sz w:val="22"/>
                <w:szCs w:val="22"/>
                <w:highlight w:val="none"/>
                <w:lang w:val="en-US" w:eastAsia="zh-CN" w:bidi="ar-SA"/>
              </w:rPr>
            </w:pPr>
            <w:r>
              <w:rPr>
                <w:rFonts w:hint="eastAsia"/>
                <w:sz w:val="22"/>
                <w:szCs w:val="22"/>
                <w:highlight w:val="none"/>
              </w:rPr>
              <w:t>在线</w:t>
            </w:r>
            <w:r>
              <w:rPr>
                <w:rFonts w:hint="eastAsia"/>
                <w:sz w:val="22"/>
                <w:szCs w:val="22"/>
                <w:highlight w:val="none"/>
                <w:lang w:val="en-US" w:eastAsia="zh-CN"/>
              </w:rPr>
              <w:t>总氮</w:t>
            </w:r>
            <w:r>
              <w:rPr>
                <w:rFonts w:hint="eastAsia"/>
                <w:sz w:val="22"/>
                <w:szCs w:val="22"/>
                <w:highlight w:val="none"/>
              </w:rPr>
              <w:t>分析仪</w:t>
            </w:r>
          </w:p>
        </w:tc>
        <w:tc>
          <w:tcPr>
            <w:tcW w:w="1666" w:type="pct"/>
            <w:shd w:val="clear" w:color="auto" w:fill="auto"/>
            <w:vAlign w:val="center"/>
          </w:tcPr>
          <w:p w14:paraId="1D6937C4">
            <w:pPr>
              <w:widowControl/>
              <w:spacing w:line="240" w:lineRule="auto"/>
              <w:ind w:firstLine="0" w:firstLineChars="0"/>
              <w:jc w:val="center"/>
              <w:textAlignment w:val="center"/>
              <w:rPr>
                <w:rFonts w:hint="eastAsia" w:ascii="宋体" w:hAnsi="宋体" w:eastAsia="宋体" w:cs="宋体"/>
                <w:color w:val="000000"/>
                <w:kern w:val="0"/>
                <w:sz w:val="22"/>
                <w:szCs w:val="22"/>
                <w:highlight w:val="none"/>
                <w:lang w:val="en-US" w:eastAsia="zh-CN" w:bidi="ar"/>
              </w:rPr>
            </w:pPr>
            <w:r>
              <w:rPr>
                <w:rFonts w:hint="eastAsia"/>
                <w:color w:val="000000"/>
                <w:kern w:val="0"/>
                <w:sz w:val="22"/>
                <w:szCs w:val="22"/>
                <w:highlight w:val="none"/>
                <w:lang w:bidi="ar"/>
              </w:rPr>
              <w:t>1个月/次</w:t>
            </w:r>
          </w:p>
        </w:tc>
        <w:tc>
          <w:tcPr>
            <w:tcW w:w="1667" w:type="pct"/>
            <w:shd w:val="clear" w:color="auto" w:fill="auto"/>
            <w:vAlign w:val="center"/>
          </w:tcPr>
          <w:p w14:paraId="537CB97A">
            <w:pPr>
              <w:widowControl/>
              <w:spacing w:line="240" w:lineRule="auto"/>
              <w:ind w:firstLine="0" w:firstLineChars="0"/>
              <w:jc w:val="center"/>
              <w:textAlignment w:val="center"/>
              <w:rPr>
                <w:rFonts w:hint="eastAsia" w:ascii="宋体" w:hAnsi="宋体" w:eastAsia="宋体" w:cs="宋体"/>
                <w:color w:val="000000"/>
                <w:kern w:val="0"/>
                <w:sz w:val="22"/>
                <w:szCs w:val="22"/>
                <w:highlight w:val="none"/>
                <w:lang w:val="en-US" w:eastAsia="zh-CN" w:bidi="ar"/>
              </w:rPr>
            </w:pPr>
            <w:r>
              <w:rPr>
                <w:rFonts w:hint="eastAsia"/>
                <w:color w:val="000000"/>
                <w:kern w:val="0"/>
                <w:sz w:val="22"/>
                <w:szCs w:val="22"/>
                <w:highlight w:val="none"/>
                <w:lang w:bidi="ar"/>
              </w:rPr>
              <w:t>3-5年</w:t>
            </w:r>
          </w:p>
        </w:tc>
      </w:tr>
      <w:tr w14:paraId="047CFE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shd w:val="clear" w:color="auto" w:fill="auto"/>
            <w:vAlign w:val="center"/>
          </w:tcPr>
          <w:p w14:paraId="75A9ED69">
            <w:pPr>
              <w:spacing w:line="240" w:lineRule="auto"/>
              <w:ind w:firstLine="0" w:firstLineChars="0"/>
              <w:jc w:val="center"/>
              <w:rPr>
                <w:rFonts w:hint="eastAsia" w:ascii="宋体" w:hAnsi="宋体" w:eastAsia="宋体" w:cs="宋体"/>
                <w:kern w:val="2"/>
                <w:sz w:val="22"/>
                <w:szCs w:val="22"/>
                <w:highlight w:val="none"/>
                <w:lang w:val="en-US" w:eastAsia="zh-CN" w:bidi="ar-SA"/>
              </w:rPr>
            </w:pPr>
            <w:r>
              <w:rPr>
                <w:rFonts w:hint="eastAsia"/>
                <w:sz w:val="22"/>
                <w:szCs w:val="22"/>
                <w:highlight w:val="none"/>
              </w:rPr>
              <w:t>便携式多参数分析仪</w:t>
            </w:r>
          </w:p>
        </w:tc>
        <w:tc>
          <w:tcPr>
            <w:tcW w:w="1666" w:type="pct"/>
            <w:shd w:val="clear" w:color="auto" w:fill="auto"/>
            <w:vAlign w:val="center"/>
          </w:tcPr>
          <w:p w14:paraId="143CCEF7">
            <w:pPr>
              <w:widowControl/>
              <w:spacing w:line="240" w:lineRule="auto"/>
              <w:ind w:firstLine="0" w:firstLineChars="0"/>
              <w:jc w:val="center"/>
              <w:textAlignment w:val="center"/>
              <w:rPr>
                <w:rFonts w:hint="eastAsia" w:ascii="宋体" w:hAnsi="宋体" w:eastAsia="宋体" w:cs="宋体"/>
                <w:kern w:val="2"/>
                <w:sz w:val="24"/>
                <w:szCs w:val="24"/>
                <w:highlight w:val="none"/>
                <w:lang w:val="en-US" w:eastAsia="zh-CN" w:bidi="ar-SA"/>
              </w:rPr>
            </w:pPr>
            <w:r>
              <w:rPr>
                <w:rFonts w:hint="eastAsia"/>
                <w:color w:val="000000"/>
                <w:kern w:val="0"/>
                <w:sz w:val="22"/>
                <w:szCs w:val="22"/>
                <w:highlight w:val="none"/>
                <w:lang w:bidi="ar"/>
              </w:rPr>
              <w:t>3-4个月/次</w:t>
            </w:r>
          </w:p>
        </w:tc>
        <w:tc>
          <w:tcPr>
            <w:tcW w:w="1667" w:type="pct"/>
            <w:shd w:val="clear" w:color="auto" w:fill="auto"/>
            <w:vAlign w:val="center"/>
          </w:tcPr>
          <w:p w14:paraId="5D5CABB1">
            <w:pPr>
              <w:widowControl/>
              <w:spacing w:line="240" w:lineRule="auto"/>
              <w:ind w:firstLine="0" w:firstLineChars="0"/>
              <w:jc w:val="center"/>
              <w:textAlignment w:val="center"/>
              <w:rPr>
                <w:rFonts w:hint="eastAsia" w:ascii="宋体" w:hAnsi="宋体" w:eastAsia="宋体" w:cs="宋体"/>
                <w:kern w:val="2"/>
                <w:sz w:val="24"/>
                <w:szCs w:val="24"/>
                <w:highlight w:val="none"/>
                <w:lang w:val="en-US" w:eastAsia="zh-CN" w:bidi="ar-SA"/>
              </w:rPr>
            </w:pPr>
            <w:r>
              <w:rPr>
                <w:rFonts w:hint="eastAsia"/>
                <w:color w:val="000000"/>
                <w:kern w:val="0"/>
                <w:sz w:val="22"/>
                <w:szCs w:val="22"/>
                <w:highlight w:val="none"/>
                <w:lang w:bidi="ar"/>
              </w:rPr>
              <w:t>2-3年</w:t>
            </w:r>
          </w:p>
        </w:tc>
      </w:tr>
    </w:tbl>
    <w:p w14:paraId="62EBC3EE">
      <w:pPr>
        <w:rPr>
          <w:rFonts w:hint="default"/>
          <w:highlight w:val="none"/>
          <w:lang w:val="en-US" w:eastAsia="zh-CN"/>
        </w:rPr>
      </w:pPr>
    </w:p>
    <w:p w14:paraId="471B1251">
      <w:pPr>
        <w:pStyle w:val="3"/>
        <w:rPr>
          <w:rFonts w:hint="eastAsia"/>
          <w:color w:val="auto"/>
          <w:highlight w:val="none"/>
        </w:rPr>
      </w:pPr>
      <w:bookmarkStart w:id="19" w:name="_Toc2372"/>
      <w:bookmarkStart w:id="20" w:name="_Toc7526"/>
      <w:bookmarkStart w:id="21" w:name="_Toc16803"/>
      <w:bookmarkStart w:id="22" w:name="_Toc24537"/>
      <w:r>
        <w:rPr>
          <w:rFonts w:hint="eastAsia"/>
          <w:color w:val="auto"/>
          <w:highlight w:val="none"/>
          <w:lang w:val="en-US" w:eastAsia="zh-CN"/>
        </w:rPr>
        <w:t>设备</w:t>
      </w:r>
      <w:r>
        <w:rPr>
          <w:rFonts w:hint="eastAsia"/>
          <w:color w:val="auto"/>
          <w:highlight w:val="none"/>
        </w:rPr>
        <w:t>日常维护</w:t>
      </w:r>
      <w:bookmarkEnd w:id="19"/>
      <w:bookmarkEnd w:id="20"/>
      <w:bookmarkEnd w:id="21"/>
      <w:bookmarkEnd w:id="22"/>
    </w:p>
    <w:p w14:paraId="215F64AA">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b/>
          <w:bCs/>
          <w:highlight w:val="none"/>
        </w:rPr>
      </w:pPr>
      <w:r>
        <w:rPr>
          <w:rFonts w:hint="eastAsia" w:ascii="宋体" w:hAnsi="宋体" w:eastAsia="宋体" w:cs="宋体"/>
          <w:b/>
          <w:bCs/>
          <w:highlight w:val="none"/>
        </w:rPr>
        <w:t>在线全光谱多参数传感器</w:t>
      </w:r>
    </w:p>
    <w:p w14:paraId="22B1B3FB">
      <w:pPr>
        <w:rPr>
          <w:rFonts w:hint="eastAsia"/>
          <w:b w:val="0"/>
          <w:bCs w:val="0"/>
          <w:highlight w:val="none"/>
          <w:lang w:eastAsia="zh-CN"/>
        </w:rPr>
      </w:pPr>
      <w:r>
        <w:rPr>
          <w:rFonts w:hint="eastAsia"/>
          <w:b w:val="0"/>
          <w:bCs w:val="0"/>
          <w:highlight w:val="none"/>
          <w:lang w:eastAsia="zh-CN"/>
        </w:rPr>
        <w:t>（1）定期用自来水清洗外表面，若有碎屑残留，用湿润软布擦拭；顽固污垢可加家用洗涤液清洗。</w:t>
      </w:r>
    </w:p>
    <w:p w14:paraId="1CE601E1">
      <w:pPr>
        <w:rPr>
          <w:rFonts w:hint="eastAsia"/>
          <w:b w:val="0"/>
          <w:bCs w:val="0"/>
          <w:highlight w:val="none"/>
          <w:lang w:eastAsia="zh-CN"/>
        </w:rPr>
      </w:pPr>
      <w:r>
        <w:rPr>
          <w:rFonts w:hint="eastAsia"/>
          <w:b w:val="0"/>
          <w:bCs w:val="0"/>
          <w:highlight w:val="none"/>
          <w:lang w:eastAsia="zh-CN"/>
        </w:rPr>
        <w:t>（2）查看线缆是否绷紧、测量窗口有无脏污、清洁刷是否正常及有无损坏。</w:t>
      </w:r>
    </w:p>
    <w:p w14:paraId="57E5D9D8">
      <w:pPr>
        <w:rPr>
          <w:rFonts w:hint="eastAsia"/>
          <w:b w:val="0"/>
          <w:bCs w:val="0"/>
          <w:highlight w:val="none"/>
          <w:lang w:eastAsia="zh-CN"/>
        </w:rPr>
      </w:pPr>
      <w:r>
        <w:rPr>
          <w:rFonts w:hint="eastAsia"/>
          <w:b w:val="0"/>
          <w:bCs w:val="0"/>
          <w:highlight w:val="none"/>
          <w:lang w:eastAsia="zh-CN"/>
        </w:rPr>
        <w:t>（3）校准传感器，在使用前将传感器置入去离子水，保证光路浸没且无气泡，发送光谱校准指令完成校准。</w:t>
      </w:r>
    </w:p>
    <w:p w14:paraId="35ED99A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highlight w:val="none"/>
        </w:rPr>
      </w:pPr>
      <w:r>
        <w:rPr>
          <w:rFonts w:hint="eastAsia"/>
          <w:b/>
          <w:bCs/>
          <w:highlight w:val="none"/>
        </w:rPr>
        <w:t>在线PH传感器</w:t>
      </w:r>
    </w:p>
    <w:p w14:paraId="2516CE02">
      <w:pPr>
        <w:rPr>
          <w:rFonts w:hint="eastAsia"/>
          <w:b w:val="0"/>
          <w:bCs w:val="0"/>
          <w:highlight w:val="none"/>
          <w:lang w:eastAsia="zh-CN"/>
        </w:rPr>
      </w:pPr>
      <w:r>
        <w:rPr>
          <w:rFonts w:hint="eastAsia"/>
          <w:b w:val="0"/>
          <w:bCs w:val="0"/>
          <w:highlight w:val="none"/>
          <w:lang w:eastAsia="zh-CN"/>
        </w:rPr>
        <w:t>（1）测量前用蒸馏水洗净并擦干传感器，插入被测液1/3深度，防杂质污染。</w:t>
      </w:r>
    </w:p>
    <w:p w14:paraId="28A20722">
      <w:pPr>
        <w:rPr>
          <w:rFonts w:hint="eastAsia"/>
          <w:b w:val="0"/>
          <w:bCs w:val="0"/>
          <w:highlight w:val="none"/>
          <w:lang w:eastAsia="zh-CN"/>
        </w:rPr>
      </w:pPr>
      <w:r>
        <w:rPr>
          <w:rFonts w:hint="eastAsia"/>
          <w:b w:val="0"/>
          <w:bCs w:val="0"/>
          <w:highlight w:val="none"/>
          <w:lang w:eastAsia="zh-CN"/>
        </w:rPr>
        <w:t>（2）闲置保养，洗净后浸泡于3mol/L氯化钾溶液中（保护套或容器），维持电极性能。</w:t>
      </w:r>
    </w:p>
    <w:p w14:paraId="32FB555C">
      <w:pPr>
        <w:ind w:firstLine="0" w:firstLineChars="0"/>
        <w:rPr>
          <w:rFonts w:hint="eastAsia"/>
          <w:b/>
          <w:bCs/>
          <w:highlight w:val="none"/>
        </w:rPr>
      </w:pPr>
      <w:r>
        <w:rPr>
          <w:rFonts w:hint="eastAsia"/>
          <w:b/>
          <w:bCs/>
          <w:highlight w:val="none"/>
        </w:rPr>
        <w:t>在线悬浮物传感器</w:t>
      </w:r>
    </w:p>
    <w:p w14:paraId="6F06780C">
      <w:pPr>
        <w:ind w:firstLine="480"/>
        <w:rPr>
          <w:rFonts w:hint="eastAsia"/>
          <w:highlight w:val="none"/>
        </w:rPr>
      </w:pPr>
      <w:r>
        <w:rPr>
          <w:rFonts w:hint="eastAsia"/>
          <w:highlight w:val="none"/>
        </w:rPr>
        <w:t>（1）外表面清洁自来水冲洗表面，软布擦拭残留碎屑，顽固污垢可用稀释家用洗涤液清洗。</w:t>
      </w:r>
    </w:p>
    <w:p w14:paraId="66384517">
      <w:pPr>
        <w:ind w:firstLine="480"/>
        <w:rPr>
          <w:rFonts w:hint="eastAsia"/>
          <w:highlight w:val="none"/>
        </w:rPr>
      </w:pPr>
      <w:r>
        <w:rPr>
          <w:rFonts w:hint="eastAsia"/>
          <w:highlight w:val="none"/>
        </w:rPr>
        <w:t xml:space="preserve">（2）线缆检查确保线缆松弛无绷紧，避免内部断裂导致故障。  </w:t>
      </w:r>
    </w:p>
    <w:p w14:paraId="17BF7061">
      <w:pPr>
        <w:ind w:firstLine="480"/>
        <w:rPr>
          <w:rFonts w:hint="eastAsia"/>
          <w:highlight w:val="none"/>
        </w:rPr>
      </w:pPr>
      <w:r>
        <w:rPr>
          <w:rFonts w:hint="eastAsia"/>
          <w:highlight w:val="none"/>
        </w:rPr>
        <w:t xml:space="preserve">（3）测量窗口维护检查测量窗口是否脏污，清洁刷是否正常工作。  </w:t>
      </w:r>
    </w:p>
    <w:p w14:paraId="0C07F0E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b/>
          <w:bCs/>
          <w:highlight w:val="none"/>
        </w:rPr>
      </w:pPr>
      <w:r>
        <w:rPr>
          <w:rFonts w:hint="eastAsia" w:ascii="宋体" w:hAnsi="宋体" w:eastAsia="宋体" w:cs="宋体"/>
          <w:b/>
          <w:bCs/>
          <w:highlight w:val="none"/>
        </w:rPr>
        <w:t>在线</w:t>
      </w:r>
      <w:r>
        <w:rPr>
          <w:rFonts w:hint="eastAsia" w:ascii="宋体" w:hAnsi="宋体" w:eastAsia="宋体" w:cs="宋体"/>
          <w:b/>
          <w:bCs/>
          <w:highlight w:val="none"/>
          <w:lang w:val="en-US" w:eastAsia="zh-CN"/>
        </w:rPr>
        <w:t>高锰酸盐指数/</w:t>
      </w:r>
      <w:r>
        <w:rPr>
          <w:rFonts w:hint="eastAsia" w:ascii="宋体" w:hAnsi="宋体" w:eastAsia="宋体" w:cs="宋体"/>
          <w:b/>
          <w:bCs/>
          <w:highlight w:val="none"/>
        </w:rPr>
        <w:t>总磷</w:t>
      </w:r>
      <w:r>
        <w:rPr>
          <w:rFonts w:hint="eastAsia" w:ascii="宋体" w:hAnsi="宋体" w:eastAsia="宋体" w:cs="宋体"/>
          <w:b/>
          <w:bCs/>
          <w:highlight w:val="none"/>
          <w:lang w:val="en-US" w:eastAsia="zh-CN"/>
        </w:rPr>
        <w:t>/总氮</w:t>
      </w:r>
      <w:r>
        <w:rPr>
          <w:rFonts w:hint="eastAsia" w:ascii="宋体" w:hAnsi="宋体" w:eastAsia="宋体" w:cs="宋体"/>
          <w:b/>
          <w:bCs/>
          <w:highlight w:val="none"/>
        </w:rPr>
        <w:t>分析仪</w:t>
      </w:r>
    </w:p>
    <w:p w14:paraId="09AE181E">
      <w:pPr>
        <w:ind w:firstLine="480"/>
        <w:rPr>
          <w:rFonts w:hint="eastAsia"/>
          <w:highlight w:val="none"/>
        </w:rPr>
      </w:pPr>
      <w:r>
        <w:rPr>
          <w:rFonts w:hint="eastAsia"/>
          <w:highlight w:val="none"/>
        </w:rPr>
        <w:t>（1）定期用温和的清洁剂清洗仪器外部，去除灰尘和污渍。</w:t>
      </w:r>
    </w:p>
    <w:p w14:paraId="76DFDDEF">
      <w:pPr>
        <w:ind w:firstLine="480"/>
        <w:rPr>
          <w:rFonts w:hint="eastAsia"/>
          <w:highlight w:val="none"/>
        </w:rPr>
      </w:pPr>
      <w:r>
        <w:rPr>
          <w:rFonts w:hint="eastAsia"/>
          <w:highlight w:val="none"/>
        </w:rPr>
        <w:t>（2）检查试剂余量，及时添加或更换。注意试剂保质期，避免使用过期试剂。定期更换试剂管路，防止堵塞和交叉污染，更换频率根据使用情况确定。</w:t>
      </w:r>
    </w:p>
    <w:p w14:paraId="05520C05">
      <w:pPr>
        <w:ind w:firstLine="480"/>
        <w:rPr>
          <w:rFonts w:hint="eastAsia"/>
          <w:highlight w:val="none"/>
        </w:rPr>
      </w:pPr>
      <w:r>
        <w:rPr>
          <w:rFonts w:hint="eastAsia"/>
          <w:highlight w:val="none"/>
        </w:rPr>
        <w:t>（3）按照仪器使用手册规定的时间进行校准，包括零点校准和量程校准，使用标准溶液进行操作，确保测量结果的准确性。</w:t>
      </w:r>
    </w:p>
    <w:p w14:paraId="37A3C866">
      <w:pPr>
        <w:ind w:firstLine="480"/>
        <w:rPr>
          <w:rFonts w:hint="eastAsia"/>
          <w:highlight w:val="none"/>
        </w:rPr>
      </w:pPr>
      <w:r>
        <w:rPr>
          <w:rFonts w:hint="eastAsia"/>
          <w:highlight w:val="none"/>
        </w:rPr>
        <w:t>（4）检查采样泵、蠕动泵等部件的工作状态，查看是否有泄漏、异常噪音或磨损。检查仪器的连接部件是否松动，及时紧固，保证仪器稳定运行。</w:t>
      </w:r>
    </w:p>
    <w:p w14:paraId="5C62654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b/>
          <w:bCs/>
          <w:highlight w:val="none"/>
        </w:rPr>
      </w:pPr>
      <w:r>
        <w:rPr>
          <w:rFonts w:hint="eastAsia" w:ascii="宋体" w:hAnsi="宋体" w:eastAsia="宋体" w:cs="宋体"/>
          <w:b/>
          <w:bCs/>
          <w:highlight w:val="none"/>
        </w:rPr>
        <w:t>便携式多参数分析仪</w:t>
      </w:r>
    </w:p>
    <w:p w14:paraId="580D7483">
      <w:pPr>
        <w:rPr>
          <w:rFonts w:hint="eastAsia"/>
          <w:b w:val="0"/>
          <w:bCs w:val="0"/>
          <w:highlight w:val="none"/>
          <w:lang w:eastAsia="zh-CN"/>
        </w:rPr>
      </w:pPr>
      <w:r>
        <w:rPr>
          <w:rFonts w:hint="eastAsia"/>
          <w:b w:val="0"/>
          <w:bCs w:val="0"/>
          <w:highlight w:val="none"/>
          <w:lang w:eastAsia="zh-CN"/>
        </w:rPr>
        <w:t>（1）平常不用时拔掉电源插头。若有反应液体溅到载物台或仪器外壁，及时用湿抹布擦去，必要时消毒。每次使用完毕用湿抹布擦拭保持洁净。</w:t>
      </w:r>
    </w:p>
    <w:p w14:paraId="15DC1935">
      <w:pPr>
        <w:rPr>
          <w:rFonts w:hint="eastAsia"/>
          <w:b w:val="0"/>
          <w:bCs w:val="0"/>
          <w:highlight w:val="none"/>
          <w:lang w:eastAsia="zh-CN"/>
        </w:rPr>
      </w:pPr>
      <w:r>
        <w:rPr>
          <w:rFonts w:hint="eastAsia"/>
          <w:b w:val="0"/>
          <w:bCs w:val="0"/>
          <w:highlight w:val="none"/>
          <w:lang w:eastAsia="zh-CN"/>
        </w:rPr>
        <w:t>（2）仪器有开机自检功能，出现故障时，依据故障提示或常见故障排查方法处理。如水质检测仪不能启动，检查电源；自检不正常，查看光源灯、重新设置波长值或更换滤光片；检测结果不正确，根据具体原因更换光源灯、滤光片、试剂，排除干扰源，重新校准标定或处理样本；</w:t>
      </w:r>
    </w:p>
    <w:p w14:paraId="49E3E056">
      <w:pPr>
        <w:rPr>
          <w:rFonts w:hint="eastAsia"/>
          <w:b w:val="0"/>
          <w:bCs w:val="0"/>
          <w:highlight w:val="none"/>
          <w:lang w:eastAsia="zh-CN"/>
        </w:rPr>
      </w:pPr>
      <w:r>
        <w:rPr>
          <w:rFonts w:hint="eastAsia"/>
          <w:b w:val="0"/>
          <w:bCs w:val="0"/>
          <w:highlight w:val="none"/>
          <w:lang w:eastAsia="zh-CN"/>
        </w:rPr>
        <w:t>（3）本仪器属于计量类仪器，出现检测结果超出规定范围、实验条件改变、用标准溶液检验出现误差等情形时，需使用标准溶液重新进行校准和标定，标液可选用国家标物中心发行的质控品、从厂家购买或用户自行配置（配置应严格按照对应检测项目最新版本的环境标准），以保证测定结果的准确性。</w:t>
      </w:r>
    </w:p>
    <w:p w14:paraId="6FD0F9CB">
      <w:pPr>
        <w:bidi w:val="0"/>
        <w:rPr>
          <w:rFonts w:hint="eastAsia" w:ascii="宋体" w:hAnsi="宋体" w:eastAsia="宋体" w:cs="宋体"/>
          <w:b/>
          <w:bCs/>
          <w:highlight w:val="none"/>
        </w:rPr>
      </w:pPr>
    </w:p>
    <w:p w14:paraId="3E03541E">
      <w:pPr>
        <w:pStyle w:val="3"/>
        <w:rPr>
          <w:rFonts w:hint="eastAsia"/>
          <w:color w:val="auto"/>
          <w:highlight w:val="none"/>
        </w:rPr>
      </w:pPr>
      <w:bookmarkStart w:id="23" w:name="_Toc9381"/>
      <w:bookmarkStart w:id="24" w:name="_Toc1460"/>
      <w:bookmarkStart w:id="25" w:name="_Toc8070"/>
      <w:bookmarkStart w:id="26" w:name="_Toc23751"/>
      <w:r>
        <w:rPr>
          <w:rFonts w:hint="eastAsia"/>
          <w:color w:val="auto"/>
          <w:highlight w:val="none"/>
          <w:lang w:val="en-US" w:eastAsia="zh-CN"/>
        </w:rPr>
        <w:t>设备</w:t>
      </w:r>
      <w:r>
        <w:rPr>
          <w:rFonts w:hint="eastAsia"/>
          <w:color w:val="auto"/>
          <w:highlight w:val="none"/>
        </w:rPr>
        <w:t>维护注意事项</w:t>
      </w:r>
      <w:bookmarkEnd w:id="23"/>
      <w:bookmarkEnd w:id="24"/>
      <w:bookmarkEnd w:id="25"/>
      <w:bookmarkEnd w:id="26"/>
    </w:p>
    <w:p w14:paraId="7D191EE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b/>
          <w:bCs/>
          <w:highlight w:val="none"/>
        </w:rPr>
      </w:pPr>
      <w:r>
        <w:rPr>
          <w:rFonts w:hint="eastAsia" w:ascii="宋体" w:hAnsi="宋体" w:eastAsia="宋体" w:cs="宋体"/>
          <w:b/>
          <w:bCs/>
          <w:highlight w:val="none"/>
        </w:rPr>
        <w:t>在线全光谱多参数传感器</w:t>
      </w:r>
    </w:p>
    <w:p w14:paraId="18FE30D5">
      <w:pPr>
        <w:rPr>
          <w:rFonts w:hint="eastAsia"/>
          <w:b w:val="0"/>
          <w:bCs w:val="0"/>
          <w:highlight w:val="none"/>
          <w:lang w:eastAsia="zh-CN"/>
        </w:rPr>
      </w:pPr>
      <w:r>
        <w:rPr>
          <w:rFonts w:hint="eastAsia"/>
          <w:b w:val="0"/>
          <w:bCs w:val="0"/>
          <w:highlight w:val="none"/>
          <w:lang w:eastAsia="zh-CN"/>
        </w:rPr>
        <w:t>（1）防止传感器受到剧烈机械撞击，使用中避免对其直接施加机械应力（压力、划痕等）。</w:t>
      </w:r>
    </w:p>
    <w:p w14:paraId="1AA6978C">
      <w:pPr>
        <w:rPr>
          <w:rFonts w:hint="eastAsia"/>
          <w:b w:val="0"/>
          <w:bCs w:val="0"/>
          <w:highlight w:val="none"/>
          <w:lang w:eastAsia="zh-CN"/>
        </w:rPr>
      </w:pPr>
      <w:r>
        <w:rPr>
          <w:rFonts w:hint="eastAsia"/>
          <w:b w:val="0"/>
          <w:bCs w:val="0"/>
          <w:highlight w:val="none"/>
          <w:lang w:eastAsia="zh-CN"/>
        </w:rPr>
        <w:t>（2）避免传感器被阳光暴晒，不要用手触摸传感器。</w:t>
      </w:r>
    </w:p>
    <w:p w14:paraId="5A8E64F2">
      <w:pPr>
        <w:rPr>
          <w:rFonts w:hint="eastAsia"/>
          <w:b w:val="0"/>
          <w:bCs w:val="0"/>
          <w:highlight w:val="none"/>
          <w:lang w:eastAsia="zh-CN"/>
        </w:rPr>
      </w:pPr>
      <w:r>
        <w:rPr>
          <w:rFonts w:hint="eastAsia"/>
          <w:b w:val="0"/>
          <w:bCs w:val="0"/>
          <w:highlight w:val="none"/>
          <w:lang w:eastAsia="zh-CN"/>
        </w:rPr>
        <w:t>（3）测量和校准时，确保传感器表面无气泡附着。</w:t>
      </w:r>
    </w:p>
    <w:p w14:paraId="0F5702E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highlight w:val="none"/>
        </w:rPr>
      </w:pPr>
      <w:r>
        <w:rPr>
          <w:rFonts w:hint="eastAsia"/>
          <w:b/>
          <w:bCs/>
          <w:highlight w:val="none"/>
        </w:rPr>
        <w:t>在线PH传感器</w:t>
      </w:r>
    </w:p>
    <w:p w14:paraId="5D04BD84">
      <w:pPr>
        <w:rPr>
          <w:rFonts w:hint="eastAsia"/>
          <w:b w:val="0"/>
          <w:bCs w:val="0"/>
          <w:highlight w:val="none"/>
          <w:lang w:eastAsia="zh-CN"/>
        </w:rPr>
      </w:pPr>
      <w:r>
        <w:rPr>
          <w:rFonts w:hint="eastAsia"/>
          <w:b w:val="0"/>
          <w:bCs w:val="0"/>
          <w:highlight w:val="none"/>
          <w:lang w:eastAsia="zh-CN"/>
        </w:rPr>
        <w:t>（1）用无水酒精擦拭接线端子上的沾污，确保干燥后使用。</w:t>
      </w:r>
    </w:p>
    <w:p w14:paraId="68B481C0">
      <w:pPr>
        <w:rPr>
          <w:rFonts w:hint="eastAsia"/>
          <w:b w:val="0"/>
          <w:bCs w:val="0"/>
          <w:highlight w:val="none"/>
          <w:lang w:eastAsia="zh-CN"/>
        </w:rPr>
      </w:pPr>
      <w:r>
        <w:rPr>
          <w:rFonts w:hint="eastAsia"/>
          <w:b w:val="0"/>
          <w:bCs w:val="0"/>
          <w:highlight w:val="none"/>
          <w:lang w:eastAsia="zh-CN"/>
        </w:rPr>
        <w:t>（2）勿长期浸泡蒸馏水/蛋白质溶液，远离有机硅油脂。</w:t>
      </w:r>
    </w:p>
    <w:p w14:paraId="59F94A84">
      <w:pPr>
        <w:rPr>
          <w:rFonts w:hint="eastAsia"/>
          <w:b w:val="0"/>
          <w:bCs w:val="0"/>
          <w:highlight w:val="none"/>
          <w:lang w:eastAsia="zh-CN"/>
        </w:rPr>
      </w:pPr>
      <w:r>
        <w:rPr>
          <w:rFonts w:hint="eastAsia"/>
          <w:b w:val="0"/>
          <w:bCs w:val="0"/>
          <w:highlight w:val="none"/>
          <w:lang w:eastAsia="zh-CN"/>
        </w:rPr>
        <w:t>（3）玻璃膜老化/沉积时，用稀盐酸清洗后水洗，必要时重新标定。</w:t>
      </w:r>
    </w:p>
    <w:p w14:paraId="13DB9CDA">
      <w:pPr>
        <w:ind w:firstLine="0" w:firstLineChars="0"/>
        <w:rPr>
          <w:rFonts w:hint="eastAsia"/>
          <w:b/>
          <w:bCs/>
          <w:highlight w:val="none"/>
        </w:rPr>
      </w:pPr>
      <w:r>
        <w:rPr>
          <w:rFonts w:hint="eastAsia"/>
          <w:b/>
          <w:bCs/>
          <w:highlight w:val="none"/>
        </w:rPr>
        <w:t>在线悬浮物传感器</w:t>
      </w:r>
    </w:p>
    <w:p w14:paraId="6B1D1DED">
      <w:pPr>
        <w:ind w:firstLine="480"/>
        <w:rPr>
          <w:rFonts w:hint="eastAsia"/>
          <w:highlight w:val="none"/>
        </w:rPr>
      </w:pPr>
      <w:r>
        <w:rPr>
          <w:rFonts w:hint="eastAsia"/>
          <w:highlight w:val="none"/>
        </w:rPr>
        <w:t xml:space="preserve">（1）使用时取下保护套，闲置时及时安装，防止探头划伤。  </w:t>
      </w:r>
    </w:p>
    <w:p w14:paraId="5711F8EB">
      <w:pPr>
        <w:ind w:firstLine="480"/>
        <w:rPr>
          <w:rFonts w:hint="eastAsia"/>
          <w:highlight w:val="none"/>
        </w:rPr>
      </w:pPr>
      <w:r>
        <w:rPr>
          <w:rFonts w:hint="eastAsia"/>
          <w:highlight w:val="none"/>
        </w:rPr>
        <w:t xml:space="preserve">（2）避免探头附着气泡，保持探头离容器底/壁≥100mm。  </w:t>
      </w:r>
    </w:p>
    <w:p w14:paraId="678737E5">
      <w:pPr>
        <w:ind w:firstLine="480"/>
        <w:rPr>
          <w:rFonts w:hint="eastAsia"/>
          <w:highlight w:val="none"/>
        </w:rPr>
      </w:pPr>
      <w:r>
        <w:rPr>
          <w:rFonts w:hint="eastAsia"/>
          <w:highlight w:val="none"/>
        </w:rPr>
        <w:t xml:space="preserve">（3）避免剧烈撞击，防止光学/电子部件损坏。  </w:t>
      </w:r>
    </w:p>
    <w:p w14:paraId="497834F1">
      <w:pPr>
        <w:ind w:firstLine="480"/>
        <w:rPr>
          <w:rFonts w:hint="eastAsia"/>
          <w:highlight w:val="none"/>
        </w:rPr>
      </w:pPr>
      <w:r>
        <w:rPr>
          <w:rFonts w:hint="eastAsia"/>
          <w:highlight w:val="none"/>
        </w:rPr>
        <w:t xml:space="preserve">（4）禁止在含荧光物质的容器中测试，防止干扰。  </w:t>
      </w:r>
    </w:p>
    <w:p w14:paraId="6D1A4B90">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b/>
          <w:bCs/>
          <w:highlight w:val="none"/>
        </w:rPr>
      </w:pPr>
      <w:r>
        <w:rPr>
          <w:rFonts w:hint="eastAsia" w:ascii="宋体" w:hAnsi="宋体" w:eastAsia="宋体" w:cs="宋体"/>
          <w:b/>
          <w:bCs/>
          <w:highlight w:val="none"/>
        </w:rPr>
        <w:t>在线</w:t>
      </w:r>
      <w:r>
        <w:rPr>
          <w:rFonts w:hint="eastAsia" w:ascii="宋体" w:hAnsi="宋体" w:eastAsia="宋体" w:cs="宋体"/>
          <w:b/>
          <w:bCs/>
          <w:highlight w:val="none"/>
          <w:lang w:val="en-US" w:eastAsia="zh-CN"/>
        </w:rPr>
        <w:t>高锰酸盐指数/</w:t>
      </w:r>
      <w:r>
        <w:rPr>
          <w:rFonts w:hint="eastAsia" w:ascii="宋体" w:hAnsi="宋体" w:eastAsia="宋体" w:cs="宋体"/>
          <w:b/>
          <w:bCs/>
          <w:highlight w:val="none"/>
        </w:rPr>
        <w:t>总磷</w:t>
      </w:r>
      <w:r>
        <w:rPr>
          <w:rFonts w:hint="eastAsia" w:ascii="宋体" w:hAnsi="宋体" w:eastAsia="宋体" w:cs="宋体"/>
          <w:b/>
          <w:bCs/>
          <w:highlight w:val="none"/>
          <w:lang w:val="en-US" w:eastAsia="zh-CN"/>
        </w:rPr>
        <w:t>/总氮</w:t>
      </w:r>
      <w:r>
        <w:rPr>
          <w:rFonts w:hint="eastAsia" w:ascii="宋体" w:hAnsi="宋体" w:eastAsia="宋体" w:cs="宋体"/>
          <w:b/>
          <w:bCs/>
          <w:highlight w:val="none"/>
        </w:rPr>
        <w:t>分析仪</w:t>
      </w:r>
    </w:p>
    <w:p w14:paraId="1F7252E3">
      <w:pPr>
        <w:ind w:firstLine="480"/>
        <w:rPr>
          <w:rFonts w:hint="eastAsia"/>
          <w:highlight w:val="none"/>
        </w:rPr>
      </w:pPr>
      <w:r>
        <w:rPr>
          <w:rFonts w:hint="eastAsia"/>
          <w:highlight w:val="none"/>
        </w:rPr>
        <w:t>（1）严格按照操作手册进行操作，避免误操作损坏仪器。维护过程中如需接触试剂，应佩戴防护手套和护目镜，防止试剂腐蚀。</w:t>
      </w:r>
    </w:p>
    <w:p w14:paraId="7FE27F3D">
      <w:pPr>
        <w:ind w:firstLine="480"/>
        <w:rPr>
          <w:rFonts w:hint="eastAsia"/>
          <w:highlight w:val="none"/>
        </w:rPr>
      </w:pPr>
      <w:r>
        <w:rPr>
          <w:rFonts w:hint="eastAsia"/>
          <w:highlight w:val="none"/>
        </w:rPr>
        <w:t>（2）仪器应安装在干燥、通风良好的环境中，避免阳光直射和高温高湿环境。远离强电磁场干扰源，防止影响测量精度。</w:t>
      </w:r>
    </w:p>
    <w:p w14:paraId="2F3850E1">
      <w:pPr>
        <w:ind w:firstLine="480"/>
        <w:rPr>
          <w:rFonts w:hint="eastAsia"/>
          <w:highlight w:val="none"/>
        </w:rPr>
      </w:pPr>
      <w:r>
        <w:rPr>
          <w:rFonts w:hint="eastAsia"/>
          <w:highlight w:val="none"/>
        </w:rPr>
        <w:t>（3）仪器出现故障时，不要擅自拆解维修，应联系专业维修人员。记录故障现象和发生时间，为维修提供参考。</w:t>
      </w:r>
    </w:p>
    <w:p w14:paraId="1E839C2F">
      <w:pPr>
        <w:ind w:firstLine="480"/>
        <w:rPr>
          <w:rFonts w:hint="eastAsia"/>
          <w:highlight w:val="none"/>
        </w:rPr>
      </w:pPr>
      <w:r>
        <w:rPr>
          <w:rFonts w:hint="eastAsia"/>
          <w:highlight w:val="none"/>
        </w:rPr>
        <w:t xml:space="preserve">（4）定期检查仪器的接地情况，确保使用安全。对废弃试剂进行妥善处理，按照环保要求进行回收或中和排放，避免污染环境。 </w:t>
      </w:r>
    </w:p>
    <w:p w14:paraId="005C150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b/>
          <w:bCs/>
          <w:highlight w:val="none"/>
        </w:rPr>
      </w:pPr>
      <w:r>
        <w:rPr>
          <w:rFonts w:hint="eastAsia" w:ascii="宋体" w:hAnsi="宋体" w:eastAsia="宋体" w:cs="宋体"/>
          <w:b/>
          <w:bCs/>
          <w:highlight w:val="none"/>
        </w:rPr>
        <w:t>便携式多参数分析仪</w:t>
      </w:r>
    </w:p>
    <w:p w14:paraId="326F4DC8">
      <w:pPr>
        <w:rPr>
          <w:rFonts w:hint="eastAsia"/>
          <w:b w:val="0"/>
          <w:bCs w:val="0"/>
          <w:highlight w:val="none"/>
          <w:lang w:eastAsia="zh-CN"/>
        </w:rPr>
      </w:pPr>
      <w:r>
        <w:rPr>
          <w:rFonts w:hint="eastAsia"/>
          <w:b w:val="0"/>
          <w:bCs w:val="0"/>
          <w:highlight w:val="none"/>
          <w:lang w:eastAsia="zh-CN"/>
        </w:rPr>
        <w:t>（1）仪器的维修需要专业人员操作，非专业人员请勿自行维修。维修或因其他原因拆卸外壳时必须切断电源。</w:t>
      </w:r>
    </w:p>
    <w:p w14:paraId="6EF5924D">
      <w:pPr>
        <w:rPr>
          <w:rFonts w:hint="eastAsia"/>
          <w:b w:val="0"/>
          <w:bCs w:val="0"/>
          <w:highlight w:val="none"/>
          <w:lang w:eastAsia="zh-CN"/>
        </w:rPr>
      </w:pPr>
      <w:r>
        <w:rPr>
          <w:rFonts w:hint="eastAsia"/>
          <w:b w:val="0"/>
          <w:bCs w:val="0"/>
          <w:highlight w:val="none"/>
          <w:lang w:eastAsia="zh-CN"/>
        </w:rPr>
        <w:t>（2）使用设备前做好防护措施，避免接触质量控制物、标准样本、废弃液体等可能有生物危害、腐蚀或有毒的物质。使用本仪器配套或推荐的试剂，禁止在强辐射源旁使用设备。</w:t>
      </w:r>
    </w:p>
    <w:p w14:paraId="0C99345A">
      <w:pPr>
        <w:rPr>
          <w:rFonts w:hint="eastAsia"/>
          <w:b w:val="0"/>
          <w:bCs w:val="0"/>
          <w:highlight w:val="none"/>
          <w:lang w:eastAsia="zh-CN"/>
        </w:rPr>
      </w:pPr>
      <w:r>
        <w:rPr>
          <w:rFonts w:hint="eastAsia"/>
          <w:b w:val="0"/>
          <w:bCs w:val="0"/>
          <w:highlight w:val="none"/>
          <w:lang w:eastAsia="zh-CN"/>
        </w:rPr>
        <w:t>（3）仪器正常工作环境温度为5℃～40℃，相对湿度30%～80%，需远离强电磁场干扰源，工作场地防尘、防振，空气中无酸、盐等腐蚀性气体。运输时包装完好，防止剧烈冲击、雨淋和暴晒，中转时合理堆放。贮存时放置在阴凉干燥、防湿通风处，不能露天堆放，避免雨雪浸入，贮存运输环境温度 -20℃～ +55℃，相对湿度≤93%，无腐蚀性气体且通风良好。</w:t>
      </w:r>
    </w:p>
    <w:p w14:paraId="768C9BB9">
      <w:pPr>
        <w:rPr>
          <w:rFonts w:hint="eastAsia"/>
          <w:b w:val="0"/>
          <w:bCs w:val="0"/>
          <w:highlight w:val="none"/>
          <w:lang w:eastAsia="zh-CN"/>
        </w:rPr>
      </w:pPr>
      <w:r>
        <w:rPr>
          <w:rFonts w:hint="eastAsia"/>
          <w:b w:val="0"/>
          <w:bCs w:val="0"/>
          <w:highlight w:val="none"/>
          <w:lang w:eastAsia="zh-CN"/>
        </w:rPr>
        <w:t xml:space="preserve">（4）请勿让任何溶剂、油脂类、腐蚀性物质接触仪器。仪器使用期限为6年，效期结束后按规定处理或联系回收，避免污染环境。 </w:t>
      </w:r>
    </w:p>
    <w:p w14:paraId="69ACBD48">
      <w:pPr>
        <w:rPr>
          <w:rFonts w:hint="eastAsia"/>
          <w:color w:val="auto"/>
          <w:highlight w:val="none"/>
          <w:lang w:val="en-US" w:eastAsia="zh-CN"/>
        </w:rPr>
      </w:pPr>
    </w:p>
    <w:p w14:paraId="536B31F0">
      <w:pPr>
        <w:pStyle w:val="2"/>
        <w:bidi w:val="0"/>
        <w:rPr>
          <w:rFonts w:hint="default"/>
          <w:color w:val="auto"/>
          <w:highlight w:val="none"/>
          <w:lang w:val="en-US" w:eastAsia="zh-CN"/>
        </w:rPr>
      </w:pPr>
      <w:bookmarkStart w:id="27" w:name="_Toc18219"/>
      <w:bookmarkStart w:id="28" w:name="_Toc1431"/>
      <w:r>
        <w:rPr>
          <w:rFonts w:hint="eastAsia"/>
          <w:color w:val="auto"/>
          <w:highlight w:val="none"/>
          <w:lang w:val="en-US" w:eastAsia="zh-CN"/>
        </w:rPr>
        <w:t>案例展示</w:t>
      </w:r>
      <w:bookmarkEnd w:id="27"/>
      <w:bookmarkEnd w:id="28"/>
    </w:p>
    <w:p w14:paraId="2E3B16A2">
      <w:pPr>
        <w:pStyle w:val="3"/>
        <w:bidi w:val="0"/>
        <w:rPr>
          <w:rFonts w:hint="default"/>
          <w:color w:val="auto"/>
          <w:highlight w:val="none"/>
          <w:lang w:val="en-US" w:eastAsia="zh-CN"/>
        </w:rPr>
      </w:pPr>
      <w:bookmarkStart w:id="29" w:name="_Toc4417"/>
      <w:r>
        <w:rPr>
          <w:rFonts w:hint="eastAsia"/>
          <w:color w:val="auto"/>
          <w:highlight w:val="none"/>
          <w:lang w:val="en-US" w:eastAsia="zh-CN"/>
        </w:rPr>
        <w:t>案例1：淮安市盱眙县微型水站搭配传感器、分析仪在小龙虾养殖中应用</w:t>
      </w:r>
      <w:bookmarkEnd w:id="29"/>
    </w:p>
    <w:p w14:paraId="09511CF1">
      <w:pPr>
        <w:bidi w:val="0"/>
        <w:rPr>
          <w:rFonts w:hint="eastAsia"/>
          <w:color w:val="auto"/>
          <w:highlight w:val="none"/>
          <w:lang w:val="en-US" w:eastAsia="zh-CN"/>
        </w:rPr>
      </w:pPr>
      <w:r>
        <w:rPr>
          <w:rFonts w:hint="eastAsia"/>
          <w:color w:val="auto"/>
          <w:highlight w:val="none"/>
          <w:lang w:val="en-US" w:eastAsia="zh-CN"/>
        </w:rPr>
        <w:t>解决方案：部署4套微型水站</w:t>
      </w:r>
    </w:p>
    <w:p w14:paraId="6B49CA44">
      <w:pPr>
        <w:bidi w:val="0"/>
        <w:rPr>
          <w:rFonts w:hint="eastAsia"/>
          <w:color w:val="auto"/>
          <w:highlight w:val="none"/>
          <w:lang w:val="en-US" w:eastAsia="zh-CN"/>
        </w:rPr>
      </w:pPr>
      <w:r>
        <w:rPr>
          <w:rFonts w:hint="eastAsia"/>
          <w:color w:val="auto"/>
          <w:highlight w:val="none"/>
          <w:lang w:val="en-US" w:eastAsia="zh-CN"/>
        </w:rPr>
        <w:t>监测参数：PH、悬浮物、总磷、总氮、高锰酸盐指数</w:t>
      </w:r>
    </w:p>
    <w:p w14:paraId="6E554199">
      <w:pPr>
        <w:bidi w:val="0"/>
        <w:jc w:val="center"/>
        <w:rPr>
          <w:highlight w:val="none"/>
        </w:rPr>
      </w:pPr>
      <w:r>
        <w:rPr>
          <w:color w:val="auto"/>
          <w:highlight w:val="none"/>
        </w:rPr>
        <w:drawing>
          <wp:inline distT="0" distB="0" distL="114300" distR="114300">
            <wp:extent cx="1365250" cy="2212340"/>
            <wp:effectExtent l="0" t="0" r="6350" b="1270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1365250" cy="2212340"/>
                    </a:xfrm>
                    <a:prstGeom prst="rect">
                      <a:avLst/>
                    </a:prstGeom>
                    <a:noFill/>
                    <a:ln>
                      <a:noFill/>
                    </a:ln>
                  </pic:spPr>
                </pic:pic>
              </a:graphicData>
            </a:graphic>
          </wp:inline>
        </w:drawing>
      </w:r>
      <w:r>
        <w:rPr>
          <w:highlight w:val="none"/>
        </w:rPr>
        <w:drawing>
          <wp:inline distT="0" distB="0" distL="114300" distR="114300">
            <wp:extent cx="3127375" cy="2207895"/>
            <wp:effectExtent l="0" t="0" r="12065" b="190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0"/>
                    <a:stretch>
                      <a:fillRect/>
                    </a:stretch>
                  </pic:blipFill>
                  <pic:spPr>
                    <a:xfrm>
                      <a:off x="0" y="0"/>
                      <a:ext cx="3127375" cy="2207895"/>
                    </a:xfrm>
                    <a:prstGeom prst="rect">
                      <a:avLst/>
                    </a:prstGeom>
                  </pic:spPr>
                </pic:pic>
              </a:graphicData>
            </a:graphic>
          </wp:inline>
        </w:drawing>
      </w:r>
    </w:p>
    <w:p w14:paraId="3FE1B1AD">
      <w:pPr>
        <w:bidi w:val="0"/>
        <w:jc w:val="center"/>
        <w:rPr>
          <w:rFonts w:hint="default"/>
          <w:highlight w:val="none"/>
          <w:lang w:val="en-US" w:eastAsia="zh-CN"/>
        </w:rPr>
      </w:pPr>
    </w:p>
    <w:p w14:paraId="142E82A0">
      <w:pPr>
        <w:pStyle w:val="3"/>
        <w:bidi w:val="0"/>
        <w:rPr>
          <w:rFonts w:hint="default"/>
          <w:color w:val="auto"/>
          <w:highlight w:val="none"/>
          <w:lang w:val="en-US" w:eastAsia="zh-CN"/>
        </w:rPr>
      </w:pPr>
      <w:bookmarkStart w:id="30" w:name="_Toc27427"/>
      <w:r>
        <w:rPr>
          <w:rFonts w:hint="eastAsia"/>
          <w:color w:val="auto"/>
          <w:highlight w:val="none"/>
          <w:lang w:val="en-US" w:eastAsia="zh-CN"/>
        </w:rPr>
        <w:t>案例2：广东江门某养殖尾水水质监测项目</w:t>
      </w:r>
      <w:bookmarkEnd w:id="30"/>
    </w:p>
    <w:p w14:paraId="55BDEA94">
      <w:pPr>
        <w:bidi w:val="0"/>
        <w:rPr>
          <w:rFonts w:hint="eastAsia"/>
          <w:color w:val="auto"/>
          <w:highlight w:val="none"/>
          <w:lang w:val="en-US" w:eastAsia="zh-CN"/>
        </w:rPr>
      </w:pPr>
      <w:r>
        <w:rPr>
          <w:rFonts w:hint="eastAsia"/>
          <w:color w:val="auto"/>
          <w:highlight w:val="none"/>
          <w:lang w:val="en-US" w:eastAsia="zh-CN"/>
        </w:rPr>
        <w:t>解决方案：部署2套微型水站</w:t>
      </w:r>
    </w:p>
    <w:p w14:paraId="42D70082">
      <w:pPr>
        <w:bidi w:val="0"/>
        <w:rPr>
          <w:rFonts w:hint="default"/>
          <w:color w:val="auto"/>
          <w:highlight w:val="none"/>
          <w:lang w:val="en-US" w:eastAsia="zh-CN"/>
        </w:rPr>
      </w:pPr>
      <w:r>
        <w:rPr>
          <w:rFonts w:hint="eastAsia"/>
          <w:color w:val="auto"/>
          <w:highlight w:val="none"/>
          <w:lang w:val="en-US" w:eastAsia="zh-CN"/>
        </w:rPr>
        <w:t>监测参数：PH、悬浮物</w:t>
      </w:r>
    </w:p>
    <w:p w14:paraId="1CE2AB3C">
      <w:pPr>
        <w:jc w:val="center"/>
        <w:rPr>
          <w:rFonts w:hint="default"/>
          <w:color w:val="auto"/>
          <w:highlight w:val="none"/>
          <w:lang w:val="en-US" w:eastAsia="zh-CN"/>
        </w:rPr>
      </w:pPr>
      <w:r>
        <w:rPr>
          <w:highlight w:val="none"/>
        </w:rPr>
        <w:drawing>
          <wp:inline distT="0" distB="0" distL="114300" distR="114300">
            <wp:extent cx="2475230" cy="1642110"/>
            <wp:effectExtent l="0" t="0" r="8890" b="381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1"/>
                    <a:stretch>
                      <a:fillRect/>
                    </a:stretch>
                  </pic:blipFill>
                  <pic:spPr>
                    <a:xfrm>
                      <a:off x="0" y="0"/>
                      <a:ext cx="2475230" cy="1642110"/>
                    </a:xfrm>
                    <a:prstGeom prst="rect">
                      <a:avLst/>
                    </a:prstGeom>
                    <a:noFill/>
                    <a:ln>
                      <a:noFill/>
                    </a:ln>
                  </pic:spPr>
                </pic:pic>
              </a:graphicData>
            </a:graphic>
          </wp:inline>
        </w:drawing>
      </w:r>
      <w:r>
        <w:rPr>
          <w:highlight w:val="none"/>
        </w:rPr>
        <w:drawing>
          <wp:inline distT="0" distB="0" distL="114300" distR="114300">
            <wp:extent cx="2312035" cy="1658620"/>
            <wp:effectExtent l="0" t="0" r="4445" b="254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2"/>
                    <a:stretch>
                      <a:fillRect/>
                    </a:stretch>
                  </pic:blipFill>
                  <pic:spPr>
                    <a:xfrm>
                      <a:off x="0" y="0"/>
                      <a:ext cx="2312035" cy="1658620"/>
                    </a:xfrm>
                    <a:prstGeom prst="rect">
                      <a:avLst/>
                    </a:prstGeom>
                  </pic:spPr>
                </pic:pic>
              </a:graphicData>
            </a:graphic>
          </wp:inline>
        </w:drawing>
      </w: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F5B3B">
    <w:pPr>
      <w:pStyle w:val="12"/>
      <w:rPr>
        <w:rFonts w:hint="eastAsia"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0D0AF">
    <w:pPr>
      <w:pStyle w:val="13"/>
      <w:pBdr>
        <w:bottom w:val="single" w:color="auto" w:sz="4" w:space="0"/>
      </w:pBdr>
      <w:jc w:val="left"/>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F61EA">
    <w:pPr>
      <w:pStyle w:val="13"/>
      <w:pBdr>
        <w:bottom w:val="single" w:color="auto" w:sz="4" w:space="0"/>
      </w:pBdr>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54C0CB"/>
    <w:multiLevelType w:val="multilevel"/>
    <w:tmpl w:val="1E54C0CB"/>
    <w:lvl w:ilvl="0" w:tentative="0">
      <w:start w:val="1"/>
      <w:numFmt w:val="chineseCounting"/>
      <w:pStyle w:val="2"/>
      <w:suff w:val="nothing"/>
      <w:lvlText w:val="%1、"/>
      <w:lvlJc w:val="left"/>
      <w:pPr>
        <w:tabs>
          <w:tab w:val="left" w:pos="420"/>
        </w:tabs>
        <w:ind w:left="432" w:hanging="432"/>
      </w:pPr>
      <w:rPr>
        <w:rFonts w:hint="eastAsia"/>
      </w:rPr>
    </w:lvl>
    <w:lvl w:ilvl="1" w:tentative="0">
      <w:start w:val="1"/>
      <w:numFmt w:val="decimal"/>
      <w:pStyle w:val="3"/>
      <w:isLgl/>
      <w:lvlText w:val="%1.%2."/>
      <w:lvlJc w:val="left"/>
      <w:pPr>
        <w:tabs>
          <w:tab w:val="left" w:pos="420"/>
        </w:tabs>
        <w:ind w:left="575" w:hanging="575"/>
      </w:pPr>
      <w:rPr>
        <w:rFonts w:hint="eastAsia"/>
      </w:rPr>
    </w:lvl>
    <w:lvl w:ilvl="2" w:tentative="0">
      <w:start w:val="1"/>
      <w:numFmt w:val="decimal"/>
      <w:pStyle w:val="4"/>
      <w:isLgl/>
      <w:lvlText w:val="%1.%2.%3."/>
      <w:lvlJc w:val="left"/>
      <w:pPr>
        <w:ind w:left="720" w:hanging="720"/>
      </w:pPr>
      <w:rPr>
        <w:rFonts w:hint="eastAsia"/>
      </w:rPr>
    </w:lvl>
    <w:lvl w:ilvl="3" w:tentative="0">
      <w:start w:val="1"/>
      <w:numFmt w:val="decimal"/>
      <w:pStyle w:val="5"/>
      <w:isLgl/>
      <w:lvlText w:val="%1.%2.%3.%4."/>
      <w:lvlJc w:val="left"/>
      <w:pPr>
        <w:ind w:left="864" w:hanging="864"/>
      </w:pPr>
      <w:rPr>
        <w:rFonts w:hint="eastAsia"/>
      </w:rPr>
    </w:lvl>
    <w:lvl w:ilvl="4" w:tentative="0">
      <w:start w:val="1"/>
      <w:numFmt w:val="decimal"/>
      <w:pStyle w:val="6"/>
      <w:isLgl/>
      <w:lvlText w:val="%1.%2.%3.%4.%5."/>
      <w:lvlJc w:val="left"/>
      <w:pPr>
        <w:ind w:left="1008" w:hanging="1008"/>
      </w:pPr>
      <w:rPr>
        <w:rFonts w:hint="eastAsia"/>
      </w:rPr>
    </w:lvl>
    <w:lvl w:ilvl="5" w:tentative="0">
      <w:start w:val="1"/>
      <w:numFmt w:val="decimal"/>
      <w:pStyle w:val="7"/>
      <w:isLgl/>
      <w:lvlText w:val="%1.%2.%3.%4.%5.%6."/>
      <w:lvlJc w:val="left"/>
      <w:pPr>
        <w:ind w:left="1151" w:hanging="1151"/>
      </w:pPr>
      <w:rPr>
        <w:rFonts w:hint="eastAsia"/>
      </w:rPr>
    </w:lvl>
    <w:lvl w:ilvl="6" w:tentative="0">
      <w:start w:val="1"/>
      <w:numFmt w:val="decimal"/>
      <w:pStyle w:val="8"/>
      <w:isLgl/>
      <w:lvlText w:val="%1.%2.%3.%4.%5.%6.%7."/>
      <w:lvlJc w:val="left"/>
      <w:pPr>
        <w:ind w:left="1296" w:hanging="1296"/>
      </w:pPr>
      <w:rPr>
        <w:rFonts w:hint="eastAsia"/>
      </w:rPr>
    </w:lvl>
    <w:lvl w:ilvl="7" w:tentative="0">
      <w:start w:val="1"/>
      <w:numFmt w:val="decimal"/>
      <w:pStyle w:val="9"/>
      <w:isLgl/>
      <w:lvlText w:val="%1.%2.%3.%4.%5.%6.%7.%8."/>
      <w:lvlJc w:val="left"/>
      <w:pPr>
        <w:ind w:left="1440" w:hanging="1440"/>
      </w:pPr>
      <w:rPr>
        <w:rFonts w:hint="eastAsia"/>
      </w:rPr>
    </w:lvl>
    <w:lvl w:ilvl="8" w:tentative="0">
      <w:start w:val="1"/>
      <w:numFmt w:val="decimal"/>
      <w:pStyle w:val="10"/>
      <w:isLgl/>
      <w:lvlText w:val="%1.%2.%3.%4.%5.%6.%7.%8.%9."/>
      <w:lvlJc w:val="left"/>
      <w:pPr>
        <w:ind w:left="1583" w:hanging="158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8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3CB"/>
    <w:rsid w:val="0000331B"/>
    <w:rsid w:val="000E70C4"/>
    <w:rsid w:val="002438FD"/>
    <w:rsid w:val="003B326D"/>
    <w:rsid w:val="008753CB"/>
    <w:rsid w:val="008D7448"/>
    <w:rsid w:val="00A10114"/>
    <w:rsid w:val="00A30227"/>
    <w:rsid w:val="09DF435C"/>
    <w:rsid w:val="0AD50CCF"/>
    <w:rsid w:val="0CF05FA0"/>
    <w:rsid w:val="0E510BC7"/>
    <w:rsid w:val="12AE6653"/>
    <w:rsid w:val="1456008E"/>
    <w:rsid w:val="158A3159"/>
    <w:rsid w:val="15FB79DC"/>
    <w:rsid w:val="1ED446D8"/>
    <w:rsid w:val="1FE35C4B"/>
    <w:rsid w:val="247B5B8D"/>
    <w:rsid w:val="25E76B6C"/>
    <w:rsid w:val="2ECA0E39"/>
    <w:rsid w:val="3A4D0B80"/>
    <w:rsid w:val="3BD3066E"/>
    <w:rsid w:val="3CAD2E9B"/>
    <w:rsid w:val="3E5F0B7A"/>
    <w:rsid w:val="416830A7"/>
    <w:rsid w:val="41E23AAD"/>
    <w:rsid w:val="4283171C"/>
    <w:rsid w:val="43C11F1B"/>
    <w:rsid w:val="44F83A12"/>
    <w:rsid w:val="48C07F91"/>
    <w:rsid w:val="4DA8648A"/>
    <w:rsid w:val="569C75F4"/>
    <w:rsid w:val="5A9164F8"/>
    <w:rsid w:val="5C2514E6"/>
    <w:rsid w:val="636B69F0"/>
    <w:rsid w:val="67917192"/>
    <w:rsid w:val="690D5273"/>
    <w:rsid w:val="799F35BE"/>
    <w:rsid w:val="7A9463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宋体" w:hAnsi="宋体" w:eastAsia="宋体" w:cs="宋体"/>
      <w:kern w:val="2"/>
      <w:sz w:val="24"/>
      <w:szCs w:val="24"/>
      <w:lang w:val="en-US" w:eastAsia="zh-CN" w:bidi="ar-SA"/>
    </w:rPr>
  </w:style>
  <w:style w:type="paragraph" w:styleId="2">
    <w:name w:val="heading 1"/>
    <w:basedOn w:val="1"/>
    <w:next w:val="1"/>
    <w:link w:val="23"/>
    <w:qFormat/>
    <w:uiPriority w:val="9"/>
    <w:pPr>
      <w:keepNext/>
      <w:keepLines/>
      <w:numPr>
        <w:ilvl w:val="0"/>
        <w:numId w:val="1"/>
      </w:numPr>
      <w:ind w:left="432" w:hanging="432" w:firstLineChars="0"/>
      <w:jc w:val="left"/>
      <w:outlineLvl w:val="0"/>
    </w:pPr>
    <w:rPr>
      <w:b/>
      <w:sz w:val="36"/>
      <w:szCs w:val="32"/>
    </w:rPr>
  </w:style>
  <w:style w:type="paragraph" w:styleId="3">
    <w:name w:val="heading 2"/>
    <w:basedOn w:val="1"/>
    <w:next w:val="1"/>
    <w:link w:val="24"/>
    <w:unhideWhenUsed/>
    <w:qFormat/>
    <w:uiPriority w:val="9"/>
    <w:pPr>
      <w:keepNext/>
      <w:keepLines/>
      <w:numPr>
        <w:ilvl w:val="1"/>
        <w:numId w:val="1"/>
      </w:numPr>
      <w:ind w:left="575" w:hanging="575" w:firstLineChars="0"/>
      <w:jc w:val="left"/>
      <w:outlineLvl w:val="1"/>
    </w:pPr>
    <w:rPr>
      <w:b/>
      <w:sz w:val="32"/>
      <w:szCs w:val="30"/>
    </w:rPr>
  </w:style>
  <w:style w:type="paragraph" w:styleId="4">
    <w:name w:val="heading 3"/>
    <w:basedOn w:val="1"/>
    <w:next w:val="1"/>
    <w:link w:val="25"/>
    <w:unhideWhenUsed/>
    <w:qFormat/>
    <w:uiPriority w:val="9"/>
    <w:pPr>
      <w:keepNext/>
      <w:keepLines/>
      <w:numPr>
        <w:ilvl w:val="2"/>
        <w:numId w:val="1"/>
      </w:numPr>
      <w:ind w:firstLineChars="0"/>
      <w:jc w:val="left"/>
      <w:outlineLvl w:val="2"/>
    </w:pPr>
    <w:rPr>
      <w:b/>
      <w:sz w:val="30"/>
      <w:szCs w:val="32"/>
    </w:rPr>
  </w:style>
  <w:style w:type="paragraph" w:styleId="5">
    <w:name w:val="heading 4"/>
    <w:basedOn w:val="1"/>
    <w:next w:val="1"/>
    <w:link w:val="26"/>
    <w:unhideWhenUsed/>
    <w:qFormat/>
    <w:uiPriority w:val="9"/>
    <w:pPr>
      <w:keepNext/>
      <w:keepLines/>
      <w:numPr>
        <w:ilvl w:val="3"/>
        <w:numId w:val="1"/>
      </w:numPr>
      <w:ind w:left="0" w:firstLine="720" w:firstLineChars="200"/>
      <w:outlineLvl w:val="3"/>
    </w:pPr>
    <w:rPr>
      <w:rFonts w:cstheme="majorBidi"/>
      <w:b/>
      <w:color w:val="auto"/>
      <w:sz w:val="28"/>
      <w:szCs w:val="28"/>
    </w:rPr>
  </w:style>
  <w:style w:type="paragraph" w:styleId="6">
    <w:name w:val="heading 5"/>
    <w:basedOn w:val="5"/>
    <w:next w:val="1"/>
    <w:link w:val="27"/>
    <w:semiHidden/>
    <w:unhideWhenUsed/>
    <w:qFormat/>
    <w:uiPriority w:val="9"/>
    <w:pPr>
      <w:keepNext/>
      <w:keepLines/>
      <w:numPr>
        <w:ilvl w:val="4"/>
        <w:numId w:val="1"/>
      </w:numPr>
      <w:spacing w:before="80" w:after="40"/>
      <w:ind w:left="1008" w:hanging="1008" w:firstLineChars="0"/>
      <w:outlineLvl w:val="4"/>
    </w:pPr>
    <w:rPr>
      <w:rFonts w:ascii="宋体" w:hAnsi="宋体" w:eastAsia="宋体"/>
      <w:color w:val="auto"/>
    </w:rPr>
  </w:style>
  <w:style w:type="paragraph" w:styleId="7">
    <w:name w:val="heading 6"/>
    <w:basedOn w:val="1"/>
    <w:next w:val="1"/>
    <w:link w:val="28"/>
    <w:semiHidden/>
    <w:unhideWhenUsed/>
    <w:qFormat/>
    <w:uiPriority w:val="9"/>
    <w:pPr>
      <w:keepNext/>
      <w:keepLines/>
      <w:numPr>
        <w:ilvl w:val="5"/>
        <w:numId w:val="1"/>
      </w:numPr>
      <w:spacing w:before="40"/>
      <w:ind w:left="1151" w:hanging="1151" w:firstLineChars="0"/>
      <w:outlineLvl w:val="5"/>
    </w:pPr>
    <w:rPr>
      <w:rFonts w:cstheme="majorBidi"/>
      <w:b/>
      <w:bCs/>
      <w:color w:val="104862" w:themeColor="accent1" w:themeShade="BF"/>
    </w:rPr>
  </w:style>
  <w:style w:type="paragraph" w:styleId="8">
    <w:name w:val="heading 7"/>
    <w:basedOn w:val="1"/>
    <w:next w:val="1"/>
    <w:link w:val="29"/>
    <w:semiHidden/>
    <w:unhideWhenUsed/>
    <w:qFormat/>
    <w:uiPriority w:val="9"/>
    <w:pPr>
      <w:keepNext/>
      <w:keepLines/>
      <w:numPr>
        <w:ilvl w:val="6"/>
        <w:numId w:val="1"/>
      </w:numPr>
      <w:spacing w:before="40"/>
      <w:ind w:left="1296" w:hanging="1296" w:firstLineChars="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0"/>
    <w:semiHidden/>
    <w:unhideWhenUsed/>
    <w:qFormat/>
    <w:uiPriority w:val="9"/>
    <w:pPr>
      <w:keepNext/>
      <w:keepLines/>
      <w:numPr>
        <w:ilvl w:val="7"/>
        <w:numId w:val="1"/>
      </w:numPr>
      <w:ind w:left="1440" w:hanging="1440" w:firstLineChars="0"/>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1"/>
    <w:semiHidden/>
    <w:unhideWhenUsed/>
    <w:qFormat/>
    <w:uiPriority w:val="9"/>
    <w:pPr>
      <w:keepNext/>
      <w:keepLines/>
      <w:numPr>
        <w:ilvl w:val="8"/>
        <w:numId w:val="1"/>
      </w:numPr>
      <w:ind w:left="1583" w:hanging="1583" w:firstLineChars="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toc 3"/>
    <w:basedOn w:val="1"/>
    <w:next w:val="1"/>
    <w:semiHidden/>
    <w:unhideWhenUsed/>
    <w:qFormat/>
    <w:uiPriority w:val="39"/>
    <w:pPr>
      <w:ind w:left="840" w:leftChars="400"/>
    </w:pPr>
  </w:style>
  <w:style w:type="paragraph" w:styleId="12">
    <w:name w:val="footer"/>
    <w:basedOn w:val="1"/>
    <w:link w:val="41"/>
    <w:unhideWhenUsed/>
    <w:qFormat/>
    <w:uiPriority w:val="99"/>
    <w:pPr>
      <w:tabs>
        <w:tab w:val="center" w:pos="4153"/>
        <w:tab w:val="right" w:pos="8306"/>
      </w:tabs>
      <w:snapToGrid w:val="0"/>
      <w:jc w:val="left"/>
    </w:pPr>
    <w:rPr>
      <w:sz w:val="18"/>
      <w:szCs w:val="18"/>
    </w:rPr>
  </w:style>
  <w:style w:type="paragraph" w:styleId="13">
    <w:name w:val="header"/>
    <w:basedOn w:val="1"/>
    <w:link w:val="40"/>
    <w:unhideWhenUsed/>
    <w:qFormat/>
    <w:uiPriority w:val="99"/>
    <w:pPr>
      <w:tabs>
        <w:tab w:val="center" w:pos="4153"/>
        <w:tab w:val="right" w:pos="8306"/>
      </w:tabs>
      <w:snapToGrid w:val="0"/>
      <w:jc w:val="center"/>
    </w:pPr>
    <w:rPr>
      <w:sz w:val="18"/>
      <w:szCs w:val="18"/>
    </w:rPr>
  </w:style>
  <w:style w:type="paragraph" w:styleId="14">
    <w:name w:val="toc 1"/>
    <w:basedOn w:val="1"/>
    <w:next w:val="1"/>
    <w:semiHidden/>
    <w:unhideWhenUsed/>
    <w:qFormat/>
    <w:uiPriority w:val="39"/>
  </w:style>
  <w:style w:type="paragraph" w:styleId="15">
    <w:name w:val="Subtitle"/>
    <w:basedOn w:val="1"/>
    <w:next w:val="1"/>
    <w:link w:val="33"/>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6">
    <w:name w:val="toc 2"/>
    <w:basedOn w:val="1"/>
    <w:next w:val="1"/>
    <w:semiHidden/>
    <w:unhideWhenUsed/>
    <w:qFormat/>
    <w:uiPriority w:val="39"/>
    <w:pPr>
      <w:ind w:left="420" w:leftChars="200"/>
    </w:pPr>
  </w:style>
  <w:style w:type="paragraph" w:styleId="17">
    <w:name w:val="Title"/>
    <w:basedOn w:val="1"/>
    <w:next w:val="1"/>
    <w:link w:val="32"/>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19">
    <w:name w:val="Table Grid"/>
    <w:basedOn w:val="1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rPr>
  </w:style>
  <w:style w:type="character" w:styleId="22">
    <w:name w:val="Hyperlink"/>
    <w:basedOn w:val="20"/>
    <w:unhideWhenUsed/>
    <w:qFormat/>
    <w:uiPriority w:val="99"/>
    <w:rPr>
      <w:color w:val="0563C1"/>
      <w:u w:val="single"/>
    </w:rPr>
  </w:style>
  <w:style w:type="character" w:customStyle="1" w:styleId="23">
    <w:name w:val="标题 1 字符"/>
    <w:basedOn w:val="20"/>
    <w:link w:val="2"/>
    <w:qFormat/>
    <w:uiPriority w:val="9"/>
    <w:rPr>
      <w:rFonts w:ascii="宋体" w:hAnsi="宋体" w:eastAsia="宋体" w:cs="宋体"/>
      <w:b/>
      <w:sz w:val="36"/>
      <w:szCs w:val="32"/>
    </w:rPr>
  </w:style>
  <w:style w:type="character" w:customStyle="1" w:styleId="24">
    <w:name w:val="标题 2 字符"/>
    <w:basedOn w:val="20"/>
    <w:link w:val="3"/>
    <w:qFormat/>
    <w:uiPriority w:val="9"/>
    <w:rPr>
      <w:rFonts w:ascii="宋体" w:hAnsi="宋体" w:eastAsia="宋体" w:cs="宋体"/>
      <w:b/>
      <w:sz w:val="32"/>
      <w:szCs w:val="30"/>
    </w:rPr>
  </w:style>
  <w:style w:type="character" w:customStyle="1" w:styleId="25">
    <w:name w:val="标题 3 字符"/>
    <w:basedOn w:val="20"/>
    <w:link w:val="4"/>
    <w:qFormat/>
    <w:uiPriority w:val="9"/>
    <w:rPr>
      <w:rFonts w:ascii="宋体" w:hAnsi="宋体" w:eastAsia="宋体" w:cs="宋体"/>
      <w:b/>
      <w:sz w:val="30"/>
      <w:szCs w:val="32"/>
    </w:rPr>
  </w:style>
  <w:style w:type="character" w:customStyle="1" w:styleId="26">
    <w:name w:val="标题 4 字符"/>
    <w:basedOn w:val="20"/>
    <w:link w:val="5"/>
    <w:semiHidden/>
    <w:qFormat/>
    <w:uiPriority w:val="9"/>
    <w:rPr>
      <w:rFonts w:ascii="宋体" w:hAnsi="宋体" w:eastAsia="宋体" w:cstheme="majorBidi"/>
      <w:b/>
      <w:color w:val="auto"/>
      <w:sz w:val="28"/>
      <w:szCs w:val="28"/>
    </w:rPr>
  </w:style>
  <w:style w:type="character" w:customStyle="1" w:styleId="27">
    <w:name w:val="标题 5 字符"/>
    <w:basedOn w:val="20"/>
    <w:link w:val="6"/>
    <w:semiHidden/>
    <w:qFormat/>
    <w:uiPriority w:val="9"/>
    <w:rPr>
      <w:rFonts w:ascii="宋体" w:hAnsi="宋体" w:eastAsia="宋体" w:cstheme="majorBidi"/>
      <w:color w:val="auto"/>
      <w:sz w:val="24"/>
      <w:szCs w:val="24"/>
    </w:rPr>
  </w:style>
  <w:style w:type="character" w:customStyle="1" w:styleId="28">
    <w:name w:val="标题 6 字符"/>
    <w:basedOn w:val="20"/>
    <w:link w:val="7"/>
    <w:semiHidden/>
    <w:qFormat/>
    <w:uiPriority w:val="9"/>
    <w:rPr>
      <w:rFonts w:cstheme="majorBidi"/>
      <w:b/>
      <w:bCs/>
      <w:color w:val="104862" w:themeColor="accent1" w:themeShade="BF"/>
    </w:rPr>
  </w:style>
  <w:style w:type="character" w:customStyle="1" w:styleId="29">
    <w:name w:val="标题 7 字符"/>
    <w:basedOn w:val="20"/>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0">
    <w:name w:val="标题 8 字符"/>
    <w:basedOn w:val="20"/>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1">
    <w:name w:val="标题 9 字符"/>
    <w:basedOn w:val="20"/>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2">
    <w:name w:val="标题 字符"/>
    <w:basedOn w:val="20"/>
    <w:link w:val="17"/>
    <w:qFormat/>
    <w:uiPriority w:val="10"/>
    <w:rPr>
      <w:rFonts w:asciiTheme="majorHAnsi" w:hAnsiTheme="majorHAnsi" w:eastAsiaTheme="majorEastAsia" w:cstheme="majorBidi"/>
      <w:spacing w:val="-10"/>
      <w:kern w:val="28"/>
      <w:sz w:val="56"/>
      <w:szCs w:val="56"/>
    </w:rPr>
  </w:style>
  <w:style w:type="character" w:customStyle="1" w:styleId="33">
    <w:name w:val="副标题 字符"/>
    <w:basedOn w:val="20"/>
    <w:link w:val="15"/>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4">
    <w:name w:val="Quote"/>
    <w:basedOn w:val="1"/>
    <w:next w:val="1"/>
    <w:link w:val="35"/>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5">
    <w:name w:val="引用 字符"/>
    <w:basedOn w:val="20"/>
    <w:link w:val="34"/>
    <w:qFormat/>
    <w:uiPriority w:val="29"/>
    <w:rPr>
      <w:i/>
      <w:iCs/>
      <w:color w:val="404040" w:themeColor="text1" w:themeTint="BF"/>
      <w14:textFill>
        <w14:solidFill>
          <w14:schemeClr w14:val="tx1">
            <w14:lumMod w14:val="75000"/>
            <w14:lumOff w14:val="25000"/>
          </w14:schemeClr>
        </w14:solidFill>
      </w14:textFill>
    </w:rPr>
  </w:style>
  <w:style w:type="paragraph" w:styleId="36">
    <w:name w:val="List Paragraph"/>
    <w:basedOn w:val="1"/>
    <w:qFormat/>
    <w:uiPriority w:val="34"/>
    <w:pPr>
      <w:ind w:left="720"/>
      <w:contextualSpacing/>
    </w:pPr>
  </w:style>
  <w:style w:type="character" w:customStyle="1" w:styleId="37">
    <w:name w:val="Intense Emphasis"/>
    <w:basedOn w:val="20"/>
    <w:qFormat/>
    <w:uiPriority w:val="21"/>
    <w:rPr>
      <w:i/>
      <w:iCs/>
      <w:color w:val="104862" w:themeColor="accent1" w:themeShade="BF"/>
    </w:rPr>
  </w:style>
  <w:style w:type="paragraph" w:styleId="38">
    <w:name w:val="Intense Quote"/>
    <w:basedOn w:val="1"/>
    <w:next w:val="1"/>
    <w:link w:val="39"/>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9">
    <w:name w:val="明显引用 字符"/>
    <w:basedOn w:val="20"/>
    <w:link w:val="38"/>
    <w:qFormat/>
    <w:uiPriority w:val="30"/>
    <w:rPr>
      <w:i/>
      <w:iCs/>
      <w:color w:val="104862" w:themeColor="accent1" w:themeShade="BF"/>
    </w:rPr>
  </w:style>
  <w:style w:type="character" w:customStyle="1" w:styleId="40">
    <w:name w:val="页眉 字符"/>
    <w:basedOn w:val="20"/>
    <w:link w:val="13"/>
    <w:qFormat/>
    <w:uiPriority w:val="99"/>
    <w:rPr>
      <w:sz w:val="18"/>
      <w:szCs w:val="18"/>
    </w:rPr>
  </w:style>
  <w:style w:type="character" w:customStyle="1" w:styleId="41">
    <w:name w:val="页脚 字符"/>
    <w:basedOn w:val="20"/>
    <w:link w:val="12"/>
    <w:qFormat/>
    <w:uiPriority w:val="99"/>
    <w:rPr>
      <w:sz w:val="18"/>
      <w:szCs w:val="18"/>
    </w:rPr>
  </w:style>
  <w:style w:type="paragraph" w:customStyle="1" w:styleId="42">
    <w:name w:val="WPSOffice手动目录 1"/>
    <w:qFormat/>
    <w:uiPriority w:val="0"/>
    <w:pPr>
      <w:ind w:leftChars="0"/>
    </w:pPr>
    <w:rPr>
      <w:rFonts w:asciiTheme="minorHAnsi" w:hAnsiTheme="minorHAnsi" w:eastAsiaTheme="minorEastAsia" w:cstheme="minorBidi"/>
      <w:sz w:val="20"/>
      <w:szCs w:val="20"/>
    </w:rPr>
  </w:style>
  <w:style w:type="paragraph" w:customStyle="1" w:styleId="43">
    <w:name w:val="列出段落1"/>
    <w:basedOn w:val="1"/>
    <w:qFormat/>
    <w:uiPriority w:val="34"/>
    <w:pPr>
      <w:suppressAutoHyphens/>
      <w:ind w:firstLine="420"/>
      <w:jc w:val="left"/>
    </w:pPr>
    <w:rPr>
      <w:rFonts w:ascii="Times" w:hAnsi="Times" w:cs="Times New Roman"/>
      <w:kern w:val="1"/>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4801</Words>
  <Characters>5190</Characters>
  <Lines>1</Lines>
  <Paragraphs>1</Paragraphs>
  <TotalTime>2</TotalTime>
  <ScaleCrop>false</ScaleCrop>
  <LinksUpToDate>false</LinksUpToDate>
  <CharactersWithSpaces>5283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2025-02-07T05:17:00Z</dcterms:created>
  <dc:creator>闫鹏 李</dc:creator>
  <cp:lastModifiedBy>邹树虎</cp:lastModifiedBy>
  <dcterms:modified xsi:type="dcterms:W3CDTF">2025-07-25T03:33:12Z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eyJoZGlkIjoiZjk1Y2JmN2ViODY3ZDA2MjQ3ZGVkNzAyMTI3ZDBjOWUiLCJ1c2VySWQiOiIxNDQ5MjAxMDk2In0=</vt:lpwstr>
  </property>
  <property fmtid="{D5CDD505-2E9C-101B-9397-08002B2CF9AE}" pid="3" name="KSOProductBuildVer">
    <vt:lpwstr>2052-12.1.0.21915</vt:lpwstr>
  </property>
  <property fmtid="{D5CDD505-2E9C-101B-9397-08002B2CF9AE}" pid="4" name="ICV">
    <vt:lpwstr>DF6EBECCDCAF44EAB4F520543FCF2462_12</vt:lpwstr>
  </property>
</Properties>
</file>