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4CCC34">
      <w:pPr>
        <w:rPr>
          <w:rFonts w:hint="eastAsia"/>
          <w:highlight w:val="none"/>
        </w:rPr>
      </w:pPr>
    </w:p>
    <w:p w14:paraId="7C6688AF">
      <w:pPr>
        <w:rPr>
          <w:rFonts w:hint="eastAsia"/>
          <w:highlight w:val="none"/>
        </w:rPr>
      </w:pPr>
    </w:p>
    <w:p w14:paraId="65B69CCC">
      <w:pPr>
        <w:rPr>
          <w:rFonts w:hint="eastAsia"/>
          <w:highlight w:val="none"/>
        </w:rPr>
      </w:pPr>
    </w:p>
    <w:p w14:paraId="0E7AB5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b/>
          <w:bCs/>
          <w:sz w:val="52"/>
          <w:szCs w:val="52"/>
          <w:highlight w:val="none"/>
          <w:lang w:val="en-US" w:eastAsia="zh-CN"/>
        </w:rPr>
      </w:pPr>
      <w:r>
        <w:rPr>
          <w:rFonts w:hint="eastAsia"/>
          <w:b/>
          <w:bCs/>
          <w:sz w:val="52"/>
          <w:szCs w:val="52"/>
          <w:highlight w:val="none"/>
          <w:lang w:val="en-US" w:eastAsia="zh-CN"/>
        </w:rPr>
        <w:t>农业行业细分场景</w:t>
      </w:r>
    </w:p>
    <w:p w14:paraId="36EA5C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right"/>
        <w:textAlignment w:val="auto"/>
        <w:rPr>
          <w:rFonts w:hint="default" w:eastAsia="宋体"/>
          <w:b/>
          <w:bCs/>
          <w:sz w:val="36"/>
          <w:szCs w:val="36"/>
          <w:highlight w:val="none"/>
          <w:lang w:val="en-US" w:eastAsia="zh-CN"/>
        </w:rPr>
      </w:pPr>
      <w:r>
        <w:rPr>
          <w:rFonts w:hint="eastAsia"/>
          <w:b/>
          <w:bCs/>
          <w:sz w:val="36"/>
          <w:szCs w:val="36"/>
          <w:highlight w:val="none"/>
          <w:lang w:val="en-US" w:eastAsia="zh-CN"/>
        </w:rPr>
        <w:t>--塘口养殖水质监测方案</w:t>
      </w:r>
    </w:p>
    <w:p w14:paraId="5F987076">
      <w:pPr>
        <w:rPr>
          <w:rFonts w:hint="eastAsia"/>
          <w:highlight w:val="none"/>
        </w:rPr>
      </w:pPr>
    </w:p>
    <w:p w14:paraId="3401E6BD">
      <w:pPr>
        <w:rPr>
          <w:rFonts w:hint="eastAsia"/>
          <w:highlight w:val="none"/>
        </w:rPr>
      </w:pPr>
    </w:p>
    <w:p w14:paraId="1C915416">
      <w:pPr>
        <w:rPr>
          <w:rFonts w:hint="eastAsia"/>
          <w:highlight w:val="none"/>
        </w:rPr>
      </w:pPr>
    </w:p>
    <w:p w14:paraId="35B99434">
      <w:pPr>
        <w:rPr>
          <w:rFonts w:hint="eastAsia"/>
          <w:highlight w:val="none"/>
        </w:rPr>
      </w:pPr>
    </w:p>
    <w:p w14:paraId="21E5C6ED">
      <w:pPr>
        <w:rPr>
          <w:rFonts w:hint="eastAsia"/>
          <w:highlight w:val="none"/>
        </w:rPr>
      </w:pPr>
    </w:p>
    <w:p w14:paraId="37D95FEA">
      <w:pPr>
        <w:rPr>
          <w:rFonts w:hint="eastAsia"/>
          <w:highlight w:val="none"/>
        </w:rPr>
      </w:pPr>
    </w:p>
    <w:p w14:paraId="5D093C07">
      <w:pPr>
        <w:rPr>
          <w:rFonts w:hint="eastAsia"/>
          <w:highlight w:val="none"/>
        </w:rPr>
      </w:pPr>
    </w:p>
    <w:p w14:paraId="0C33701D">
      <w:pPr>
        <w:rPr>
          <w:rFonts w:hint="eastAsia"/>
          <w:highlight w:val="none"/>
        </w:rPr>
      </w:pPr>
    </w:p>
    <w:p w14:paraId="19E303D8">
      <w:pPr>
        <w:rPr>
          <w:rFonts w:hint="eastAsia"/>
          <w:highlight w:val="none"/>
        </w:rPr>
      </w:pPr>
    </w:p>
    <w:p w14:paraId="7A24F120">
      <w:pPr>
        <w:rPr>
          <w:rFonts w:hint="eastAsia"/>
          <w:highlight w:val="none"/>
        </w:rPr>
      </w:pPr>
    </w:p>
    <w:p w14:paraId="05C0723D">
      <w:pPr>
        <w:rPr>
          <w:rFonts w:hint="eastAsia"/>
          <w:highlight w:val="none"/>
        </w:rPr>
      </w:pPr>
    </w:p>
    <w:p w14:paraId="2C2C71A1">
      <w:pPr>
        <w:rPr>
          <w:rFonts w:hint="eastAsia"/>
          <w:highlight w:val="none"/>
        </w:rPr>
      </w:pPr>
    </w:p>
    <w:p w14:paraId="2F2A290D">
      <w:pPr>
        <w:rPr>
          <w:rFonts w:hint="eastAsia"/>
          <w:highlight w:val="none"/>
        </w:rPr>
      </w:pPr>
    </w:p>
    <w:p w14:paraId="19888132">
      <w:pPr>
        <w:rPr>
          <w:rFonts w:hint="eastAsia"/>
          <w:highlight w:val="none"/>
        </w:rPr>
      </w:pPr>
    </w:p>
    <w:p w14:paraId="776B9B5F">
      <w:pPr>
        <w:rPr>
          <w:rFonts w:hint="eastAsia"/>
          <w:highlight w:val="none"/>
        </w:rPr>
      </w:pPr>
    </w:p>
    <w:p w14:paraId="256D5A4B">
      <w:pPr>
        <w:rPr>
          <w:rFonts w:hint="eastAsia"/>
          <w:highlight w:val="none"/>
        </w:rPr>
      </w:pPr>
    </w:p>
    <w:p w14:paraId="274A8AFE">
      <w:pPr>
        <w:rPr>
          <w:rFonts w:hint="eastAsia"/>
          <w:highlight w:val="none"/>
        </w:rPr>
      </w:pPr>
    </w:p>
    <w:p w14:paraId="5DBBFBCE">
      <w:pPr>
        <w:rPr>
          <w:rFonts w:hint="eastAsia"/>
          <w:highlight w:val="none"/>
        </w:rPr>
      </w:pPr>
    </w:p>
    <w:p w14:paraId="7D2B2984">
      <w:pPr>
        <w:rPr>
          <w:rFonts w:hint="eastAsia"/>
          <w:highlight w:val="none"/>
        </w:rPr>
      </w:pPr>
    </w:p>
    <w:p w14:paraId="7E21D1EE">
      <w:pPr>
        <w:rPr>
          <w:rFonts w:hint="eastAsia"/>
          <w:highlight w:val="none"/>
        </w:rPr>
      </w:pPr>
    </w:p>
    <w:p w14:paraId="27E7B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b/>
          <w:bCs/>
          <w:sz w:val="40"/>
          <w:szCs w:val="40"/>
          <w:highlight w:val="none"/>
          <w:lang w:val="zh-CN"/>
        </w:rPr>
      </w:pPr>
      <w:r>
        <w:rPr>
          <w:b/>
          <w:bCs/>
          <w:sz w:val="40"/>
          <w:szCs w:val="40"/>
          <w:highlight w:val="none"/>
        </w:rPr>
        <w:t>202</w:t>
      </w:r>
      <w:r>
        <w:rPr>
          <w:rFonts w:hint="eastAsia"/>
          <w:b/>
          <w:bCs/>
          <w:sz w:val="40"/>
          <w:szCs w:val="40"/>
          <w:highlight w:val="none"/>
        </w:rPr>
        <w:t>5</w:t>
      </w:r>
      <w:r>
        <w:rPr>
          <w:b/>
          <w:bCs/>
          <w:sz w:val="40"/>
          <w:szCs w:val="40"/>
          <w:highlight w:val="none"/>
          <w:lang w:val="zh-CN"/>
        </w:rPr>
        <w:t>年</w:t>
      </w:r>
      <w:r>
        <w:rPr>
          <w:rFonts w:hint="eastAsia"/>
          <w:b/>
          <w:bCs/>
          <w:sz w:val="40"/>
          <w:szCs w:val="40"/>
          <w:highlight w:val="none"/>
          <w:lang w:val="en-US" w:eastAsia="zh-CN"/>
        </w:rPr>
        <w:t>2</w:t>
      </w:r>
      <w:r>
        <w:rPr>
          <w:b/>
          <w:bCs/>
          <w:sz w:val="40"/>
          <w:szCs w:val="40"/>
          <w:highlight w:val="none"/>
          <w:lang w:val="zh-CN"/>
        </w:rPr>
        <w:t>月</w:t>
      </w:r>
    </w:p>
    <w:p w14:paraId="10808181">
      <w:pPr>
        <w:rPr>
          <w:rFonts w:hint="eastAsia"/>
          <w:highlight w:val="none"/>
        </w:rPr>
      </w:pPr>
    </w:p>
    <w:p w14:paraId="360BE464">
      <w:pPr>
        <w:rPr>
          <w:rFonts w:hint="eastAsia"/>
          <w:highlight w:val="none"/>
        </w:rPr>
        <w:sectPr>
          <w:head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3D44955E">
      <w:pPr>
        <w:rPr>
          <w:rFonts w:hint="eastAsia"/>
          <w:highlight w:val="none"/>
        </w:rPr>
      </w:pPr>
    </w:p>
    <w:sdt>
      <w:sdtPr>
        <w:rPr>
          <w:rFonts w:ascii="宋体" w:hAnsi="宋体" w:eastAsia="宋体" w:cs="宋体"/>
          <w:b/>
          <w:bCs/>
          <w:color w:val="auto"/>
          <w:kern w:val="2"/>
          <w:sz w:val="36"/>
          <w:szCs w:val="36"/>
          <w:highlight w:val="none"/>
          <w:lang w:val="en-US" w:eastAsia="zh-CN" w:bidi="ar-SA"/>
        </w:rPr>
        <w:id w:val="147462421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bCs/>
          <w:color w:val="auto"/>
          <w:kern w:val="2"/>
          <w:sz w:val="24"/>
          <w:szCs w:val="24"/>
          <w:highlight w:val="none"/>
          <w:lang w:val="en-US" w:eastAsia="zh-CN" w:bidi="ar-SA"/>
        </w:rPr>
      </w:sdtEndPr>
      <w:sdtContent>
        <w:p w14:paraId="6D3CA3C9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color w:val="auto"/>
              <w:sz w:val="36"/>
              <w:szCs w:val="36"/>
              <w:highlight w:val="none"/>
            </w:rPr>
          </w:pPr>
          <w:r>
            <w:rPr>
              <w:rFonts w:ascii="宋体" w:hAnsi="宋体" w:eastAsia="宋体"/>
              <w:b/>
              <w:bCs/>
              <w:color w:val="auto"/>
              <w:sz w:val="36"/>
              <w:szCs w:val="36"/>
              <w:highlight w:val="none"/>
            </w:rPr>
            <w:t>目录</w:t>
          </w:r>
        </w:p>
        <w:p w14:paraId="7086C53D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kern w:val="2"/>
              <w:sz w:val="24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highlight w:val="none"/>
              <w:lang w:val="en-US" w:eastAsia="zh-CN" w:bidi="ar-SA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kern w:val="2"/>
              <w:sz w:val="24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_Toc12516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一、 </w:t>
          </w:r>
          <w:r>
            <w:rPr>
              <w:rFonts w:hint="eastAsia"/>
              <w:highlight w:val="none"/>
              <w:lang w:val="en-US" w:eastAsia="zh-CN"/>
            </w:rPr>
            <w:t>公司简介</w:t>
          </w:r>
          <w:r>
            <w:tab/>
          </w:r>
          <w:r>
            <w:fldChar w:fldCharType="begin"/>
          </w:r>
          <w:r>
            <w:instrText xml:space="preserve"> PAGEREF _Toc12516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29FC3189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_Toc32243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二、 </w:t>
          </w:r>
          <w:r>
            <w:rPr>
              <w:rFonts w:hint="eastAsia"/>
              <w:highlight w:val="none"/>
              <w:lang w:val="en-US" w:eastAsia="zh-CN"/>
            </w:rPr>
            <w:t>塘口养殖水质监测概述</w:t>
          </w:r>
          <w:r>
            <w:tab/>
          </w:r>
          <w:r>
            <w:fldChar w:fldCharType="begin"/>
          </w:r>
          <w:r>
            <w:instrText xml:space="preserve"> PAGEREF _Toc32243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2B7C7773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_Toc1958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2.1. </w:t>
          </w:r>
          <w:r>
            <w:rPr>
              <w:rFonts w:hint="eastAsia"/>
              <w:highlight w:val="none"/>
              <w:lang w:val="en-US" w:eastAsia="zh-CN"/>
            </w:rPr>
            <w:t>塘口养殖水质监测行业背景</w:t>
          </w:r>
          <w:r>
            <w:tab/>
          </w:r>
          <w:r>
            <w:fldChar w:fldCharType="begin"/>
          </w:r>
          <w:r>
            <w:instrText xml:space="preserve"> PAGEREF _Toc1958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65B2277A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_Toc28888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2.2塘口养殖水质监测特点</w:t>
          </w:r>
          <w:r>
            <w:tab/>
          </w:r>
          <w:r>
            <w:fldChar w:fldCharType="begin"/>
          </w:r>
          <w:r>
            <w:instrText xml:space="preserve"> PAGEREF _Toc28888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69AE4CE2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_Toc22415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三、 </w:t>
          </w:r>
          <w:r>
            <w:rPr>
              <w:rFonts w:hint="eastAsia"/>
              <w:highlight w:val="none"/>
              <w:lang w:val="en-US" w:eastAsia="zh-CN"/>
            </w:rPr>
            <w:t>建设方案设计</w:t>
          </w:r>
          <w:r>
            <w:tab/>
          </w:r>
          <w:r>
            <w:fldChar w:fldCharType="begin"/>
          </w:r>
          <w:r>
            <w:instrText xml:space="preserve"> PAGEREF _Toc22415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C13B18A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_Toc23794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3.1系统框架图</w:t>
          </w:r>
          <w:r>
            <w:tab/>
          </w:r>
          <w:r>
            <w:fldChar w:fldCharType="begin"/>
          </w:r>
          <w:r>
            <w:instrText xml:space="preserve"> PAGEREF _Toc23794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20D79DE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_Toc32482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highlight w:val="none"/>
              <w:lang w:val="en-US" w:eastAsia="zh-CN"/>
            </w:rPr>
            <w:t>3.2设备选型策略</w:t>
          </w:r>
          <w:r>
            <w:tab/>
          </w:r>
          <w:r>
            <w:fldChar w:fldCharType="begin"/>
          </w:r>
          <w:r>
            <w:instrText xml:space="preserve"> PAGEREF _Toc32482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286EEBC8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_Toc9914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四、 </w:t>
          </w:r>
          <w:r>
            <w:rPr>
              <w:rFonts w:hint="eastAsia"/>
              <w:highlight w:val="none"/>
              <w:lang w:val="en-US" w:eastAsia="zh-CN"/>
            </w:rPr>
            <w:t>产品介绍</w:t>
          </w:r>
          <w:r>
            <w:tab/>
          </w:r>
          <w:r>
            <w:fldChar w:fldCharType="begin"/>
          </w:r>
          <w:r>
            <w:instrText xml:space="preserve"> PAGEREF _Toc9914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1B016A1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_Toc23148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4.1. </w:t>
          </w:r>
          <w:r>
            <w:rPr>
              <w:rFonts w:hint="eastAsia"/>
              <w:highlight w:val="none"/>
              <w:lang w:val="en-US" w:eastAsia="zh-CN"/>
            </w:rPr>
            <w:t>技术参数</w:t>
          </w:r>
          <w:r>
            <w:tab/>
          </w:r>
          <w:r>
            <w:fldChar w:fldCharType="begin"/>
          </w:r>
          <w:r>
            <w:instrText xml:space="preserve"> PAGEREF _Toc23148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3AC7B9F3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_Toc279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4.2. </w:t>
          </w:r>
          <w:r>
            <w:rPr>
              <w:rFonts w:hint="eastAsia"/>
              <w:highlight w:val="none"/>
              <w:lang w:val="en-US" w:eastAsia="zh-CN"/>
            </w:rPr>
            <w:t>场景适配性</w:t>
          </w:r>
          <w:r>
            <w:tab/>
          </w:r>
          <w:r>
            <w:fldChar w:fldCharType="begin"/>
          </w:r>
          <w:r>
            <w:instrText xml:space="preserve"> PAGEREF _Toc279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4E24679F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_Toc15746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五、 </w:t>
          </w:r>
          <w:r>
            <w:rPr>
              <w:rFonts w:hint="eastAsia"/>
              <w:highlight w:val="none"/>
              <w:lang w:val="en-US" w:eastAsia="zh-CN"/>
            </w:rPr>
            <w:t>设备寿命及维护</w:t>
          </w:r>
          <w:r>
            <w:tab/>
          </w:r>
          <w:r>
            <w:fldChar w:fldCharType="begin"/>
          </w:r>
          <w:r>
            <w:instrText xml:space="preserve"> PAGEREF _Toc15746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020A0592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_Toc22001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5.1. </w:t>
          </w:r>
          <w:r>
            <w:rPr>
              <w:rFonts w:hint="eastAsia"/>
              <w:highlight w:val="none"/>
              <w:lang w:val="en-US" w:eastAsia="zh-CN"/>
            </w:rPr>
            <w:t>设备寿命周期与维护周期表</w:t>
          </w:r>
          <w:r>
            <w:tab/>
          </w:r>
          <w:r>
            <w:fldChar w:fldCharType="begin"/>
          </w:r>
          <w:r>
            <w:instrText xml:space="preserve"> PAGEREF _Toc22001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6B04A448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_Toc18118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 xml:space="preserve">5.2. </w:t>
          </w:r>
          <w:r>
            <w:rPr>
              <w:rFonts w:hint="eastAsia"/>
              <w:highlight w:val="none"/>
              <w:lang w:val="en-US" w:eastAsia="zh-CN"/>
            </w:rPr>
            <w:t>设备</w:t>
          </w:r>
          <w:r>
            <w:rPr>
              <w:rFonts w:hint="eastAsia"/>
              <w:highlight w:val="none"/>
            </w:rPr>
            <w:t>日常维护</w:t>
          </w:r>
          <w:r>
            <w:tab/>
          </w:r>
          <w:r>
            <w:fldChar w:fldCharType="begin"/>
          </w:r>
          <w:r>
            <w:instrText xml:space="preserve"> PAGEREF _Toc18118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3899FE04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_Toc7245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</w:rPr>
            <w:t xml:space="preserve">5.3. </w:t>
          </w:r>
          <w:r>
            <w:rPr>
              <w:rFonts w:hint="eastAsia"/>
              <w:highlight w:val="none"/>
              <w:lang w:val="en-US" w:eastAsia="zh-CN"/>
            </w:rPr>
            <w:t>设备</w:t>
          </w:r>
          <w:r>
            <w:rPr>
              <w:rFonts w:hint="eastAsia"/>
              <w:highlight w:val="none"/>
            </w:rPr>
            <w:t>维护注意事项</w:t>
          </w:r>
          <w:r>
            <w:tab/>
          </w:r>
          <w:r>
            <w:fldChar w:fldCharType="begin"/>
          </w:r>
          <w:r>
            <w:instrText xml:space="preserve"> PAGEREF _Toc7245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399DBA21">
          <w:pPr>
            <w:pStyle w:val="14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_Toc24659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六、 </w:t>
          </w:r>
          <w:r>
            <w:rPr>
              <w:rFonts w:hint="eastAsia"/>
              <w:highlight w:val="none"/>
              <w:lang w:val="en-US" w:eastAsia="zh-CN"/>
            </w:rPr>
            <w:t>案例展示</w:t>
          </w:r>
          <w:r>
            <w:tab/>
          </w:r>
          <w:r>
            <w:fldChar w:fldCharType="begin"/>
          </w:r>
          <w:r>
            <w:instrText xml:space="preserve"> PAGEREF _Toc24659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787BCB9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_Toc20579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6.1. </w:t>
          </w:r>
          <w:r>
            <w:rPr>
              <w:rFonts w:hint="eastAsia"/>
              <w:highlight w:val="none"/>
              <w:lang w:val="en-US" w:eastAsia="zh-CN"/>
            </w:rPr>
            <w:t>案例1：江苏如皋养殖塘口水质监测项目</w:t>
          </w:r>
          <w:r>
            <w:tab/>
          </w:r>
          <w:r>
            <w:fldChar w:fldCharType="begin"/>
          </w:r>
          <w:r>
            <w:instrText xml:space="preserve"> PAGEREF _Toc20579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1C16462B">
          <w:pPr>
            <w:pStyle w:val="16"/>
            <w:tabs>
              <w:tab w:val="right" w:leader="dot" w:pos="8306"/>
            </w:tabs>
          </w:pP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instrText xml:space="preserve"> HYPERLINK \l _Toc28154 </w:instrText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6.2. </w:t>
          </w:r>
          <w:r>
            <w:rPr>
              <w:rFonts w:hint="eastAsia"/>
              <w:highlight w:val="none"/>
              <w:lang w:val="en-US" w:eastAsia="zh-CN"/>
            </w:rPr>
            <w:t>案例2：江苏太祖大闸蟹塘口养殖水质监测项目</w:t>
          </w:r>
          <w:r>
            <w:tab/>
          </w:r>
          <w:r>
            <w:fldChar w:fldCharType="begin"/>
          </w:r>
          <w:r>
            <w:instrText xml:space="preserve"> PAGEREF _Toc28154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  <w:p w14:paraId="40F13162">
          <w:pPr>
            <w:rPr>
              <w:rFonts w:hint="eastAsia" w:ascii="宋体" w:hAnsi="宋体" w:eastAsia="宋体" w:cs="宋体"/>
              <w:kern w:val="2"/>
              <w:sz w:val="24"/>
              <w:szCs w:val="24"/>
              <w:highlight w:val="none"/>
              <w:lang w:val="en-US" w:eastAsia="zh-CN" w:bidi="ar-SA"/>
            </w:rPr>
          </w:pPr>
          <w:r>
            <w:rPr>
              <w:rFonts w:hint="eastAsia" w:ascii="宋体" w:hAnsi="宋体" w:eastAsia="宋体" w:cs="宋体"/>
              <w:kern w:val="2"/>
              <w:szCs w:val="24"/>
              <w:highlight w:val="none"/>
              <w:lang w:val="en-US" w:eastAsia="zh-CN" w:bidi="ar-SA"/>
            </w:rPr>
            <w:fldChar w:fldCharType="end"/>
          </w:r>
        </w:p>
      </w:sdtContent>
    </w:sdt>
    <w:p w14:paraId="34DAA2F4">
      <w:pPr>
        <w:rPr>
          <w:rFonts w:hint="eastAsia"/>
          <w:highlight w:val="none"/>
        </w:rPr>
      </w:pPr>
    </w:p>
    <w:p w14:paraId="004B449F">
      <w:pPr>
        <w:rPr>
          <w:rFonts w:hint="eastAsia"/>
          <w:highlight w:val="none"/>
        </w:rPr>
        <w:sectPr>
          <w:headerReference r:id="rId6" w:type="default"/>
          <w:footerReference r:id="rId7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22919CD">
      <w:pPr>
        <w:pStyle w:val="2"/>
        <w:bidi w:val="0"/>
        <w:ind w:left="672" w:leftChars="0" w:firstLineChars="0"/>
        <w:rPr>
          <w:rFonts w:hint="eastAsia"/>
          <w:highlight w:val="none"/>
          <w:lang w:val="en-US" w:eastAsia="zh-CN"/>
        </w:rPr>
      </w:pPr>
      <w:bookmarkStart w:id="0" w:name="_Toc3865"/>
      <w:bookmarkStart w:id="1" w:name="_Toc12516"/>
      <w:r>
        <w:rPr>
          <w:rFonts w:hint="eastAsia"/>
          <w:highlight w:val="none"/>
          <w:lang w:val="en-US" w:eastAsia="zh-CN"/>
        </w:rPr>
        <w:t>公司简介</w:t>
      </w:r>
      <w:bookmarkEnd w:id="0"/>
      <w:bookmarkEnd w:id="1"/>
    </w:p>
    <w:p w14:paraId="005BDF9F">
      <w:pPr>
        <w:rPr>
          <w:rFonts w:hint="eastAsia"/>
          <w:highlight w:val="none"/>
          <w:lang w:val="en-US" w:eastAsia="zh-CN"/>
        </w:rPr>
      </w:pPr>
    </w:p>
    <w:p w14:paraId="73B189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highlight w:val="none"/>
        </w:rPr>
      </w:pPr>
      <w:r>
        <w:rPr>
          <w:highlight w:val="none"/>
        </w:rPr>
        <w:drawing>
          <wp:inline distT="0" distB="0" distL="0" distR="0">
            <wp:extent cx="4585970" cy="3395980"/>
            <wp:effectExtent l="0" t="0" r="127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DEB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highlight w:val="none"/>
        </w:rPr>
      </w:pPr>
    </w:p>
    <w:p w14:paraId="05A25232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青岛精诚仪器仪表</w:t>
      </w:r>
      <w:r>
        <w:rPr>
          <w:rFonts w:hint="eastAsia"/>
          <w:highlight w:val="none"/>
        </w:rPr>
        <w:t>有限公司（简称</w:t>
      </w:r>
      <w:r>
        <w:rPr>
          <w:rFonts w:hint="eastAsia"/>
          <w:highlight w:val="none"/>
          <w:lang w:val="en-US" w:eastAsia="zh-CN"/>
        </w:rPr>
        <w:t>青岛精诚</w:t>
      </w:r>
      <w:r>
        <w:rPr>
          <w:rFonts w:hint="eastAsia"/>
          <w:highlight w:val="none"/>
        </w:rPr>
        <w:t>）</w:t>
      </w:r>
      <w:r>
        <w:rPr>
          <w:rFonts w:hint="eastAsia"/>
          <w:highlight w:val="none"/>
          <w:lang w:val="en-US" w:eastAsia="zh-CN"/>
        </w:rPr>
        <w:t>，是一家专业从事生态环境、水利水务、工业过程控制、智慧农业、海洋监测等应用的水质分析仪器研发制造商，以自主研发生产的水质自动监测仪器为核心，应用自动化控制与系统集成技术，为客户提供自动化、智能化的环境监测系统解决方案，并为客户提供环境监测设施的第三方运营服务。</w:t>
      </w:r>
    </w:p>
    <w:p w14:paraId="6D03DE0F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我公司拥有完善的研发、生产、销售和技术服务团队，是国内水质数字传感领导品牌，为国内近百个市、县（区）政府和生态环境部门提供水环境监测技术支撑。</w:t>
      </w:r>
    </w:p>
    <w:p w14:paraId="61776EF0">
      <w:pPr>
        <w:rPr>
          <w:rFonts w:hint="eastAsia"/>
          <w:highlight w:val="none"/>
          <w:lang w:val="en-US" w:eastAsia="zh-CN"/>
        </w:rPr>
      </w:pPr>
    </w:p>
    <w:p w14:paraId="2F6F7128">
      <w:pPr>
        <w:rPr>
          <w:rFonts w:hint="eastAsia"/>
          <w:highlight w:val="none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0EAF1881">
      <w:pPr>
        <w:pStyle w:val="2"/>
        <w:bidi w:val="0"/>
        <w:ind w:left="672" w:leftChars="0" w:firstLineChars="0"/>
        <w:rPr>
          <w:rFonts w:hint="eastAsia"/>
          <w:highlight w:val="none"/>
          <w:lang w:val="en-US" w:eastAsia="zh-CN"/>
        </w:rPr>
      </w:pPr>
      <w:bookmarkStart w:id="2" w:name="_Toc32243"/>
      <w:bookmarkStart w:id="3" w:name="_Toc28553"/>
      <w:r>
        <w:rPr>
          <w:rFonts w:hint="eastAsia"/>
          <w:color w:val="auto"/>
          <w:highlight w:val="none"/>
          <w:lang w:val="en-US" w:eastAsia="zh-CN"/>
        </w:rPr>
        <w:t>塘口养殖水质监测</w:t>
      </w:r>
      <w:r>
        <w:rPr>
          <w:rFonts w:hint="eastAsia"/>
          <w:highlight w:val="none"/>
          <w:lang w:val="en-US" w:eastAsia="zh-CN"/>
        </w:rPr>
        <w:t>概述</w:t>
      </w:r>
      <w:bookmarkEnd w:id="2"/>
      <w:bookmarkEnd w:id="3"/>
    </w:p>
    <w:p w14:paraId="40E946B2">
      <w:pPr>
        <w:pStyle w:val="3"/>
        <w:bidi w:val="0"/>
        <w:rPr>
          <w:rFonts w:hint="eastAsia"/>
          <w:highlight w:val="none"/>
          <w:lang w:val="en-US" w:eastAsia="zh-CN"/>
        </w:rPr>
      </w:pPr>
      <w:bookmarkStart w:id="4" w:name="_Toc1958"/>
      <w:r>
        <w:rPr>
          <w:rFonts w:hint="eastAsia"/>
          <w:highlight w:val="none"/>
          <w:lang w:val="en-US" w:eastAsia="zh-CN"/>
        </w:rPr>
        <w:t>塘口养殖水质监测行业背景</w:t>
      </w:r>
      <w:bookmarkEnd w:id="4"/>
      <w:bookmarkStart w:id="5" w:name="_Toc16844"/>
    </w:p>
    <w:p w14:paraId="5C33CA9F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塘口养殖（池塘养殖）是水产养殖的重要形式之一，其水质监测行业背景与传统养殖模式的升级、环保政策的推动以及技术进步密切相关。以下是塘口养殖水质监测行业的背景分析：</w:t>
      </w:r>
    </w:p>
    <w:p w14:paraId="064918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1.传统养殖模式的局限性</w:t>
      </w:r>
    </w:p>
    <w:p w14:paraId="7C5B0726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粗放式管理：传统的塘口养殖多依赖经验管理，缺乏科学的水质监测手段，导致水质问题频发。</w:t>
      </w:r>
    </w:p>
    <w:p w14:paraId="34DF0AE6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高风险性：由于缺乏实时监测，水体中溶解氧不足、氨氮和亚硝酸盐超标等问题可能导致鱼类大规模死亡，造成经济损失。</w:t>
      </w:r>
    </w:p>
    <w:p w14:paraId="6BD70AE5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低效率：传统养殖方式对水资源的利用效率较低，容易造成浪费，同时污染排放问题突出。</w:t>
      </w:r>
    </w:p>
    <w:p w14:paraId="6C804E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2.环保政策的驱动</w:t>
      </w:r>
    </w:p>
    <w:p w14:paraId="5BFFFC04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随着全球对环境保护的关注日益增加，各国政府相继出台严格的环保法规，要求减少水产养殖中的污染物排放。</w:t>
      </w:r>
    </w:p>
    <w:p w14:paraId="083DE18B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在中国，近年来《水污染防治行动计划》、“河长制”等政策的实施，对水产养殖提出了更高的环保要求，促使养殖业向绿色、可持续方向发展。</w:t>
      </w:r>
    </w:p>
    <w:p w14:paraId="5B6A2A0A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水质监测成为养殖企业合规运营的重要手段，用于监控和改善养殖水体质量。</w:t>
      </w:r>
    </w:p>
    <w:p w14:paraId="61A547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3.市场需求的增长</w:t>
      </w:r>
    </w:p>
    <w:p w14:paraId="159FB0EC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消费升级：随着人们生活水平的提高，消费者对水产品质量的要求越来越高，优质、安全的水产品需求量不断增加。</w:t>
      </w:r>
    </w:p>
    <w:p w14:paraId="0CED31ED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规模化养殖：现代塘口养殖逐渐向规模化、集约化方向发展，养殖密度增加，对水质管理的要求也随之提升。</w:t>
      </w:r>
    </w:p>
    <w:p w14:paraId="6FC3E1B7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出口需求：对于出口型养殖企业，严格的国际标准（如欧盟、美国FDA标准）要求养殖过程中必须进行全程水质监控，以确保产品的安全性。</w:t>
      </w:r>
    </w:p>
    <w:p w14:paraId="4B2946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4.技术进步的推动</w:t>
      </w:r>
    </w:p>
    <w:p w14:paraId="3DFFD185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传感器技术：现代水质监测设备（如溶解氧传感器、pH传感器、氨氮传感器等）的发展，使得水质参数的实时监测成为可能。</w:t>
      </w:r>
    </w:p>
    <w:p w14:paraId="62C0CD13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物联网技术：通过物联网技术，可以将水质监测数据实时上传到云端，实现远程监控和数据分析。</w:t>
      </w:r>
    </w:p>
    <w:p w14:paraId="09EE7D83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人工智能与大数据：AI算法和大数据分析能够预测水质变化趋势，帮助养殖者提前采取措施，降低风险。</w:t>
      </w:r>
    </w:p>
    <w:p w14:paraId="32CE2C7A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自动化控制：水质监测系统可与增氧机、投喂机等设备联动，实现智能化养殖管理。</w:t>
      </w:r>
    </w:p>
    <w:p w14:paraId="692A73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5.行业发展现状</w:t>
      </w:r>
    </w:p>
    <w:p w14:paraId="58E970E8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从人工到智能：过去，塘口养殖主要依靠人工检测水质，效率低且误差大。如今，智能水质监测设备逐渐普及，提高了监测的准确性和效率。</w:t>
      </w:r>
    </w:p>
    <w:p w14:paraId="482AEF67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区域差异明显：在经济发达地区（如广东、江苏、浙江等），塘口养殖水质监测技术应用较为成熟，而在一些欠发达地区，仍以传统方式为主。</w:t>
      </w:r>
    </w:p>
    <w:p w14:paraId="2CE3260C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成本制约：尽管水质监测技术已取得显著进步，但高昂的设备成本和维护费用仍然是许多中小型养殖户面临的难题。</w:t>
      </w:r>
    </w:p>
    <w:p w14:paraId="589500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6.未来发展趋势</w:t>
      </w:r>
    </w:p>
    <w:p w14:paraId="470CD15D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精准化管理：通过更精确的水质监测和数据分析，实现养殖环境的精细化管理，提升生产效率。</w:t>
      </w:r>
    </w:p>
    <w:p w14:paraId="7E8DD765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绿色环保：进一步推广循环水养殖和生态养殖模式，减少水资源浪费和污染排放。</w:t>
      </w:r>
    </w:p>
    <w:p w14:paraId="0BE72C61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智能化升级：随着5G、物联网、人工智能等技术的普及，塘口养殖水质监测将更加智能化、自动化。</w:t>
      </w:r>
    </w:p>
    <w:p w14:paraId="7D174E7D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政策支持：政府可能会继续加大对水产养殖业的支持力度，包括资金补贴和技术推广，推动行业转型升级。</w:t>
      </w:r>
    </w:p>
    <w:p w14:paraId="00852EBD">
      <w:pPr>
        <w:pStyle w:val="3"/>
        <w:numPr>
          <w:ilvl w:val="1"/>
          <w:numId w:val="0"/>
        </w:numPr>
        <w:bidi w:val="0"/>
        <w:ind w:leftChars="0"/>
        <w:rPr>
          <w:rFonts w:hint="default" w:ascii="宋体" w:hAnsi="宋体" w:eastAsia="宋体" w:cs="宋体"/>
          <w:b w:val="0"/>
          <w:kern w:val="2"/>
          <w:sz w:val="24"/>
          <w:szCs w:val="24"/>
          <w:highlight w:val="none"/>
          <w:lang w:val="en-US" w:eastAsia="zh-CN" w:bidi="ar-SA"/>
        </w:rPr>
      </w:pPr>
      <w:bookmarkStart w:id="6" w:name="_Toc28888"/>
      <w:r>
        <w:rPr>
          <w:rFonts w:hint="eastAsia"/>
          <w:color w:val="auto"/>
          <w:highlight w:val="none"/>
          <w:lang w:val="en-US" w:eastAsia="zh-CN"/>
        </w:rPr>
        <w:t>2.2塘口养殖水质监测</w:t>
      </w:r>
      <w:r>
        <w:rPr>
          <w:rFonts w:hint="eastAsia"/>
          <w:highlight w:val="none"/>
          <w:lang w:val="en-US" w:eastAsia="zh-CN"/>
        </w:rPr>
        <w:t>特点</w:t>
      </w:r>
      <w:bookmarkEnd w:id="5"/>
      <w:bookmarkEnd w:id="6"/>
    </w:p>
    <w:p w14:paraId="141B757B">
      <w:pPr>
        <w:bidi w:val="0"/>
        <w:rPr>
          <w:rFonts w:hint="eastAsia"/>
          <w:highlight w:val="none"/>
          <w:lang w:val="en-US" w:eastAsia="zh-CN"/>
        </w:rPr>
      </w:pPr>
      <w:bookmarkStart w:id="7" w:name="_Toc15099"/>
      <w:r>
        <w:rPr>
          <w:rFonts w:hint="eastAsia"/>
          <w:highlight w:val="none"/>
          <w:lang w:val="en-US" w:eastAsia="zh-CN"/>
        </w:rPr>
        <w:t>塘口养殖（池塘养殖）水质监测具有其独特的特点，这些特点与养殖环境、技术应用以及管理需求密切相关。以下是塘口养殖水质监测的主要特点：</w:t>
      </w:r>
    </w:p>
    <w:p w14:paraId="36C80C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1.监测参数多样性</w:t>
      </w:r>
    </w:p>
    <w:p w14:paraId="18F22668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塘口养殖需要监测的水质参数种类繁多，包括但不限于： </w:t>
      </w:r>
    </w:p>
    <w:p w14:paraId="5B60F8E5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溶解氧（DO）：直接影响鱼类呼吸和代谢活动。</w:t>
      </w:r>
    </w:p>
    <w:p w14:paraId="10E28774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pH值：反映水体酸碱度，过高或过低会影响生物健康。</w:t>
      </w:r>
    </w:p>
    <w:p w14:paraId="5105DBAA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氨氮（NH₃-N）和亚硝酸盐（NO₂⁻）：衡量水体中有机物分解程度，超标可能导致中毒。</w:t>
      </w:r>
    </w:p>
    <w:p w14:paraId="3AD12331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温度：影响水生生物的新陈代谢和生长速度。</w:t>
      </w:r>
    </w:p>
    <w:p w14:paraId="7BD7448D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浊度和悬浮固体：影响水体透明度和生物健康。</w:t>
      </w:r>
    </w:p>
    <w:p w14:paraId="47E71200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电导率（EC）和盐度：适用于咸淡水养殖。</w:t>
      </w:r>
    </w:p>
    <w:p w14:paraId="6B1D8020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这些参数的综合监测能够全面评估塘口水体的健康状况。</w:t>
      </w:r>
    </w:p>
    <w:p w14:paraId="5B6696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2.实时性要求高</w:t>
      </w:r>
    </w:p>
    <w:p w14:paraId="3204834F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水质变化对塘口养殖的影响非常迅速，尤其是溶解氧不足、氨氮超标等问题可能导致鱼虾短时间内大量死亡。</w:t>
      </w:r>
    </w:p>
    <w:p w14:paraId="3614604A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因此，实时监测是塘口养殖水质管理的核心要求，以便及时采取措施调整水质。</w:t>
      </w:r>
    </w:p>
    <w:p w14:paraId="54A35F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3.季节性和区域性差异明显</w:t>
      </w:r>
    </w:p>
    <w:p w14:paraId="47E23B6A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季节性：不同季节水温、光照和降雨量的变化会导致水质参数波动。例如，夏季高温可能导致溶解氧下降，冬季低温可能影响鱼类生长。</w:t>
      </w:r>
    </w:p>
    <w:p w14:paraId="168B0741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区域性：不同地区的水质条件差异较大，如南方地区多为淡水养殖，而沿海地区可能涉及咸淡水或海水养殖，监测重点有所不同。</w:t>
      </w:r>
    </w:p>
    <w:p w14:paraId="0E9DE0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4.受外界环境影响大</w:t>
      </w:r>
    </w:p>
    <w:p w14:paraId="79F9ECCB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塘口养殖水质容易受到外界环境的影响，例如： </w:t>
      </w:r>
    </w:p>
    <w:p w14:paraId="495A702E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天气因素：暴雨可能导致水质浑浊，气温变化影响溶解氧水平。</w:t>
      </w:r>
    </w:p>
    <w:p w14:paraId="66114426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水源污染：如果进水来源受到工业废水或农业面源污染，会直接影响塘口水体质量。</w:t>
      </w:r>
    </w:p>
    <w:p w14:paraId="67D393BE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周边生态：周围土地利用方式（如农业施肥、工业排放）也会对水质产生间接影响。</w:t>
      </w:r>
    </w:p>
    <w:p w14:paraId="367F8A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5.人工干预频繁</w:t>
      </w:r>
    </w:p>
    <w:p w14:paraId="0ED103D3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塘口养殖通常需要定期进行人工干预，例如加水换水、投喂饲料、使用增氧机等。</w:t>
      </w:r>
    </w:p>
    <w:p w14:paraId="3CD6DADC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这些操作会对水质产生动态影响，因此需要通过监测来评估干预效果，并及时调整管理策略。</w:t>
      </w:r>
    </w:p>
    <w:p w14:paraId="2ED957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6.数据采集与分析结合</w:t>
      </w:r>
    </w:p>
    <w:p w14:paraId="52A66AF5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现代塘口养殖水质监测不仅关注数据采集，还强调数据分析和预测。</w:t>
      </w:r>
    </w:p>
    <w:p w14:paraId="10983BDD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通过物联网、大数据和人工智能技术，可以实现水质变化趋势的预测，帮助养殖者提前采取预防措施。</w:t>
      </w:r>
    </w:p>
    <w:p w14:paraId="39B1ED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7.成本敏感性</w:t>
      </w:r>
    </w:p>
    <w:p w14:paraId="48B3D502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塘口养殖以中小型养殖户为主，许多养殖户对水质监测设备的成本较为敏感。</w:t>
      </w:r>
    </w:p>
    <w:p w14:paraId="01E4EB79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因此，市场上出现了多种性价比高的监测方案，包括便携式设备、无线传感器网络等。</w:t>
      </w:r>
    </w:p>
    <w:p w14:paraId="4836E3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8.智能化与自动化趋势</w:t>
      </w:r>
    </w:p>
    <w:p w14:paraId="612D69CB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随着技术进步，塘口养殖水质监测正朝着智能化方向发展： </w:t>
      </w:r>
    </w:p>
    <w:p w14:paraId="45F17F8B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自动监测系统：通过安装固定式传感器，实现全天候自动监测。</w:t>
      </w:r>
    </w:p>
    <w:p w14:paraId="3AD28622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联动控制：监测系统可与增氧机、投喂机等设备联动，根据水质参数自动调节运行状态。</w:t>
      </w:r>
    </w:p>
    <w:p w14:paraId="5836AA32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远程监控：通过手机APP或电脑端平台，养殖户可以随时随地查看水质数据并进行管理。</w:t>
      </w:r>
    </w:p>
    <w:p w14:paraId="5F69FC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9.环保与可持续性要求</w:t>
      </w:r>
    </w:p>
    <w:p w14:paraId="6F03B621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塘口养殖水质监测不仅是保障水产品质量的重要手段，也是实现环保目标的关键。</w:t>
      </w:r>
    </w:p>
    <w:p w14:paraId="59DEA18A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通过科学监测和管理，可以减少污染物排放，降低对周边环境的影响，推动养殖业向可持续方向发展。</w:t>
      </w:r>
    </w:p>
    <w:p w14:paraId="16C17EDE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总结塘口养殖水质监测的特点体现在参数多样性、实时性要求高、季节性和区域性差异显著、受外界环境影响大等方面。随着技术的进步和行业的发展，智能化、自动化和环保化的监测手段正在逐步普及，为塘口养殖的高效管理和可持续发展提供了重要支持。</w:t>
      </w:r>
    </w:p>
    <w:p w14:paraId="35D2CF63">
      <w:pPr>
        <w:pStyle w:val="2"/>
        <w:bidi w:val="0"/>
        <w:rPr>
          <w:rFonts w:hint="eastAsia"/>
          <w:highlight w:val="none"/>
          <w:lang w:val="en-US" w:eastAsia="zh-CN"/>
        </w:rPr>
      </w:pPr>
      <w:bookmarkStart w:id="8" w:name="_Toc22415"/>
      <w:r>
        <w:rPr>
          <w:rFonts w:hint="eastAsia"/>
          <w:highlight w:val="none"/>
          <w:lang w:val="en-US" w:eastAsia="zh-CN"/>
        </w:rPr>
        <w:t>建设方案设计</w:t>
      </w:r>
      <w:bookmarkEnd w:id="7"/>
      <w:bookmarkEnd w:id="8"/>
    </w:p>
    <w:p w14:paraId="5FB79E96">
      <w:pPr>
        <w:pStyle w:val="3"/>
        <w:numPr>
          <w:ilvl w:val="1"/>
          <w:numId w:val="0"/>
        </w:numPr>
        <w:bidi w:val="0"/>
        <w:ind w:leftChars="0"/>
        <w:rPr>
          <w:rFonts w:hint="eastAsia"/>
          <w:highlight w:val="none"/>
          <w:lang w:val="en-US" w:eastAsia="zh-CN"/>
        </w:rPr>
      </w:pPr>
      <w:bookmarkStart w:id="9" w:name="_Toc23794"/>
      <w:r>
        <w:rPr>
          <w:rFonts w:hint="eastAsia"/>
          <w:highlight w:val="none"/>
          <w:lang w:val="en-US" w:eastAsia="zh-CN"/>
        </w:rPr>
        <w:t>3.1系统框架图</w:t>
      </w:r>
      <w:bookmarkEnd w:id="9"/>
    </w:p>
    <w:p w14:paraId="6B6B8F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color w:val="auto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3753485" cy="4076700"/>
            <wp:effectExtent l="0" t="0" r="18415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02283">
      <w:pPr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关键功能：实时监测、超标报警、实时联动等</w:t>
      </w:r>
    </w:p>
    <w:p w14:paraId="042B4D08">
      <w:pPr>
        <w:rPr>
          <w:rFonts w:hint="eastAsia"/>
          <w:highlight w:val="none"/>
          <w:lang w:val="en-US" w:eastAsia="zh-CN"/>
        </w:rPr>
      </w:pPr>
    </w:p>
    <w:p w14:paraId="6D717F2C">
      <w:pPr>
        <w:pStyle w:val="3"/>
        <w:numPr>
          <w:ilvl w:val="1"/>
          <w:numId w:val="0"/>
        </w:numPr>
        <w:bidi w:val="0"/>
        <w:ind w:leftChars="0"/>
        <w:rPr>
          <w:rFonts w:hint="eastAsia"/>
          <w:highlight w:val="none"/>
          <w:lang w:val="en-US" w:eastAsia="zh-CN"/>
        </w:rPr>
      </w:pPr>
      <w:bookmarkStart w:id="10" w:name="_Toc32482"/>
      <w:r>
        <w:rPr>
          <w:rFonts w:hint="eastAsia"/>
          <w:highlight w:val="none"/>
          <w:lang w:val="en-US" w:eastAsia="zh-CN"/>
        </w:rPr>
        <w:t>3.2设备选型策略</w:t>
      </w:r>
      <w:bookmarkEnd w:id="10"/>
    </w:p>
    <w:tbl>
      <w:tblPr>
        <w:tblStyle w:val="19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8"/>
        <w:gridCol w:w="3159"/>
        <w:gridCol w:w="2852"/>
      </w:tblGrid>
      <w:tr w14:paraId="63A1CB6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pct"/>
            <w:vAlign w:val="center"/>
          </w:tcPr>
          <w:p w14:paraId="4E332A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核心监测参数</w:t>
            </w:r>
          </w:p>
        </w:tc>
        <w:tc>
          <w:tcPr>
            <w:tcW w:w="1854" w:type="pct"/>
            <w:vAlign w:val="center"/>
          </w:tcPr>
          <w:p w14:paraId="15C168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设备名称</w:t>
            </w:r>
          </w:p>
        </w:tc>
        <w:tc>
          <w:tcPr>
            <w:tcW w:w="1673" w:type="pct"/>
            <w:vAlign w:val="center"/>
          </w:tcPr>
          <w:p w14:paraId="0B5855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设备原理</w:t>
            </w:r>
          </w:p>
        </w:tc>
      </w:tr>
      <w:tr w14:paraId="534C66D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 w14:paraId="7ACD774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在线监测设备</w:t>
            </w:r>
          </w:p>
        </w:tc>
      </w:tr>
      <w:tr w14:paraId="5889A74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pct"/>
            <w:vAlign w:val="center"/>
          </w:tcPr>
          <w:p w14:paraId="60AFE7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PH</w:t>
            </w:r>
          </w:p>
        </w:tc>
        <w:tc>
          <w:tcPr>
            <w:tcW w:w="1854" w:type="pct"/>
            <w:vAlign w:val="center"/>
          </w:tcPr>
          <w:p w14:paraId="1FF9B4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在线PH传感器</w:t>
            </w:r>
          </w:p>
        </w:tc>
        <w:tc>
          <w:tcPr>
            <w:tcW w:w="1673" w:type="pct"/>
            <w:vAlign w:val="center"/>
          </w:tcPr>
          <w:p w14:paraId="1A7C59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玻璃电极法</w:t>
            </w:r>
          </w:p>
        </w:tc>
      </w:tr>
      <w:tr w14:paraId="114BB73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pct"/>
            <w:vAlign w:val="center"/>
          </w:tcPr>
          <w:p w14:paraId="21986FA1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溶解氧</w:t>
            </w:r>
          </w:p>
        </w:tc>
        <w:tc>
          <w:tcPr>
            <w:tcW w:w="1854" w:type="pct"/>
            <w:vAlign w:val="center"/>
          </w:tcPr>
          <w:p w14:paraId="2748ECF2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在线溶解氧传感器</w:t>
            </w:r>
          </w:p>
        </w:tc>
        <w:tc>
          <w:tcPr>
            <w:tcW w:w="1673" w:type="pct"/>
            <w:vAlign w:val="center"/>
          </w:tcPr>
          <w:p w14:paraId="41B22862">
            <w:pPr>
              <w:spacing w:line="240" w:lineRule="auto"/>
              <w:ind w:firstLine="0" w:firstLineChars="0"/>
              <w:jc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荧光法</w:t>
            </w:r>
          </w:p>
        </w:tc>
      </w:tr>
      <w:tr w14:paraId="66508D7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pct"/>
            <w:vAlign w:val="center"/>
          </w:tcPr>
          <w:p w14:paraId="3C829D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电导率</w:t>
            </w:r>
          </w:p>
        </w:tc>
        <w:tc>
          <w:tcPr>
            <w:tcW w:w="1854" w:type="pct"/>
            <w:vAlign w:val="center"/>
          </w:tcPr>
          <w:p w14:paraId="623A48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在线电导率传感器</w:t>
            </w:r>
          </w:p>
        </w:tc>
        <w:tc>
          <w:tcPr>
            <w:tcW w:w="1673" w:type="pct"/>
            <w:vAlign w:val="center"/>
          </w:tcPr>
          <w:p w14:paraId="2BD0FC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接触式电极法</w:t>
            </w:r>
          </w:p>
        </w:tc>
      </w:tr>
      <w:tr w14:paraId="4A79195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pct"/>
            <w:shd w:val="clear" w:color="auto" w:fill="auto"/>
            <w:vAlign w:val="center"/>
          </w:tcPr>
          <w:p w14:paraId="7D8A895B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盐度</w:t>
            </w:r>
          </w:p>
        </w:tc>
        <w:tc>
          <w:tcPr>
            <w:tcW w:w="1854" w:type="pct"/>
            <w:shd w:val="clear" w:color="auto" w:fill="auto"/>
            <w:vAlign w:val="center"/>
          </w:tcPr>
          <w:p w14:paraId="73AA7D0A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在线盐度传感器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66960E1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感应式电极法</w:t>
            </w:r>
          </w:p>
        </w:tc>
      </w:tr>
      <w:tr w14:paraId="34D0D4E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pct"/>
            <w:vAlign w:val="center"/>
          </w:tcPr>
          <w:p w14:paraId="4BF098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氨氮</w:t>
            </w:r>
          </w:p>
        </w:tc>
        <w:tc>
          <w:tcPr>
            <w:tcW w:w="1854" w:type="pct"/>
            <w:vAlign w:val="center"/>
          </w:tcPr>
          <w:p w14:paraId="77BB3F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default" w:eastAsia="宋体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/>
                <w:color w:val="000000"/>
                <w:kern w:val="0"/>
                <w:sz w:val="21"/>
                <w:szCs w:val="21"/>
                <w:highlight w:val="none"/>
                <w:lang w:val="en-US" w:eastAsia="zh-CN" w:bidi="ar"/>
              </w:rPr>
              <w:t>在线氨氮传感器</w:t>
            </w:r>
          </w:p>
        </w:tc>
        <w:tc>
          <w:tcPr>
            <w:tcW w:w="1673" w:type="pct"/>
            <w:vAlign w:val="center"/>
          </w:tcPr>
          <w:p w14:paraId="442ACC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离子选择法</w:t>
            </w:r>
          </w:p>
        </w:tc>
      </w:tr>
      <w:tr w14:paraId="219AF78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pct"/>
            <w:vAlign w:val="center"/>
          </w:tcPr>
          <w:p w14:paraId="18207E9D">
            <w:pPr>
              <w:spacing w:line="240" w:lineRule="auto"/>
              <w:ind w:firstLine="0" w:firstLineChars="0"/>
              <w:jc w:val="center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硝酸盐</w:t>
            </w:r>
          </w:p>
        </w:tc>
        <w:tc>
          <w:tcPr>
            <w:tcW w:w="1854" w:type="pct"/>
            <w:vAlign w:val="center"/>
          </w:tcPr>
          <w:p w14:paraId="17064204">
            <w:pPr>
              <w:spacing w:line="240" w:lineRule="auto"/>
              <w:ind w:firstLine="0" w:firstLineChars="0"/>
              <w:jc w:val="center"/>
              <w:rPr>
                <w:rFonts w:hint="default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在线硝氮传感器</w:t>
            </w:r>
          </w:p>
        </w:tc>
        <w:tc>
          <w:tcPr>
            <w:tcW w:w="1673" w:type="pct"/>
            <w:vAlign w:val="center"/>
          </w:tcPr>
          <w:p w14:paraId="6E44457B">
            <w:pPr>
              <w:spacing w:line="240" w:lineRule="auto"/>
              <w:ind w:firstLine="0" w:firstLineChars="0"/>
              <w:jc w:val="center"/>
              <w:rPr>
                <w:rFonts w:hint="default" w:cstheme="minorBidi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离子选择法</w:t>
            </w:r>
          </w:p>
        </w:tc>
      </w:tr>
      <w:tr w14:paraId="1956CB8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72" w:type="pct"/>
            <w:shd w:val="clear" w:color="auto" w:fill="auto"/>
            <w:vAlign w:val="center"/>
          </w:tcPr>
          <w:p w14:paraId="13384185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亚硝酸盐</w:t>
            </w:r>
          </w:p>
        </w:tc>
        <w:tc>
          <w:tcPr>
            <w:tcW w:w="1854" w:type="pct"/>
            <w:shd w:val="clear" w:color="auto" w:fill="auto"/>
            <w:vAlign w:val="center"/>
          </w:tcPr>
          <w:p w14:paraId="5618142D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在线亚硝酸盐传感器</w:t>
            </w:r>
          </w:p>
        </w:tc>
        <w:tc>
          <w:tcPr>
            <w:tcW w:w="1673" w:type="pct"/>
            <w:shd w:val="clear" w:color="auto" w:fill="auto"/>
            <w:vAlign w:val="center"/>
          </w:tcPr>
          <w:p w14:paraId="78D5B61B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theme="minorBidi"/>
                <w:sz w:val="21"/>
                <w:szCs w:val="21"/>
                <w:highlight w:val="none"/>
                <w:lang w:val="en-US" w:eastAsia="zh-CN"/>
              </w:rPr>
              <w:t>离子选择法</w:t>
            </w:r>
          </w:p>
        </w:tc>
      </w:tr>
      <w:tr w14:paraId="7D9C309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vAlign w:val="center"/>
          </w:tcPr>
          <w:p w14:paraId="3909ED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便携式监测设备</w:t>
            </w:r>
          </w:p>
        </w:tc>
      </w:tr>
      <w:tr w14:paraId="527A401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8" w:type="dxa"/>
            <w:vAlign w:val="center"/>
          </w:tcPr>
          <w:p w14:paraId="397AB2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PH</w:t>
            </w:r>
          </w:p>
        </w:tc>
        <w:tc>
          <w:tcPr>
            <w:tcW w:w="3159" w:type="dxa"/>
            <w:vAlign w:val="center"/>
          </w:tcPr>
          <w:p w14:paraId="7D9A24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笔式PH计</w:t>
            </w:r>
          </w:p>
        </w:tc>
        <w:tc>
          <w:tcPr>
            <w:tcW w:w="2852" w:type="dxa"/>
            <w:vAlign w:val="center"/>
          </w:tcPr>
          <w:p w14:paraId="292A2B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玻璃电极法</w:t>
            </w:r>
          </w:p>
        </w:tc>
      </w:tr>
      <w:tr w14:paraId="4D9F8C4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8" w:type="dxa"/>
            <w:vAlign w:val="center"/>
          </w:tcPr>
          <w:p w14:paraId="191E0A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电导率</w:t>
            </w:r>
          </w:p>
        </w:tc>
        <w:tc>
          <w:tcPr>
            <w:tcW w:w="3159" w:type="dxa"/>
            <w:vAlign w:val="center"/>
          </w:tcPr>
          <w:p w14:paraId="4A66644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default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笔式电导率计</w:t>
            </w:r>
          </w:p>
        </w:tc>
        <w:tc>
          <w:tcPr>
            <w:tcW w:w="2852" w:type="dxa"/>
            <w:vAlign w:val="center"/>
          </w:tcPr>
          <w:p w14:paraId="613461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</w:rPr>
              <w:t>接触式电极法</w:t>
            </w:r>
          </w:p>
        </w:tc>
      </w:tr>
      <w:tr w14:paraId="2931CE3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8" w:type="dxa"/>
            <w:vAlign w:val="center"/>
          </w:tcPr>
          <w:p w14:paraId="12C43F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全系传感器式设备</w:t>
            </w:r>
          </w:p>
        </w:tc>
        <w:tc>
          <w:tcPr>
            <w:tcW w:w="3159" w:type="dxa"/>
            <w:vAlign w:val="center"/>
          </w:tcPr>
          <w:p w14:paraId="5EBA9E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蓝精灵</w:t>
            </w:r>
          </w:p>
        </w:tc>
        <w:tc>
          <w:tcPr>
            <w:tcW w:w="2852" w:type="dxa"/>
            <w:vAlign w:val="center"/>
          </w:tcPr>
          <w:p w14:paraId="05D098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蓝牙</w:t>
            </w:r>
          </w:p>
        </w:tc>
      </w:tr>
    </w:tbl>
    <w:p w14:paraId="1100D425">
      <w:pPr>
        <w:numPr>
          <w:ilvl w:val="0"/>
          <w:numId w:val="0"/>
        </w:numPr>
        <w:ind w:leftChars="200"/>
        <w:rPr>
          <w:rFonts w:hint="eastAsia"/>
          <w:color w:val="auto"/>
          <w:highlight w:val="none"/>
          <w:lang w:val="en-US" w:eastAsia="zh-CN"/>
        </w:rPr>
      </w:pPr>
    </w:p>
    <w:p w14:paraId="7FAC930D">
      <w:pPr>
        <w:pStyle w:val="2"/>
        <w:bidi w:val="0"/>
        <w:rPr>
          <w:rFonts w:hint="eastAsia"/>
          <w:highlight w:val="none"/>
          <w:lang w:val="en-US" w:eastAsia="zh-CN"/>
        </w:rPr>
      </w:pPr>
      <w:bookmarkStart w:id="11" w:name="_Toc24440"/>
      <w:bookmarkStart w:id="12" w:name="_Toc9914"/>
      <w:r>
        <w:rPr>
          <w:rFonts w:hint="eastAsia"/>
          <w:highlight w:val="none"/>
          <w:lang w:val="en-US" w:eastAsia="zh-CN"/>
        </w:rPr>
        <w:t>产品介绍</w:t>
      </w:r>
      <w:bookmarkEnd w:id="11"/>
      <w:bookmarkEnd w:id="12"/>
    </w:p>
    <w:p w14:paraId="5630B0FF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13" w:name="_Toc23148"/>
      <w:r>
        <w:rPr>
          <w:rFonts w:hint="eastAsia"/>
          <w:color w:val="auto"/>
          <w:highlight w:val="none"/>
          <w:lang w:val="en-US" w:eastAsia="zh-CN"/>
        </w:rPr>
        <w:t>技术参数</w:t>
      </w:r>
      <w:bookmarkEnd w:id="13"/>
    </w:p>
    <w:tbl>
      <w:tblPr>
        <w:tblStyle w:val="19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0"/>
        <w:gridCol w:w="4185"/>
        <w:gridCol w:w="2754"/>
      </w:tblGrid>
      <w:tr w14:paraId="73F7111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927" w:type="pct"/>
            <w:vAlign w:val="center"/>
          </w:tcPr>
          <w:p w14:paraId="614C5F2A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2456" w:type="pct"/>
            <w:vAlign w:val="center"/>
          </w:tcPr>
          <w:p w14:paraId="49EBB5BC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监测参数</w:t>
            </w:r>
          </w:p>
        </w:tc>
        <w:tc>
          <w:tcPr>
            <w:tcW w:w="1616" w:type="pct"/>
            <w:vAlign w:val="center"/>
          </w:tcPr>
          <w:p w14:paraId="28AC459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图片示例</w:t>
            </w:r>
          </w:p>
        </w:tc>
      </w:tr>
      <w:tr w14:paraId="11AD0C5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2" w:hRule="atLeast"/>
        </w:trPr>
        <w:tc>
          <w:tcPr>
            <w:tcW w:w="927" w:type="pct"/>
            <w:shd w:val="clear" w:color="auto" w:fill="auto"/>
            <w:vAlign w:val="center"/>
          </w:tcPr>
          <w:p w14:paraId="7A9EC9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岸边水质监测微站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49D62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default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  <w:lang w:val="en-US" w:eastAsia="zh-CN"/>
              </w:rPr>
              <w:t>传感器式水质监测微站</w:t>
            </w:r>
          </w:p>
          <w:p w14:paraId="22B96D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default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在线传感器：</w:t>
            </w:r>
            <w:r>
              <w:rPr>
                <w:rFonts w:hint="eastAsia"/>
                <w:sz w:val="21"/>
                <w:szCs w:val="21"/>
                <w:highlight w:val="none"/>
              </w:rPr>
              <w:t>PH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highlight w:val="none"/>
              </w:rPr>
              <w:t>溶解氧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highlight w:val="none"/>
              </w:rPr>
              <w:t>电导率</w:t>
            </w:r>
            <w:r>
              <w:rPr>
                <w:rFonts w:hint="eastAsia"/>
                <w:sz w:val="21"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氨氮、盐度、硝酸盐、亚硝酸盐</w:t>
            </w:r>
          </w:p>
        </w:tc>
        <w:tc>
          <w:tcPr>
            <w:tcW w:w="1616" w:type="pct"/>
            <w:vAlign w:val="center"/>
          </w:tcPr>
          <w:p w14:paraId="4D8F52DB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bookmarkStart w:id="30" w:name="_GoBack"/>
            <w:r>
              <w:rPr>
                <w:highlight w:val="none"/>
              </w:rPr>
              <w:drawing>
                <wp:inline distT="0" distB="0" distL="114300" distR="114300">
                  <wp:extent cx="1565275" cy="1483360"/>
                  <wp:effectExtent l="0" t="0" r="15875" b="254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35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27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0"/>
          </w:p>
        </w:tc>
      </w:tr>
      <w:tr w14:paraId="16D0183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27" w:type="pct"/>
            <w:shd w:val="clear" w:color="auto" w:fill="auto"/>
            <w:vAlign w:val="center"/>
          </w:tcPr>
          <w:p w14:paraId="6C6041C9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在线PH传感器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0BF6544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原理：玻璃电极法</w:t>
            </w:r>
          </w:p>
          <w:p w14:paraId="319D6EEB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量程：0-14 pH</w:t>
            </w:r>
          </w:p>
          <w:p w14:paraId="53DDF003">
            <w:pPr>
              <w:spacing w:line="240" w:lineRule="auto"/>
              <w:ind w:firstLine="0" w:firstLineChars="0"/>
              <w:rPr>
                <w:rFonts w:hint="default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sz w:val="21"/>
                <w:szCs w:val="21"/>
                <w:highlight w:val="none"/>
              </w:rPr>
              <w:t>精度：±0.1 pH</w:t>
            </w:r>
          </w:p>
        </w:tc>
        <w:tc>
          <w:tcPr>
            <w:tcW w:w="1616" w:type="pct"/>
            <w:vAlign w:val="center"/>
          </w:tcPr>
          <w:p w14:paraId="288895CC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0" distR="0">
                  <wp:extent cx="225425" cy="1291590"/>
                  <wp:effectExtent l="0" t="255270" r="0" b="29654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92" t="5693" r="42466" b="8031"/>
                          <a:stretch>
                            <a:fillRect/>
                          </a:stretch>
                        </pic:blipFill>
                        <pic:spPr>
                          <a:xfrm rot="3540000">
                            <a:off x="0" y="0"/>
                            <a:ext cx="225425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BF5AC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927" w:type="pct"/>
            <w:vAlign w:val="center"/>
          </w:tcPr>
          <w:p w14:paraId="1A59AAEA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在线溶解氧传感器</w:t>
            </w:r>
          </w:p>
        </w:tc>
        <w:tc>
          <w:tcPr>
            <w:tcW w:w="2456" w:type="pct"/>
            <w:vAlign w:val="center"/>
          </w:tcPr>
          <w:p w14:paraId="74257A77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原理：荧光法</w:t>
            </w:r>
          </w:p>
          <w:p w14:paraId="5CD8234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量程：0～20.00 mg/L</w:t>
            </w:r>
          </w:p>
          <w:p w14:paraId="5DB23124">
            <w:pPr>
              <w:spacing w:line="240" w:lineRule="auto"/>
              <w:ind w:firstLine="0" w:firstLineChars="0"/>
              <w:jc w:val="both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精度：±2</w:t>
            </w:r>
          </w:p>
        </w:tc>
        <w:tc>
          <w:tcPr>
            <w:tcW w:w="1616" w:type="pct"/>
            <w:vAlign w:val="center"/>
          </w:tcPr>
          <w:p w14:paraId="629DA346">
            <w:pPr>
              <w:spacing w:line="240" w:lineRule="auto"/>
              <w:ind w:firstLine="0" w:firstLineChars="0"/>
              <w:jc w:val="center"/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00025" cy="1256665"/>
                  <wp:effectExtent l="0" t="283210" r="0" b="294005"/>
                  <wp:docPr id="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5793" t="4709" r="38342" b="6442"/>
                          <a:stretch>
                            <a:fillRect/>
                          </a:stretch>
                        </pic:blipFill>
                        <pic:spPr>
                          <a:xfrm rot="3720000">
                            <a:off x="0" y="0"/>
                            <a:ext cx="200025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DF619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927" w:type="pct"/>
            <w:shd w:val="clear" w:color="auto" w:fill="auto"/>
            <w:vAlign w:val="center"/>
          </w:tcPr>
          <w:p w14:paraId="1D83F98D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在线电导率传感器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4228931B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：接触式电极法</w:t>
            </w:r>
          </w:p>
          <w:p w14:paraId="7A97FF3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：0～5000 μS/cm</w:t>
            </w:r>
          </w:p>
          <w:p w14:paraId="52F2AF92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：读数的±1%</w:t>
            </w:r>
          </w:p>
        </w:tc>
        <w:tc>
          <w:tcPr>
            <w:tcW w:w="1616" w:type="pct"/>
            <w:vAlign w:val="center"/>
          </w:tcPr>
          <w:p w14:paraId="246AB82F">
            <w:pPr>
              <w:spacing w:line="240" w:lineRule="auto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</w:rPr>
            </w:pPr>
            <w:r>
              <w:rPr>
                <w:rFonts w:hint="eastAsia"/>
                <w:sz w:val="28"/>
                <w:szCs w:val="28"/>
                <w:highlight w:val="none"/>
              </w:rPr>
              <w:drawing>
                <wp:inline distT="0" distB="0" distL="114300" distR="114300">
                  <wp:extent cx="213995" cy="1263650"/>
                  <wp:effectExtent l="0" t="205740" r="0" b="250825"/>
                  <wp:docPr id="41" name="图片 41" descr="/tmp/webword_3698093873/upload_post_object_v2_1818898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/tmp/webword_3698093873/upload_post_object_v2_18188983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5077" t="3022" r="44981" b="9115"/>
                          <a:stretch>
                            <a:fillRect/>
                          </a:stretch>
                        </pic:blipFill>
                        <pic:spPr>
                          <a:xfrm rot="3840000">
                            <a:off x="0" y="0"/>
                            <a:ext cx="213995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2AA3B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927" w:type="pct"/>
            <w:vAlign w:val="center"/>
          </w:tcPr>
          <w:p w14:paraId="5B8FF44E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在线盐度传感器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7B888553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原理：</w:t>
            </w:r>
            <w:r>
              <w:rPr>
                <w:rFonts w:hint="eastAsia"/>
                <w:sz w:val="21"/>
                <w:szCs w:val="21"/>
                <w:highlight w:val="none"/>
              </w:rPr>
              <w:t>电极法</w:t>
            </w:r>
          </w:p>
          <w:p w14:paraId="5696FD34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量程：</w:t>
            </w:r>
            <w:r>
              <w:rPr>
                <w:rFonts w:hint="eastAsia"/>
                <w:sz w:val="21"/>
                <w:szCs w:val="21"/>
                <w:highlight w:val="none"/>
              </w:rPr>
              <w:t>0～70.0PSU</w:t>
            </w:r>
          </w:p>
          <w:p w14:paraId="594CFB4E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sz w:val="21"/>
                <w:szCs w:val="21"/>
                <w:highlight w:val="none"/>
              </w:rPr>
              <w:t>精度：</w:t>
            </w:r>
            <w:r>
              <w:rPr>
                <w:rFonts w:hint="eastAsia"/>
                <w:sz w:val="21"/>
                <w:szCs w:val="21"/>
                <w:highlight w:val="none"/>
              </w:rPr>
              <w:t>读数的±1.5%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2BA71203">
            <w:pPr>
              <w:spacing w:line="240" w:lineRule="auto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/>
                <w:sz w:val="52"/>
                <w:szCs w:val="52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b/>
                <w:sz w:val="52"/>
                <w:szCs w:val="52"/>
                <w:highlight w:val="none"/>
              </w:rPr>
              <w:drawing>
                <wp:inline distT="0" distB="0" distL="0" distR="0">
                  <wp:extent cx="188595" cy="1266190"/>
                  <wp:effectExtent l="0" t="249555" r="0" b="262890"/>
                  <wp:docPr id="10" name="图片 10" descr="D:\QQ文件\43B5050B0C9FE04D2A08D09BD017DCC2_750_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\QQ文件\43B5050B0C9FE04D2A08D09BD017DCC2_750_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24" t="2118" r="40402" b="2942"/>
                          <a:stretch>
                            <a:fillRect/>
                          </a:stretch>
                        </pic:blipFill>
                        <pic:spPr>
                          <a:xfrm rot="3960000">
                            <a:off x="0" y="0"/>
                            <a:ext cx="188595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1EF87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927" w:type="pct"/>
            <w:shd w:val="clear" w:color="auto" w:fill="auto"/>
            <w:vAlign w:val="center"/>
          </w:tcPr>
          <w:p w14:paraId="73780CEA">
            <w:pPr>
              <w:spacing w:line="240" w:lineRule="auto"/>
              <w:ind w:firstLine="0" w:firstLineChars="0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在线氨氮传感器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356209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：离子选择电极法</w:t>
            </w:r>
          </w:p>
          <w:p w14:paraId="05E850B8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：0～100.00 mg/L</w:t>
            </w:r>
          </w:p>
          <w:p w14:paraId="65E388CF">
            <w:pPr>
              <w:spacing w:line="240" w:lineRule="auto"/>
              <w:ind w:firstLine="0" w:firstLineChars="0"/>
              <w:rPr>
                <w:rFonts w:hint="eastAsia" w:ascii="宋体" w:hAnsi="宋体" w:eastAsia="宋体" w:cs="宋体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：读数的±10%或±1 mg/L 以大者为准</w:t>
            </w:r>
          </w:p>
        </w:tc>
        <w:tc>
          <w:tcPr>
            <w:tcW w:w="1616" w:type="pct"/>
            <w:vAlign w:val="center"/>
          </w:tcPr>
          <w:p w14:paraId="2BC408CB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74320" cy="1275715"/>
                  <wp:effectExtent l="3175" t="238760" r="16510" b="248920"/>
                  <wp:docPr id="1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4020000">
                            <a:off x="0" y="0"/>
                            <a:ext cx="274320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7C546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</w:trPr>
        <w:tc>
          <w:tcPr>
            <w:tcW w:w="927" w:type="pct"/>
            <w:vAlign w:val="center"/>
          </w:tcPr>
          <w:p w14:paraId="681B4BA6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在线硝酸盐传感器</w:t>
            </w:r>
          </w:p>
        </w:tc>
        <w:tc>
          <w:tcPr>
            <w:tcW w:w="2456" w:type="pct"/>
            <w:vAlign w:val="center"/>
          </w:tcPr>
          <w:p w14:paraId="41617E9F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：离子选择电极法</w:t>
            </w:r>
          </w:p>
          <w:p w14:paraId="63D5C6E6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：0~100.0 mg/L</w:t>
            </w:r>
          </w:p>
          <w:p w14:paraId="28C650AA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：读数的±5%或±2 mg/L以大者为准</w:t>
            </w:r>
          </w:p>
        </w:tc>
        <w:tc>
          <w:tcPr>
            <w:tcW w:w="1616" w:type="pct"/>
            <w:vAlign w:val="center"/>
          </w:tcPr>
          <w:p w14:paraId="6524B68E">
            <w:pPr>
              <w:spacing w:line="240" w:lineRule="auto"/>
              <w:ind w:firstLine="0" w:firstLineChars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eastAsiaTheme="minorEastAsia"/>
                <w:highlight w:val="none"/>
                <w:lang w:eastAsia="zh-CN"/>
              </w:rPr>
              <w:drawing>
                <wp:inline distT="0" distB="0" distL="114300" distR="114300">
                  <wp:extent cx="219710" cy="1325245"/>
                  <wp:effectExtent l="0" t="240665" r="7620" b="240665"/>
                  <wp:docPr id="23" name="图片 23" descr="NON-20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NON-206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7139" t="3385" r="43157" b="7701"/>
                          <a:stretch>
                            <a:fillRect/>
                          </a:stretch>
                        </pic:blipFill>
                        <pic:spPr>
                          <a:xfrm rot="4080000">
                            <a:off x="0" y="0"/>
                            <a:ext cx="219710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50C27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27" w:type="pct"/>
            <w:vAlign w:val="center"/>
          </w:tcPr>
          <w:p w14:paraId="44FE783E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在线亚硝酸盐传感器</w:t>
            </w:r>
          </w:p>
        </w:tc>
        <w:tc>
          <w:tcPr>
            <w:tcW w:w="2456" w:type="pct"/>
            <w:vAlign w:val="center"/>
          </w:tcPr>
          <w:p w14:paraId="397C0241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原理</w:t>
            </w:r>
            <w:r>
              <w:rPr>
                <w:rFonts w:hint="eastAsia"/>
                <w:sz w:val="21"/>
                <w:szCs w:val="21"/>
                <w:highlight w:val="none"/>
              </w:rPr>
              <w:t>：离子选择电极法</w:t>
            </w:r>
          </w:p>
          <w:p w14:paraId="444E08B2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量程</w:t>
            </w:r>
            <w:r>
              <w:rPr>
                <w:rFonts w:hint="eastAsia"/>
                <w:sz w:val="21"/>
                <w:szCs w:val="21"/>
                <w:highlight w:val="none"/>
              </w:rPr>
              <w:t>：0~0.200 mg/L</w:t>
            </w:r>
          </w:p>
          <w:p w14:paraId="4EFFE01E">
            <w:pPr>
              <w:spacing w:line="240" w:lineRule="auto"/>
              <w:ind w:firstLine="0" w:firstLineChars="0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sz w:val="21"/>
                <w:szCs w:val="21"/>
                <w:highlight w:val="none"/>
              </w:rPr>
              <w:t>精度</w:t>
            </w:r>
            <w:r>
              <w:rPr>
                <w:rFonts w:hint="eastAsia"/>
                <w:sz w:val="21"/>
                <w:szCs w:val="21"/>
                <w:highlight w:val="none"/>
              </w:rPr>
              <w:t>：±5%</w:t>
            </w:r>
          </w:p>
        </w:tc>
        <w:tc>
          <w:tcPr>
            <w:tcW w:w="1616" w:type="pct"/>
            <w:vAlign w:val="center"/>
          </w:tcPr>
          <w:p w14:paraId="194DF092">
            <w:pPr>
              <w:spacing w:line="240" w:lineRule="auto"/>
              <w:ind w:firstLine="0" w:firstLineChars="0"/>
              <w:jc w:val="center"/>
              <w:rPr>
                <w:rFonts w:hint="eastAsia"/>
                <w:highlight w:val="none"/>
              </w:rPr>
            </w:pPr>
            <w:r>
              <w:rPr>
                <w:rFonts w:hint="eastAsia" w:eastAsiaTheme="minorEastAsia"/>
                <w:highlight w:val="none"/>
                <w:lang w:eastAsia="zh-CN"/>
              </w:rPr>
              <w:drawing>
                <wp:inline distT="0" distB="0" distL="114300" distR="114300">
                  <wp:extent cx="219710" cy="1325245"/>
                  <wp:effectExtent l="0" t="240665" r="7620" b="240665"/>
                  <wp:docPr id="30" name="图片 30" descr="NON-20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NON-206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7139" t="3385" r="43157" b="7701"/>
                          <a:stretch>
                            <a:fillRect/>
                          </a:stretch>
                        </pic:blipFill>
                        <pic:spPr>
                          <a:xfrm rot="4080000">
                            <a:off x="0" y="0"/>
                            <a:ext cx="219710" cy="13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D8B19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927" w:type="pct"/>
            <w:shd w:val="clear" w:color="auto" w:fill="auto"/>
            <w:vAlign w:val="center"/>
          </w:tcPr>
          <w:p w14:paraId="186118E9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手持</w:t>
            </w:r>
            <w:r>
              <w:rPr>
                <w:rFonts w:hint="eastAsia"/>
                <w:sz w:val="21"/>
                <w:szCs w:val="21"/>
                <w:highlight w:val="none"/>
              </w:rPr>
              <w:t>式多参数检测仪</w:t>
            </w:r>
          </w:p>
        </w:tc>
        <w:tc>
          <w:tcPr>
            <w:tcW w:w="2456" w:type="pct"/>
            <w:shd w:val="clear" w:color="auto" w:fill="auto"/>
            <w:vAlign w:val="center"/>
          </w:tcPr>
          <w:p w14:paraId="69162991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显示：3.3 英寸单色液晶显示屏</w:t>
            </w:r>
          </w:p>
          <w:p w14:paraId="1387B486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外形尺寸：200mm*101mm*36mm</w:t>
            </w:r>
          </w:p>
          <w:p w14:paraId="29574F48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防护等级：IP67</w:t>
            </w:r>
          </w:p>
          <w:p w14:paraId="300C2C97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连接设备：全系传感器式设备</w:t>
            </w:r>
          </w:p>
        </w:tc>
        <w:tc>
          <w:tcPr>
            <w:tcW w:w="1616" w:type="pct"/>
            <w:shd w:val="clear" w:color="auto" w:fill="auto"/>
            <w:vAlign w:val="center"/>
          </w:tcPr>
          <w:p w14:paraId="7A0D9C93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rFonts w:hint="eastAsia"/>
                <w:sz w:val="28"/>
                <w:szCs w:val="28"/>
                <w:highlight w:val="none"/>
                <w:lang w:bidi="ar"/>
              </w:rPr>
              <w:drawing>
                <wp:inline distT="0" distB="0" distL="114300" distR="114300">
                  <wp:extent cx="613410" cy="1115695"/>
                  <wp:effectExtent l="0" t="0" r="11430" b="12065"/>
                  <wp:docPr id="31" name="图片 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75145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1580" w:type="dxa"/>
            <w:shd w:val="clear" w:color="auto" w:fill="auto"/>
            <w:vAlign w:val="center"/>
          </w:tcPr>
          <w:p w14:paraId="6EB7A8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笔式PH计</w:t>
            </w:r>
          </w:p>
        </w:tc>
        <w:tc>
          <w:tcPr>
            <w:tcW w:w="4185" w:type="dxa"/>
            <w:shd w:val="clear" w:color="auto" w:fill="auto"/>
            <w:vAlign w:val="center"/>
          </w:tcPr>
          <w:p w14:paraId="203CB1E8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测量范围：0.1～14.0PH</w:t>
            </w:r>
          </w:p>
          <w:p w14:paraId="2F99ED40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分辨率：0.1PH</w:t>
            </w:r>
          </w:p>
          <w:p w14:paraId="6CB64E20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精度：±0.2PH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2D5A5D61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rFonts w:hint="eastAsia" w:ascii="Times New Roman" w:hAnsi="Times New Roman" w:eastAsia="宋体" w:cs="Times New Roman"/>
                <w:bCs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17170" cy="1073785"/>
                  <wp:effectExtent l="0" t="258445" r="0" b="271145"/>
                  <wp:docPr id="6" name="图片 6" descr="9b2692f9f002b75de3ccdc4b6e73a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b2692f9f002b75de3ccdc4b6e73a28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36124" t="14414" r="42873" b="7946"/>
                          <a:stretch>
                            <a:fillRect/>
                          </a:stretch>
                        </pic:blipFill>
                        <pic:spPr>
                          <a:xfrm rot="3300000">
                            <a:off x="0" y="0"/>
                            <a:ext cx="217170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0E282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1580" w:type="dxa"/>
            <w:shd w:val="clear" w:color="auto" w:fill="auto"/>
            <w:vAlign w:val="center"/>
          </w:tcPr>
          <w:p w14:paraId="7B36B4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笔式电导率计</w:t>
            </w:r>
          </w:p>
        </w:tc>
        <w:tc>
          <w:tcPr>
            <w:tcW w:w="4185" w:type="dxa"/>
            <w:shd w:val="clear" w:color="auto" w:fill="auto"/>
            <w:vAlign w:val="center"/>
          </w:tcPr>
          <w:p w14:paraId="542FA4C7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测量范围：0-2000uS/cm</w:t>
            </w:r>
          </w:p>
          <w:p w14:paraId="2FC9B916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分辨率：1uS/cm</w:t>
            </w:r>
          </w:p>
          <w:p w14:paraId="4178ACCF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</w:rPr>
              <w:t>精度：± 2%F.S.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41150587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73685" cy="1205230"/>
                  <wp:effectExtent l="0" t="328295" r="0" b="32766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7183" t="4256" r="34772" b="4103"/>
                          <a:stretch>
                            <a:fillRect/>
                          </a:stretch>
                        </pic:blipFill>
                        <pic:spPr>
                          <a:xfrm rot="3240000">
                            <a:off x="0" y="0"/>
                            <a:ext cx="273685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30DC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1580" w:type="dxa"/>
            <w:shd w:val="clear" w:color="auto" w:fill="auto"/>
            <w:vAlign w:val="center"/>
          </w:tcPr>
          <w:p w14:paraId="21CE4491">
            <w:pPr>
              <w:spacing w:line="240" w:lineRule="auto"/>
              <w:ind w:firstLine="0" w:firstLineChars="0"/>
              <w:jc w:val="center"/>
              <w:rPr>
                <w:rFonts w:hint="eastAsia"/>
                <w:sz w:val="21"/>
                <w:szCs w:val="21"/>
                <w:highlight w:val="none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蓝精灵</w:t>
            </w:r>
          </w:p>
        </w:tc>
        <w:tc>
          <w:tcPr>
            <w:tcW w:w="4185" w:type="dxa"/>
            <w:shd w:val="clear" w:color="auto" w:fill="auto"/>
            <w:vAlign w:val="center"/>
          </w:tcPr>
          <w:p w14:paraId="1266291B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输出方式：ASCII码蓝牙传输</w:t>
            </w:r>
          </w:p>
          <w:p w14:paraId="6BCB4957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输入方式：十六进制蓝牙传输</w:t>
            </w:r>
          </w:p>
          <w:p w14:paraId="487F085A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传输距离：空旷无阻隔地带，约50米</w:t>
            </w:r>
          </w:p>
          <w:p w14:paraId="313C9328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存储容量：4M字节</w:t>
            </w:r>
          </w:p>
          <w:p w14:paraId="171FFB41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工作时长：定时读取 约7天</w:t>
            </w:r>
          </w:p>
          <w:p w14:paraId="1EECC0E8">
            <w:pPr>
              <w:spacing w:line="240" w:lineRule="auto"/>
              <w:ind w:firstLine="0" w:firstLineChars="0"/>
              <w:jc w:val="left"/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none"/>
                <w:lang w:val="en-US" w:eastAsia="zh-CN"/>
              </w:rPr>
              <w:t>电源：3.7V/3000mAh 聚合物锂电池 5V充电</w:t>
            </w:r>
          </w:p>
        </w:tc>
        <w:tc>
          <w:tcPr>
            <w:tcW w:w="2754" w:type="dxa"/>
            <w:shd w:val="clear" w:color="auto" w:fill="auto"/>
            <w:vAlign w:val="center"/>
          </w:tcPr>
          <w:p w14:paraId="78638997">
            <w:pPr>
              <w:autoSpaceDE w:val="0"/>
              <w:spacing w:beforeAutospacing="1" w:afterAutospacing="1"/>
              <w:ind w:firstLine="0" w:firstLineChars="0"/>
              <w:jc w:val="center"/>
              <w:rPr>
                <w:rFonts w:hint="eastAsia"/>
                <w:sz w:val="28"/>
                <w:szCs w:val="28"/>
                <w:highlight w:val="none"/>
                <w:lang w:bidi="ar"/>
              </w:rPr>
            </w:pPr>
            <w:r>
              <w:rPr>
                <w:rFonts w:ascii="Times New Roman" w:hAnsi="Times New Roman"/>
                <w:highlight w:val="none"/>
              </w:rPr>
              <w:drawing>
                <wp:inline distT="0" distB="0" distL="114300" distR="114300">
                  <wp:extent cx="227965" cy="906780"/>
                  <wp:effectExtent l="0" t="0" r="635" b="7620"/>
                  <wp:docPr id="5" name="图片 5" descr="lALPDgQ9y9q9fTbNCNjNBNo_1242_2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lALPDgQ9y9q9fTbNCNjNBNo_1242_226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9852" t="5162" r="29593" b="6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FFF676">
      <w:pPr>
        <w:rPr>
          <w:rFonts w:hint="eastAsia"/>
          <w:color w:val="auto"/>
          <w:highlight w:val="none"/>
          <w:lang w:val="en-US" w:eastAsia="zh-CN"/>
        </w:rPr>
      </w:pPr>
    </w:p>
    <w:p w14:paraId="31AD675E">
      <w:pPr>
        <w:pStyle w:val="3"/>
        <w:bidi w:val="0"/>
        <w:rPr>
          <w:rFonts w:hint="eastAsia"/>
          <w:color w:val="auto"/>
          <w:highlight w:val="none"/>
          <w:lang w:val="en-US" w:eastAsia="zh-CN"/>
        </w:rPr>
      </w:pPr>
      <w:bookmarkStart w:id="14" w:name="_Toc279"/>
      <w:r>
        <w:rPr>
          <w:rFonts w:hint="eastAsia"/>
          <w:color w:val="auto"/>
          <w:highlight w:val="none"/>
          <w:lang w:val="en-US" w:eastAsia="zh-CN"/>
        </w:rPr>
        <w:t>场景适配性</w:t>
      </w:r>
      <w:bookmarkEnd w:id="14"/>
    </w:p>
    <w:p w14:paraId="16EA1F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b/>
          <w:bCs/>
          <w:highlight w:val="none"/>
          <w:lang w:val="en-US" w:eastAsia="zh-CN"/>
        </w:rPr>
      </w:pPr>
      <w:r>
        <w:rPr>
          <w:rFonts w:hint="default"/>
          <w:b/>
          <w:bCs/>
          <w:highlight w:val="none"/>
          <w:lang w:val="en-US" w:eastAsia="zh-CN"/>
        </w:rPr>
        <w:t>1. 多参数动态监测适配</w:t>
      </w:r>
    </w:p>
    <w:p w14:paraId="221F09DB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针对塘口养殖水质参数多样化的特点，系统集成PH、溶解氧、氨氮、亚硝酸盐等核心参数传感器，通过玻璃电极法、荧光法等多原理融合检测技术，可同步获取水体的理化指标与生物代谢产物数据。其中，盐度传感器（0-70PSU量程）适配沿海咸淡水混养场景，硝氮传感器（±5%精度）满足高密度投喂塘口的富营养化监测需求，实现从淡水鱼塘到虾蟹混养塘的全谱系覆盖。</w:t>
      </w:r>
    </w:p>
    <w:p w14:paraId="325275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b/>
          <w:bCs/>
          <w:highlight w:val="none"/>
          <w:lang w:val="en-US" w:eastAsia="zh-CN"/>
        </w:rPr>
      </w:pPr>
      <w:r>
        <w:rPr>
          <w:rFonts w:hint="default"/>
          <w:b/>
          <w:bCs/>
          <w:highlight w:val="none"/>
          <w:lang w:val="en-US" w:eastAsia="zh-CN"/>
        </w:rPr>
        <w:t xml:space="preserve"> 2. 极端环境运行保障</w:t>
      </w:r>
    </w:p>
    <w:p w14:paraId="0E636446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针对暴雨、高温、高湿等典型塘口环境，设备采用IP68防护等级壳体与防生物附着设计。溶解氧传感器的荧光膜抗污染技术可有效应对藻类滋生，电导率传感器的自清洁电极结构适应水体悬浮物波动。系统内置温度补偿算法，满足北方冬季冰封期与南方夏季高温期的连续监测需求。</w:t>
      </w:r>
    </w:p>
    <w:p w14:paraId="774092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b/>
          <w:bCs/>
          <w:highlight w:val="none"/>
          <w:lang w:val="en-US" w:eastAsia="zh-CN"/>
        </w:rPr>
      </w:pPr>
      <w:r>
        <w:rPr>
          <w:rFonts w:hint="default"/>
          <w:b/>
          <w:bCs/>
          <w:highlight w:val="none"/>
          <w:lang w:val="en-US" w:eastAsia="zh-CN"/>
        </w:rPr>
        <w:t>3. 智能化分级配置</w:t>
      </w:r>
    </w:p>
    <w:p w14:paraId="57C1343C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集约化养殖场景：配置岸边水质监测微站，通过物联网实现多塘口数据集中管理，支持与增氧机、投饵机联动控制。当溶解氧低于4mg/L时自动触发增氧设备，氨氮超标时启动换水系统，降低规模化养殖风险。</w:t>
      </w:r>
    </w:p>
    <w:p w14:paraId="584D9A7C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中小型散户场景：提供便携式检测仪+蓝精灵蓝牙模块的轻量化方案，养殖户可通过手机APP实时查看数据，笔式PH计（±0.2PH精度）满足日常巡检需求，设备成本降低60%以上。</w:t>
      </w:r>
    </w:p>
    <w:p w14:paraId="48F0EB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b/>
          <w:bCs/>
          <w:highlight w:val="none"/>
          <w:lang w:val="en-US" w:eastAsia="zh-CN"/>
        </w:rPr>
      </w:pPr>
      <w:r>
        <w:rPr>
          <w:rFonts w:hint="default"/>
          <w:b/>
          <w:bCs/>
          <w:highlight w:val="none"/>
          <w:lang w:val="en-US" w:eastAsia="zh-CN"/>
        </w:rPr>
        <w:t>4. 区域性水质特征适配</w:t>
      </w:r>
    </w:p>
    <w:p w14:paraId="795CD276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针对不同地域水质特性提供定制化校准方案：在江浙软水区域（电导率＜500μS/cm），采用低离子强度校准模式；对华北高硬度水体（电导率＞2000μS/cm），启动抗干扰算法消除钙镁离子影响。系统内置长三角、珠三角等6大养殖区的典型水质模型库，可自动匹配最佳监测策略。</w:t>
      </w:r>
    </w:p>
    <w:p w14:paraId="4AAEA7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b/>
          <w:bCs/>
          <w:highlight w:val="none"/>
          <w:lang w:val="en-US" w:eastAsia="zh-CN"/>
        </w:rPr>
      </w:pPr>
      <w:r>
        <w:rPr>
          <w:rFonts w:hint="default"/>
          <w:b/>
          <w:bCs/>
          <w:highlight w:val="none"/>
          <w:lang w:val="en-US" w:eastAsia="zh-CN"/>
        </w:rPr>
        <w:t xml:space="preserve"> 5. 全周期管理支持</w:t>
      </w:r>
    </w:p>
    <w:p w14:paraId="4E07FAD5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从育苗期到成鱼期的水质变化规律，系统设置差异化预警阈值：育苗阶段溶解氧阈值设为5mg/L（高于成鱼期4mg/L标准），亚硝酸盐监测灵敏度提升至0.01mg/L级别。配套的维护预警功能自动提示传感器校准周期，氨氮传感器每半年更换的设计契合养殖清塘节奏，降低运维中断风险。</w:t>
      </w:r>
    </w:p>
    <w:p w14:paraId="759F5B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b/>
          <w:bCs/>
          <w:highlight w:val="none"/>
          <w:lang w:val="en-US" w:eastAsia="zh-CN"/>
        </w:rPr>
      </w:pPr>
      <w:r>
        <w:rPr>
          <w:rFonts w:hint="default"/>
          <w:b/>
          <w:bCs/>
          <w:highlight w:val="none"/>
          <w:lang w:val="en-US" w:eastAsia="zh-CN"/>
        </w:rPr>
        <w:t>6. 应急响应机制</w:t>
      </w:r>
    </w:p>
    <w:p w14:paraId="5E088768">
      <w:pPr>
        <w:bidi w:val="0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当监测到突发性水质恶化（如PH骤变＞1.5/小时），系统同步触发三级响应：本地声光报警、短信推送告警、云端生成应急处理预案（包括增氧剂投放量计算、换水比例建议等）。移动端APP内置全国200+水产技术推广站联络通道，实现监测-预警-处置闭环管理。</w:t>
      </w:r>
    </w:p>
    <w:p w14:paraId="7E29757E">
      <w:pPr>
        <w:bidi w:val="0"/>
        <w:rPr>
          <w:rFonts w:hint="default"/>
          <w:highlight w:val="none"/>
          <w:lang w:val="en-US" w:eastAsia="zh-CN"/>
        </w:rPr>
      </w:pPr>
    </w:p>
    <w:p w14:paraId="7A6B9756">
      <w:pPr>
        <w:pStyle w:val="2"/>
        <w:bidi w:val="0"/>
        <w:rPr>
          <w:rFonts w:hint="eastAsia"/>
          <w:highlight w:val="none"/>
          <w:lang w:val="en-US" w:eastAsia="zh-CN"/>
        </w:rPr>
      </w:pPr>
      <w:bookmarkStart w:id="15" w:name="_Toc27010"/>
      <w:bookmarkStart w:id="16" w:name="_Toc15746"/>
      <w:r>
        <w:rPr>
          <w:rFonts w:hint="eastAsia"/>
          <w:highlight w:val="none"/>
          <w:lang w:val="en-US" w:eastAsia="zh-CN"/>
        </w:rPr>
        <w:t>设备寿命及维护</w:t>
      </w:r>
      <w:bookmarkEnd w:id="15"/>
      <w:bookmarkEnd w:id="16"/>
    </w:p>
    <w:p w14:paraId="4274C5D3">
      <w:pPr>
        <w:pStyle w:val="3"/>
        <w:bidi w:val="0"/>
        <w:rPr>
          <w:rFonts w:hint="default"/>
          <w:color w:val="auto"/>
          <w:highlight w:val="none"/>
          <w:lang w:val="en-US" w:eastAsia="zh-CN"/>
        </w:rPr>
      </w:pPr>
      <w:bookmarkStart w:id="17" w:name="_Toc22001"/>
      <w:r>
        <w:rPr>
          <w:rFonts w:hint="eastAsia"/>
          <w:color w:val="auto"/>
          <w:highlight w:val="none"/>
          <w:lang w:val="en-US" w:eastAsia="zh-CN"/>
        </w:rPr>
        <w:t>设备寿命周期与维护周期表</w:t>
      </w:r>
      <w:bookmarkEnd w:id="17"/>
    </w:p>
    <w:tbl>
      <w:tblPr>
        <w:tblStyle w:val="19"/>
        <w:tblW w:w="4998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9"/>
        <w:gridCol w:w="2839"/>
        <w:gridCol w:w="2841"/>
      </w:tblGrid>
      <w:tr w14:paraId="56A89A5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723FA885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设备名称</w:t>
            </w:r>
          </w:p>
        </w:tc>
        <w:tc>
          <w:tcPr>
            <w:tcW w:w="1666" w:type="pct"/>
            <w:vAlign w:val="center"/>
          </w:tcPr>
          <w:p w14:paraId="0F30D853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维护周期</w:t>
            </w:r>
          </w:p>
        </w:tc>
        <w:tc>
          <w:tcPr>
            <w:tcW w:w="1667" w:type="pct"/>
            <w:vAlign w:val="center"/>
          </w:tcPr>
          <w:p w14:paraId="5FE7B21B"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 w:val="21"/>
                <w:szCs w:val="21"/>
                <w:highlight w:val="none"/>
              </w:rPr>
              <w:t>使用寿命</w:t>
            </w:r>
          </w:p>
        </w:tc>
      </w:tr>
      <w:tr w14:paraId="3D55ACF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66" w:type="pct"/>
            <w:shd w:val="clear" w:color="auto" w:fill="auto"/>
            <w:vAlign w:val="center"/>
          </w:tcPr>
          <w:p w14:paraId="1D36B27C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在线PH传感器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566A0A93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3D2486D7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highlight w:val="none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1年</w:t>
            </w:r>
          </w:p>
        </w:tc>
      </w:tr>
      <w:tr w14:paraId="3A4211E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58F850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在线溶解氧传感器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18748F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1AAF73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3B76BED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0E3A6E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auto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在线电导率传感器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49927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1A1E23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6A62DF5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3FD297FB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在线盐度传感器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1E721B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5D925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2-3年</w:t>
            </w:r>
          </w:p>
        </w:tc>
      </w:tr>
      <w:tr w14:paraId="7E7F0AE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67125D52">
            <w:pPr>
              <w:spacing w:line="240" w:lineRule="auto"/>
              <w:ind w:firstLine="0" w:firstLineChars="0"/>
              <w:jc w:val="center"/>
              <w:rPr>
                <w:rFonts w:hint="eastAsia"/>
                <w:sz w:val="22"/>
                <w:szCs w:val="22"/>
                <w:highlight w:val="none"/>
              </w:rPr>
            </w:pPr>
            <w:r>
              <w:rPr>
                <w:rFonts w:hint="eastAsia"/>
                <w:sz w:val="22"/>
                <w:szCs w:val="22"/>
                <w:highlight w:val="none"/>
              </w:rPr>
              <w:t>在线氨氮传感器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A9E57E8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AD0486F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半年</w:t>
            </w:r>
          </w:p>
        </w:tc>
      </w:tr>
      <w:tr w14:paraId="6D95BEE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38E3E658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  <w:t>在线</w:t>
            </w:r>
            <w:r>
              <w:rPr>
                <w:rFonts w:hint="eastAsia" w:cs="宋体"/>
                <w:sz w:val="22"/>
                <w:szCs w:val="22"/>
                <w:highlight w:val="none"/>
                <w:lang w:val="en-US" w:eastAsia="zh-CN"/>
              </w:rPr>
              <w:t>硝氮</w:t>
            </w:r>
            <w:r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  <w:t>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6CBBB456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291631C1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半年</w:t>
            </w:r>
          </w:p>
        </w:tc>
      </w:tr>
      <w:tr w14:paraId="56042AE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6" w:type="pct"/>
            <w:vAlign w:val="center"/>
          </w:tcPr>
          <w:p w14:paraId="2B4DF9E7"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highlight w:val="none"/>
              </w:rPr>
              <w:t>在线亚硝酸盐传感器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34583708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3-4个月/次</w:t>
            </w:r>
          </w:p>
        </w:tc>
        <w:tc>
          <w:tcPr>
            <w:tcW w:w="1667" w:type="pct"/>
            <w:shd w:val="clear" w:color="auto" w:fill="auto"/>
            <w:vAlign w:val="center"/>
          </w:tcPr>
          <w:p w14:paraId="58282F4C">
            <w:pPr>
              <w:widowControl/>
              <w:spacing w:line="240" w:lineRule="auto"/>
              <w:ind w:firstLine="0" w:firstLineChars="0"/>
              <w:jc w:val="center"/>
              <w:textAlignment w:val="center"/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</w:pPr>
            <w:r>
              <w:rPr>
                <w:rFonts w:hint="eastAsia"/>
                <w:color w:val="000000"/>
                <w:kern w:val="0"/>
                <w:sz w:val="22"/>
                <w:szCs w:val="22"/>
                <w:highlight w:val="none"/>
                <w:lang w:bidi="ar"/>
              </w:rPr>
              <w:t>半年</w:t>
            </w:r>
          </w:p>
        </w:tc>
      </w:tr>
    </w:tbl>
    <w:p w14:paraId="5F941755">
      <w:pPr>
        <w:rPr>
          <w:rFonts w:hint="default"/>
          <w:highlight w:val="none"/>
          <w:lang w:val="en-US" w:eastAsia="zh-CN"/>
        </w:rPr>
      </w:pPr>
    </w:p>
    <w:p w14:paraId="471B1251">
      <w:pPr>
        <w:pStyle w:val="3"/>
        <w:rPr>
          <w:rFonts w:hint="eastAsia"/>
          <w:color w:val="auto"/>
          <w:highlight w:val="none"/>
        </w:rPr>
      </w:pPr>
      <w:bookmarkStart w:id="18" w:name="_Toc31643"/>
      <w:bookmarkStart w:id="19" w:name="_Toc18118"/>
      <w:bookmarkStart w:id="20" w:name="_Toc2372"/>
      <w:bookmarkStart w:id="21" w:name="_Toc16803"/>
      <w:r>
        <w:rPr>
          <w:rFonts w:hint="eastAsia"/>
          <w:color w:val="auto"/>
          <w:highlight w:val="none"/>
          <w:lang w:val="en-US" w:eastAsia="zh-CN"/>
        </w:rPr>
        <w:t>设备</w:t>
      </w:r>
      <w:r>
        <w:rPr>
          <w:rFonts w:hint="eastAsia"/>
          <w:color w:val="auto"/>
          <w:highlight w:val="none"/>
        </w:rPr>
        <w:t>日常维护</w:t>
      </w:r>
      <w:bookmarkEnd w:id="18"/>
      <w:bookmarkEnd w:id="19"/>
      <w:bookmarkEnd w:id="20"/>
      <w:bookmarkEnd w:id="21"/>
    </w:p>
    <w:p w14:paraId="35ED99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在线PH传感器</w:t>
      </w:r>
    </w:p>
    <w:p w14:paraId="2516CE02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（1）测量前用蒸馏水洗净并擦干传感器，插入被测液1/3深度，防杂质污染。</w:t>
      </w:r>
    </w:p>
    <w:p w14:paraId="28A20722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（2）闲置保养，洗净后浸泡于3mol/L氯化钾溶液中（保护套或容器），维持电极性能。</w:t>
      </w:r>
    </w:p>
    <w:p w14:paraId="15DFAA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在线溶解氧传感器</w:t>
      </w:r>
    </w:p>
    <w:p w14:paraId="1B768314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（1）使用后及时安装电极保护套，保证套内海绵湿润；新传感器需在自来水中活化24小时，确保测试准确性。</w:t>
      </w:r>
    </w:p>
    <w:p w14:paraId="65200647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（2）测试时将传感器置于水中，避免长时间测试空气；测量和校准时，防止荧光膜表面附着气泡；测试中避免荧光膜头受摩擦刮伤，野外测试时膜头离水底30公分以上。</w:t>
      </w:r>
    </w:p>
    <w:p w14:paraId="162EC12B">
      <w:pPr>
        <w:bidi w:val="0"/>
        <w:rPr>
          <w:rFonts w:hint="eastAsia"/>
          <w:b w:val="0"/>
          <w:bCs w:val="0"/>
          <w:highlight w:val="none"/>
        </w:rPr>
      </w:pPr>
      <w:r>
        <w:rPr>
          <w:rFonts w:hint="eastAsia"/>
          <w:b w:val="0"/>
          <w:bCs w:val="0"/>
          <w:highlight w:val="none"/>
        </w:rPr>
        <w:t>（3）检查线缆是否绷紧或与硬物摩擦，确保正常安装时线缆处于合适状态，防止内部电线断裂或表皮破损进水。</w:t>
      </w:r>
    </w:p>
    <w:p w14:paraId="0C46AA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在线电导率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/盐度</w:t>
      </w:r>
      <w:r>
        <w:rPr>
          <w:rFonts w:hint="eastAsia" w:ascii="宋体" w:hAnsi="宋体" w:eastAsia="宋体" w:cs="宋体"/>
          <w:b/>
          <w:bCs/>
          <w:highlight w:val="none"/>
        </w:rPr>
        <w:t>传感器</w:t>
      </w:r>
    </w:p>
    <w:p w14:paraId="123065F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（1）用软毛刷清除附着物（防划伤），蒸馏水洗净后校准。  </w:t>
      </w:r>
    </w:p>
    <w:p w14:paraId="12EF5C8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（2）根据工况调整校准频率，确保测量准确性。</w:t>
      </w:r>
    </w:p>
    <w:p w14:paraId="1A4D51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在线氨氮传感器</w:t>
      </w:r>
    </w:p>
    <w:p w14:paraId="4C957267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（1）摘掉电极保护套，在清水中浸泡2小时活化，去离子水洗净后测试，初次用需在清水中泡30分钟以上、12小时以内。</w:t>
      </w:r>
    </w:p>
    <w:p w14:paraId="72236911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（2）长期（超两周）不用干燥储存，套上保护帽；短期不用放清水中浸泡；几天不用用含保护液外壳保存，下次用前清水泡30分钟以上。</w:t>
      </w:r>
    </w:p>
    <w:p w14:paraId="705A9D48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（3）检查接线端子干燥情况，沾污时用无水酒精擦拭吹干。</w:t>
      </w:r>
    </w:p>
    <w:p w14:paraId="5E3C8F29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（4）PVC膜半透明或有沉积物，用蒸馏水（或去离子水）冲洗。</w:t>
      </w:r>
    </w:p>
    <w:p w14:paraId="7CD3206B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（5）电极使用久出现测量误差，须进行校正。</w:t>
      </w:r>
    </w:p>
    <w:p w14:paraId="7C68B262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（6）校准时放校准液中轻晃、静置，待读数稳定（约5分钟）再校准。</w:t>
      </w:r>
    </w:p>
    <w:p w14:paraId="06BB32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</w:t>
      </w:r>
      <w:r>
        <w:rPr>
          <w:rFonts w:hint="eastAsia" w:cs="宋体"/>
          <w:b/>
          <w:bCs/>
          <w:highlight w:val="none"/>
          <w:lang w:val="en-US" w:eastAsia="zh-CN"/>
        </w:rPr>
        <w:t>硝氮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亚硝酸盐传感器</w:t>
      </w:r>
    </w:p>
    <w:p w14:paraId="781455B6">
      <w:pPr>
        <w:pStyle w:val="42"/>
        <w:suppressAutoHyphens w:val="0"/>
        <w:ind w:firstLine="48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  <w:lang w:eastAsia="zh-CN"/>
        </w:rPr>
        <w:t>（</w:t>
      </w:r>
      <w:r>
        <w:rPr>
          <w:rFonts w:hint="eastAsia" w:ascii="宋体" w:hAnsi="宋体"/>
          <w:sz w:val="24"/>
          <w:highlight w:val="none"/>
          <w:lang w:val="en-US" w:eastAsia="zh-CN"/>
        </w:rPr>
        <w:t>1</w:t>
      </w:r>
      <w:r>
        <w:rPr>
          <w:rFonts w:hint="eastAsia" w:ascii="宋体" w:hAnsi="宋体"/>
          <w:sz w:val="24"/>
          <w:highlight w:val="none"/>
          <w:lang w:eastAsia="zh-CN"/>
        </w:rPr>
        <w:t>）</w:t>
      </w:r>
      <w:r>
        <w:rPr>
          <w:rFonts w:hint="eastAsia" w:ascii="宋体" w:hAnsi="宋体"/>
          <w:sz w:val="24"/>
          <w:highlight w:val="none"/>
        </w:rPr>
        <w:t>在蒸馏水（或去离子水）中清洗电极，吸干，不要擦干。把电极放到电极支架上。使用前，将电极前端浸在自来水中24小时。</w:t>
      </w:r>
    </w:p>
    <w:p w14:paraId="3F2911E4">
      <w:pPr>
        <w:pStyle w:val="42"/>
        <w:suppressAutoHyphens w:val="0"/>
        <w:ind w:firstLine="48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  <w:lang w:eastAsia="zh-CN"/>
        </w:rPr>
        <w:t>（</w:t>
      </w:r>
      <w:r>
        <w:rPr>
          <w:rFonts w:hint="eastAsia" w:ascii="宋体" w:hAnsi="宋体"/>
          <w:sz w:val="24"/>
          <w:highlight w:val="none"/>
          <w:lang w:val="en-US" w:eastAsia="zh-CN"/>
        </w:rPr>
        <w:t>2</w:t>
      </w:r>
      <w:r>
        <w:rPr>
          <w:rFonts w:hint="eastAsia" w:ascii="宋体" w:hAnsi="宋体"/>
          <w:sz w:val="24"/>
          <w:highlight w:val="none"/>
          <w:lang w:eastAsia="zh-CN"/>
        </w:rPr>
        <w:t>）</w:t>
      </w:r>
      <w:r>
        <w:rPr>
          <w:rFonts w:hint="eastAsia" w:ascii="宋体" w:hAnsi="宋体"/>
          <w:sz w:val="24"/>
          <w:highlight w:val="none"/>
        </w:rPr>
        <w:t>电极使用前要保持干燥，电极的感应元件应该套入保护瓶中。在测试前，电极应在自来水中浸泡24小时，通电浸泡效果更好。如果储存过夜或更长，则应用去离子水清洗电极头部，并擦干，然后放进原来的包装内。</w:t>
      </w:r>
    </w:p>
    <w:p w14:paraId="25A02B86">
      <w:pPr>
        <w:pStyle w:val="42"/>
        <w:suppressAutoHyphens w:val="0"/>
        <w:ind w:firstLine="480"/>
        <w:rPr>
          <w:rFonts w:hint="eastAsia"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  <w:lang w:eastAsia="zh-CN"/>
        </w:rPr>
        <w:t>（</w:t>
      </w:r>
      <w:r>
        <w:rPr>
          <w:rFonts w:hint="eastAsia" w:ascii="宋体" w:hAnsi="宋体"/>
          <w:sz w:val="24"/>
          <w:highlight w:val="none"/>
          <w:lang w:val="en-US" w:eastAsia="zh-CN"/>
        </w:rPr>
        <w:t>3</w:t>
      </w:r>
      <w:r>
        <w:rPr>
          <w:rFonts w:hint="eastAsia" w:ascii="宋体" w:hAnsi="宋体"/>
          <w:sz w:val="24"/>
          <w:highlight w:val="none"/>
          <w:lang w:eastAsia="zh-CN"/>
        </w:rPr>
        <w:t>）</w:t>
      </w:r>
      <w:r>
        <w:rPr>
          <w:rFonts w:hint="eastAsia" w:ascii="宋体" w:hAnsi="宋体"/>
          <w:sz w:val="24"/>
          <w:highlight w:val="none"/>
        </w:rPr>
        <w:t>检查接线端子处是否干燥，如有沾污，请用无水酒精擦拭，吹干后使用。应避免长期浸泡在蒸馏水或蛋白质溶液中，并防止与有机硅油脂接触。使用时间较长的电极，它的PVC膜可能变成半透明或附有沉积物，此时可用蒸馏水（或去离子水）冲洗。电极使用时间较长，出现测量误差时，须进行校正。</w:t>
      </w:r>
    </w:p>
    <w:p w14:paraId="3E03541E">
      <w:pPr>
        <w:pStyle w:val="3"/>
        <w:rPr>
          <w:rFonts w:hint="eastAsia"/>
          <w:color w:val="auto"/>
          <w:highlight w:val="none"/>
        </w:rPr>
      </w:pPr>
      <w:bookmarkStart w:id="22" w:name="_Toc7245"/>
      <w:bookmarkStart w:id="23" w:name="_Toc30185"/>
      <w:bookmarkStart w:id="24" w:name="_Toc8070"/>
      <w:bookmarkStart w:id="25" w:name="_Toc1460"/>
      <w:r>
        <w:rPr>
          <w:rFonts w:hint="eastAsia"/>
          <w:color w:val="auto"/>
          <w:highlight w:val="none"/>
          <w:lang w:val="en-US" w:eastAsia="zh-CN"/>
        </w:rPr>
        <w:t>设备</w:t>
      </w:r>
      <w:r>
        <w:rPr>
          <w:rFonts w:hint="eastAsia"/>
          <w:color w:val="auto"/>
          <w:highlight w:val="none"/>
        </w:rPr>
        <w:t>维护注意事项</w:t>
      </w:r>
      <w:bookmarkEnd w:id="22"/>
      <w:bookmarkEnd w:id="23"/>
      <w:bookmarkEnd w:id="24"/>
      <w:bookmarkEnd w:id="25"/>
    </w:p>
    <w:p w14:paraId="0F5702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  <w:b/>
          <w:bCs/>
          <w:highlight w:val="none"/>
        </w:rPr>
      </w:pPr>
      <w:r>
        <w:rPr>
          <w:rFonts w:hint="eastAsia"/>
          <w:b/>
          <w:bCs/>
          <w:highlight w:val="none"/>
        </w:rPr>
        <w:t>在线PH传感器</w:t>
      </w:r>
    </w:p>
    <w:p w14:paraId="5D04BD84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（1）用无水酒精擦拭接线端子上的沾污，确保干燥后使用。</w:t>
      </w:r>
    </w:p>
    <w:p w14:paraId="68B481C0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（2）勿长期浸泡蒸馏水/蛋白质溶液，远离有机硅油脂。</w:t>
      </w:r>
    </w:p>
    <w:p w14:paraId="59F94A84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（3）玻璃膜老化/沉积时，用稀盐酸清洗后水洗，必要时重新标定。</w:t>
      </w:r>
    </w:p>
    <w:p w14:paraId="424EC2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在线溶解氧传感器</w:t>
      </w:r>
    </w:p>
    <w:p w14:paraId="7809251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（1）传感器含有敏感部件，安装和测量时避免其受到剧烈机械撞击。</w:t>
      </w:r>
    </w:p>
    <w:p w14:paraId="11E1ECF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 xml:space="preserve">（2）防止荧光帽内表面被阳光暴晒，不要用手触摸荧光膜；未做防水处理的接线端子不能没入水中，避免线缆进水影响设备正常工作。 </w:t>
      </w:r>
    </w:p>
    <w:p w14:paraId="5EDAC0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在线电导率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/盐度</w:t>
      </w:r>
      <w:r>
        <w:rPr>
          <w:rFonts w:hint="eastAsia" w:ascii="宋体" w:hAnsi="宋体" w:eastAsia="宋体" w:cs="宋体"/>
          <w:b/>
          <w:bCs/>
          <w:highlight w:val="none"/>
        </w:rPr>
        <w:t>传感器</w:t>
      </w:r>
    </w:p>
    <w:p w14:paraId="19016FED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（1）校准与测试时电极需完全浸入标准液（无气泡），距容器底/壁≥2cm。  </w:t>
      </w:r>
    </w:p>
    <w:p w14:paraId="3C7EECC7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</w:t>
      </w:r>
      <w:r>
        <w:rPr>
          <w:rFonts w:hint="eastAsia"/>
          <w:b w:val="0"/>
          <w:bCs w:val="0"/>
          <w:highlight w:val="none"/>
          <w:lang w:val="en-US" w:eastAsia="zh-CN"/>
        </w:rPr>
        <w:t>2</w:t>
      </w:r>
      <w:r>
        <w:rPr>
          <w:rFonts w:hint="eastAsia"/>
          <w:b w:val="0"/>
          <w:bCs w:val="0"/>
          <w:highlight w:val="none"/>
          <w:lang w:eastAsia="zh-CN"/>
        </w:rPr>
        <w:t xml:space="preserve">） 非防水端子避免浸水，线缆需松弛固定，防止摩擦或断裂。  </w:t>
      </w:r>
    </w:p>
    <w:p w14:paraId="2FA90198">
      <w:pPr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</w:t>
      </w:r>
      <w:r>
        <w:rPr>
          <w:rFonts w:hint="eastAsia"/>
          <w:b w:val="0"/>
          <w:bCs w:val="0"/>
          <w:highlight w:val="none"/>
          <w:lang w:val="en-US" w:eastAsia="zh-CN"/>
        </w:rPr>
        <w:t>3</w:t>
      </w:r>
      <w:r>
        <w:rPr>
          <w:rFonts w:hint="eastAsia"/>
          <w:b w:val="0"/>
          <w:bCs w:val="0"/>
          <w:highlight w:val="none"/>
          <w:lang w:eastAsia="zh-CN"/>
        </w:rPr>
        <w:t xml:space="preserve">）避免与有机硅油脂接触。  </w:t>
      </w:r>
    </w:p>
    <w:p w14:paraId="2428BE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在线氨氮传感器</w:t>
      </w:r>
    </w:p>
    <w:p w14:paraId="507BC0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（1）膜头用去离子水清洗，勿碰伤，测量时距底部至少2cm，敏感膜内无气泡，可轻敲除泡。</w:t>
      </w:r>
    </w:p>
    <w:p w14:paraId="4A9268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（2）避免放腐蚀性、能腐蚀PVC溶液（如强酸），酮类及饱和有机物溶液（如四氢呋喃、蛋白质溶液），强电磁和核辐射环境；不建议在成分复杂液体（如海水、电镀废水）长期放置。</w:t>
      </w:r>
    </w:p>
    <w:p w14:paraId="3BB1A8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（3）检查通讯时，两电极须浸泡在溶液中。</w:t>
      </w:r>
    </w:p>
    <w:p w14:paraId="0777BD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（4）标液有使用次数限制，1mg/L的2次/瓶、10mg/L的4次/瓶、100mg/L的6次/瓶。</w:t>
      </w:r>
    </w:p>
    <w:p w14:paraId="73B043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 xml:space="preserve">（5）注意保护参比电极外漏白色布条，勿揪出损坏。 </w:t>
      </w:r>
    </w:p>
    <w:p w14:paraId="6A762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/>
          <w:b w:val="0"/>
          <w:bCs w:val="0"/>
          <w:highlight w:val="none"/>
          <w:lang w:eastAsia="zh-CN"/>
        </w:rPr>
      </w:pPr>
      <w:r>
        <w:rPr>
          <w:rFonts w:hint="eastAsia"/>
          <w:b w:val="0"/>
          <w:bCs w:val="0"/>
          <w:highlight w:val="none"/>
          <w:lang w:eastAsia="zh-CN"/>
        </w:rPr>
        <w:t>（6）防止电极长期浸泡在蒸馏水或蛋白质溶液中，避免与有机硅油脂接触。</w:t>
      </w:r>
    </w:p>
    <w:p w14:paraId="37F55A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eastAsia="宋体" w:cs="宋体"/>
          <w:b/>
          <w:bCs/>
          <w:highlight w:val="none"/>
        </w:rPr>
      </w:pPr>
      <w:r>
        <w:rPr>
          <w:rFonts w:hint="eastAsia" w:ascii="宋体" w:hAnsi="宋体" w:eastAsia="宋体" w:cs="宋体"/>
          <w:b/>
          <w:bCs/>
          <w:highlight w:val="none"/>
        </w:rPr>
        <w:t>在线</w:t>
      </w:r>
      <w:r>
        <w:rPr>
          <w:rFonts w:hint="eastAsia" w:cs="宋体"/>
          <w:b/>
          <w:bCs/>
          <w:highlight w:val="none"/>
          <w:lang w:val="en-US" w:eastAsia="zh-CN"/>
        </w:rPr>
        <w:t>硝氮</w:t>
      </w: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/</w:t>
      </w:r>
      <w:r>
        <w:rPr>
          <w:rFonts w:hint="eastAsia" w:ascii="宋体" w:hAnsi="宋体" w:eastAsia="宋体" w:cs="宋体"/>
          <w:b/>
          <w:bCs/>
          <w:highlight w:val="none"/>
        </w:rPr>
        <w:t>亚硝酸盐传感器</w:t>
      </w:r>
    </w:p>
    <w:p w14:paraId="53E3428D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（1）初次使用请在自来水中浸泡24小时,使电极敏感膜充分活化。</w:t>
      </w:r>
    </w:p>
    <w:p w14:paraId="507CEB9F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（2）电极测量膜头清洗使用去离子水，不要用硬物触碰测量膜头，避免划伤；测量时膜头距离底部保持至少2cm；使用时敏感膜内不能有气泡，可用手轻敲传感器外壳，消除气泡。</w:t>
      </w:r>
    </w:p>
    <w:p w14:paraId="636808C7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（3）校准时请将传感器放入校准液中轻轻晃动，静置，待读数稳定（大约5分钟）方可进行校准。</w:t>
      </w:r>
    </w:p>
    <w:p w14:paraId="2925A837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（4）电极短期不用请放入自来水中浸泡保存。</w:t>
      </w:r>
    </w:p>
    <w:p w14:paraId="24B30B5E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（5）电极几天不用请使用内置保护液的外壳保存，下次使用前进行24小时在自来水中浸泡活化；勿长期浸泡在纯水中。</w:t>
      </w:r>
    </w:p>
    <w:p w14:paraId="03C7D045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6）避免将传感器放置于有腐蚀性的液体中或能腐蚀PVC的溶液中。例如强酸。不要将传感器放置于酮类有机物，饱和有机物的溶液中。例如四氢呋喃、蛋白质溶液。不要将传感器放置于有强烈的电磁辐射，核辐射的环境中。</w:t>
      </w:r>
    </w:p>
    <w:p w14:paraId="238DA69C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（7）除非电极前端的pvc膜变成半透明或附有沉积物，否则不要用蒸馏水浸泡电极膜头。</w:t>
      </w:r>
    </w:p>
    <w:p w14:paraId="0C3D635A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</w:rPr>
        <w:t>（8）一些成分比较复杂的液体中也不建议长期放置。例如海水、电镀废水等。</w:t>
      </w:r>
    </w:p>
    <w:p w14:paraId="6BF7C3AC">
      <w:pPr>
        <w:pStyle w:val="2"/>
        <w:bidi w:val="0"/>
        <w:rPr>
          <w:rFonts w:hint="default"/>
          <w:highlight w:val="none"/>
          <w:lang w:val="en-US" w:eastAsia="zh-CN"/>
        </w:rPr>
      </w:pPr>
      <w:bookmarkStart w:id="26" w:name="_Toc18219"/>
      <w:bookmarkStart w:id="27" w:name="_Toc24659"/>
      <w:r>
        <w:rPr>
          <w:rFonts w:hint="eastAsia"/>
          <w:highlight w:val="none"/>
          <w:lang w:val="en-US" w:eastAsia="zh-CN"/>
        </w:rPr>
        <w:t>案例展示</w:t>
      </w:r>
      <w:bookmarkEnd w:id="26"/>
      <w:bookmarkEnd w:id="27"/>
    </w:p>
    <w:p w14:paraId="2CEB0EF8">
      <w:pPr>
        <w:pStyle w:val="3"/>
        <w:bidi w:val="0"/>
        <w:rPr>
          <w:rFonts w:hint="default"/>
          <w:highlight w:val="none"/>
          <w:lang w:val="en-US" w:eastAsia="zh-CN"/>
        </w:rPr>
      </w:pPr>
      <w:bookmarkStart w:id="28" w:name="_Toc20579"/>
      <w:r>
        <w:rPr>
          <w:rFonts w:hint="eastAsia"/>
          <w:highlight w:val="none"/>
          <w:lang w:val="en-US" w:eastAsia="zh-CN"/>
        </w:rPr>
        <w:t>案例1：江苏如皋养殖塘口水质监测项目</w:t>
      </w:r>
      <w:bookmarkEnd w:id="28"/>
    </w:p>
    <w:p w14:paraId="09511CF1">
      <w:pPr>
        <w:bidi w:val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解决方案：23套多参数水质监测模块</w:t>
      </w:r>
    </w:p>
    <w:p w14:paraId="5FC55292">
      <w:pPr>
        <w:bidi w:val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监测指标：PH、溶解氧、电导率、氨氮</w:t>
      </w:r>
    </w:p>
    <w:p w14:paraId="2BDD1A59">
      <w:pPr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1836420" cy="2623185"/>
            <wp:effectExtent l="0" t="0" r="1143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C7D8F">
      <w:pPr>
        <w:pStyle w:val="3"/>
        <w:bidi w:val="0"/>
        <w:rPr>
          <w:rFonts w:hint="default"/>
          <w:highlight w:val="none"/>
          <w:lang w:val="en-US" w:eastAsia="zh-CN"/>
        </w:rPr>
      </w:pPr>
      <w:bookmarkStart w:id="29" w:name="_Toc28154"/>
      <w:r>
        <w:rPr>
          <w:rFonts w:hint="eastAsia"/>
          <w:highlight w:val="none"/>
          <w:lang w:val="en-US" w:eastAsia="zh-CN"/>
        </w:rPr>
        <w:t>案例2：江苏太祖大闸蟹塘口养殖水质监测项目</w:t>
      </w:r>
      <w:bookmarkEnd w:id="29"/>
    </w:p>
    <w:p w14:paraId="34665758">
      <w:pPr>
        <w:bidi w:val="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解决方案：15套多参数水质气象监测模块</w:t>
      </w:r>
    </w:p>
    <w:p w14:paraId="6829E2CC">
      <w:pPr>
        <w:bidi w:val="0"/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监测指标：PH、溶解氧、电导率、氨氮</w:t>
      </w:r>
    </w:p>
    <w:p w14:paraId="1565F6C9">
      <w:pPr>
        <w:jc w:val="center"/>
        <w:rPr>
          <w:rFonts w:hint="default"/>
          <w:highlight w:val="none"/>
          <w:lang w:val="en-US" w:eastAsia="zh-CN"/>
        </w:rPr>
      </w:pPr>
      <w:r>
        <w:rPr>
          <w:highlight w:val="none"/>
        </w:rPr>
        <w:drawing>
          <wp:inline distT="0" distB="0" distL="114300" distR="114300">
            <wp:extent cx="2709545" cy="2031365"/>
            <wp:effectExtent l="0" t="0" r="3175" b="1079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EF5B3B">
    <w:pPr>
      <w:pStyle w:val="12"/>
      <w:rPr>
        <w:rFonts w:hint="eastAsia"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30D0AF">
    <w:pPr>
      <w:pStyle w:val="13"/>
      <w:pBdr>
        <w:bottom w:val="single" w:color="auto" w:sz="4" w:space="0"/>
      </w:pBdr>
      <w:jc w:val="left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F61EA">
    <w:pPr>
      <w:pStyle w:val="13"/>
      <w:pBdr>
        <w:bottom w:val="single" w:color="auto" w:sz="4" w:space="0"/>
      </w:pBdr>
      <w:jc w:val="lef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54C0CB"/>
    <w:multiLevelType w:val="multilevel"/>
    <w:tmpl w:val="1E54C0CB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420"/>
        </w:tabs>
        <w:ind w:left="67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tabs>
          <w:tab w:val="left" w:pos="420"/>
        </w:tabs>
        <w:ind w:left="575" w:hanging="575"/>
      </w:pPr>
      <w:rPr>
        <w:rFonts w:hint="eastAsia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8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3CB"/>
    <w:rsid w:val="0000331B"/>
    <w:rsid w:val="000E70C4"/>
    <w:rsid w:val="002438FD"/>
    <w:rsid w:val="003B326D"/>
    <w:rsid w:val="008753CB"/>
    <w:rsid w:val="008D7448"/>
    <w:rsid w:val="00A10114"/>
    <w:rsid w:val="00A30227"/>
    <w:rsid w:val="083B59DC"/>
    <w:rsid w:val="09DF435C"/>
    <w:rsid w:val="0CF05FA0"/>
    <w:rsid w:val="0E272BA2"/>
    <w:rsid w:val="12AE6653"/>
    <w:rsid w:val="13BE53B2"/>
    <w:rsid w:val="1456008E"/>
    <w:rsid w:val="15FB79DC"/>
    <w:rsid w:val="16EB52F6"/>
    <w:rsid w:val="19F65CED"/>
    <w:rsid w:val="1A4F0033"/>
    <w:rsid w:val="1B7725C5"/>
    <w:rsid w:val="1F186DB4"/>
    <w:rsid w:val="1FE35C4B"/>
    <w:rsid w:val="25E76B6C"/>
    <w:rsid w:val="2A377E5B"/>
    <w:rsid w:val="3092429D"/>
    <w:rsid w:val="32AD6FE9"/>
    <w:rsid w:val="3CAD2E9B"/>
    <w:rsid w:val="3F9904AC"/>
    <w:rsid w:val="416830A7"/>
    <w:rsid w:val="41E23AAD"/>
    <w:rsid w:val="4283171C"/>
    <w:rsid w:val="47456875"/>
    <w:rsid w:val="48441D67"/>
    <w:rsid w:val="4DA8648A"/>
    <w:rsid w:val="4E5455D1"/>
    <w:rsid w:val="583E1918"/>
    <w:rsid w:val="5A9164F8"/>
    <w:rsid w:val="5C2514E6"/>
    <w:rsid w:val="5D2B6790"/>
    <w:rsid w:val="60512005"/>
    <w:rsid w:val="636B69F0"/>
    <w:rsid w:val="678164AE"/>
    <w:rsid w:val="67917192"/>
    <w:rsid w:val="6A1C3A5E"/>
    <w:rsid w:val="76104DFE"/>
    <w:rsid w:val="799F35BE"/>
    <w:rsid w:val="7E7C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宋体" w:hAnsi="宋体" w:eastAsia="宋体" w:cs="宋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numPr>
        <w:ilvl w:val="0"/>
        <w:numId w:val="1"/>
      </w:numPr>
      <w:ind w:left="432" w:hanging="432" w:firstLineChars="0"/>
      <w:jc w:val="left"/>
      <w:outlineLvl w:val="0"/>
    </w:pPr>
    <w:rPr>
      <w:b/>
      <w:sz w:val="36"/>
      <w:szCs w:val="32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numPr>
        <w:ilvl w:val="1"/>
        <w:numId w:val="1"/>
      </w:numPr>
      <w:ind w:left="575" w:hanging="575" w:firstLineChars="0"/>
      <w:jc w:val="left"/>
      <w:outlineLvl w:val="1"/>
    </w:pPr>
    <w:rPr>
      <w:b/>
      <w:sz w:val="32"/>
      <w:szCs w:val="30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numPr>
        <w:ilvl w:val="2"/>
        <w:numId w:val="1"/>
      </w:numPr>
      <w:ind w:firstLineChars="0"/>
      <w:jc w:val="left"/>
      <w:outlineLvl w:val="2"/>
    </w:pPr>
    <w:rPr>
      <w:b/>
      <w:sz w:val="30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numPr>
        <w:ilvl w:val="3"/>
        <w:numId w:val="1"/>
      </w:numPr>
      <w:ind w:left="0" w:firstLine="720" w:firstLineChars="200"/>
      <w:outlineLvl w:val="3"/>
    </w:pPr>
    <w:rPr>
      <w:rFonts w:cstheme="majorBidi"/>
      <w:b/>
      <w:color w:val="auto"/>
      <w:sz w:val="28"/>
      <w:szCs w:val="28"/>
    </w:rPr>
  </w:style>
  <w:style w:type="paragraph" w:styleId="6">
    <w:name w:val="heading 5"/>
    <w:basedOn w:val="5"/>
    <w:next w:val="1"/>
    <w:link w:val="26"/>
    <w:semiHidden/>
    <w:unhideWhenUsed/>
    <w:qFormat/>
    <w:uiPriority w:val="9"/>
    <w:pPr>
      <w:keepNext/>
      <w:keepLines/>
      <w:numPr>
        <w:ilvl w:val="4"/>
        <w:numId w:val="1"/>
      </w:numPr>
      <w:spacing w:before="80" w:after="40"/>
      <w:ind w:left="1008" w:hanging="1008" w:firstLineChars="0"/>
      <w:outlineLvl w:val="4"/>
    </w:pPr>
    <w:rPr>
      <w:rFonts w:ascii="宋体" w:hAnsi="宋体" w:eastAsia="宋体"/>
      <w:color w:val="auto"/>
    </w:rPr>
  </w:style>
  <w:style w:type="paragraph" w:styleId="7">
    <w:name w:val="heading 6"/>
    <w:basedOn w:val="1"/>
    <w:next w:val="1"/>
    <w:link w:val="27"/>
    <w:semiHidden/>
    <w:unhideWhenUsed/>
    <w:qFormat/>
    <w:uiPriority w:val="9"/>
    <w:pPr>
      <w:keepNext/>
      <w:keepLines/>
      <w:numPr>
        <w:ilvl w:val="5"/>
        <w:numId w:val="1"/>
      </w:numPr>
      <w:spacing w:before="40"/>
      <w:ind w:left="1151" w:hanging="1151" w:firstLineChars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8"/>
    <w:semiHidden/>
    <w:unhideWhenUsed/>
    <w:qFormat/>
    <w:uiPriority w:val="9"/>
    <w:pPr>
      <w:keepNext/>
      <w:keepLines/>
      <w:numPr>
        <w:ilvl w:val="6"/>
        <w:numId w:val="1"/>
      </w:numPr>
      <w:spacing w:before="40"/>
      <w:ind w:left="1296" w:hanging="1296" w:firstLineChars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9"/>
    <w:semiHidden/>
    <w:unhideWhenUsed/>
    <w:qFormat/>
    <w:uiPriority w:val="9"/>
    <w:pPr>
      <w:keepNext/>
      <w:keepLines/>
      <w:numPr>
        <w:ilvl w:val="7"/>
        <w:numId w:val="1"/>
      </w:numPr>
      <w:ind w:left="1440" w:hanging="1440" w:firstLineChars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0"/>
    <w:semiHidden/>
    <w:unhideWhenUsed/>
    <w:qFormat/>
    <w:uiPriority w:val="9"/>
    <w:pPr>
      <w:keepNext/>
      <w:keepLines/>
      <w:numPr>
        <w:ilvl w:val="8"/>
        <w:numId w:val="1"/>
      </w:numPr>
      <w:ind w:left="1583" w:hanging="1583" w:firstLineChars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12">
    <w:name w:val="footer"/>
    <w:basedOn w:val="1"/>
    <w:link w:val="4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semiHidden/>
    <w:unhideWhenUsed/>
    <w:qFormat/>
    <w:uiPriority w:val="39"/>
  </w:style>
  <w:style w:type="paragraph" w:styleId="15">
    <w:name w:val="Subtitle"/>
    <w:basedOn w:val="1"/>
    <w:next w:val="1"/>
    <w:link w:val="32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1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19">
    <w:name w:val="Table Grid"/>
    <w:basedOn w:val="18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basedOn w:val="20"/>
    <w:unhideWhenUsed/>
    <w:qFormat/>
    <w:uiPriority w:val="99"/>
    <w:rPr>
      <w:color w:val="0563C1"/>
      <w:u w:val="single"/>
    </w:rPr>
  </w:style>
  <w:style w:type="character" w:customStyle="1" w:styleId="22">
    <w:name w:val="标题 1 字符"/>
    <w:basedOn w:val="20"/>
    <w:link w:val="2"/>
    <w:qFormat/>
    <w:uiPriority w:val="9"/>
    <w:rPr>
      <w:rFonts w:ascii="宋体" w:hAnsi="宋体" w:eastAsia="宋体" w:cs="宋体"/>
      <w:b/>
      <w:sz w:val="36"/>
      <w:szCs w:val="32"/>
    </w:rPr>
  </w:style>
  <w:style w:type="character" w:customStyle="1" w:styleId="23">
    <w:name w:val="标题 2 字符"/>
    <w:basedOn w:val="20"/>
    <w:link w:val="3"/>
    <w:qFormat/>
    <w:uiPriority w:val="9"/>
    <w:rPr>
      <w:rFonts w:ascii="宋体" w:hAnsi="宋体" w:eastAsia="宋体" w:cs="宋体"/>
      <w:b/>
      <w:sz w:val="32"/>
      <w:szCs w:val="30"/>
    </w:rPr>
  </w:style>
  <w:style w:type="character" w:customStyle="1" w:styleId="24">
    <w:name w:val="标题 3 字符"/>
    <w:basedOn w:val="20"/>
    <w:link w:val="4"/>
    <w:qFormat/>
    <w:uiPriority w:val="9"/>
    <w:rPr>
      <w:rFonts w:ascii="宋体" w:hAnsi="宋体" w:eastAsia="宋体" w:cs="宋体"/>
      <w:b/>
      <w:sz w:val="30"/>
      <w:szCs w:val="32"/>
    </w:rPr>
  </w:style>
  <w:style w:type="character" w:customStyle="1" w:styleId="25">
    <w:name w:val="标题 4 字符"/>
    <w:basedOn w:val="20"/>
    <w:link w:val="5"/>
    <w:semiHidden/>
    <w:qFormat/>
    <w:uiPriority w:val="9"/>
    <w:rPr>
      <w:rFonts w:ascii="宋体" w:hAnsi="宋体" w:eastAsia="宋体" w:cstheme="majorBidi"/>
      <w:b/>
      <w:color w:val="auto"/>
      <w:sz w:val="28"/>
      <w:szCs w:val="28"/>
    </w:rPr>
  </w:style>
  <w:style w:type="character" w:customStyle="1" w:styleId="26">
    <w:name w:val="标题 5 字符"/>
    <w:basedOn w:val="20"/>
    <w:link w:val="6"/>
    <w:semiHidden/>
    <w:qFormat/>
    <w:uiPriority w:val="9"/>
    <w:rPr>
      <w:rFonts w:ascii="宋体" w:hAnsi="宋体" w:eastAsia="宋体" w:cstheme="majorBidi"/>
      <w:color w:val="auto"/>
      <w:sz w:val="24"/>
      <w:szCs w:val="24"/>
    </w:rPr>
  </w:style>
  <w:style w:type="character" w:customStyle="1" w:styleId="27">
    <w:name w:val="标题 6 字符"/>
    <w:basedOn w:val="20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8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标题 8 字符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字符"/>
    <w:basedOn w:val="20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2">
    <w:name w:val="副标题 字符"/>
    <w:basedOn w:val="20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3">
    <w:name w:val="Quote"/>
    <w:basedOn w:val="1"/>
    <w:next w:val="1"/>
    <w:link w:val="34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引用 字符"/>
    <w:basedOn w:val="20"/>
    <w:link w:val="3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5">
    <w:name w:val="List Paragraph"/>
    <w:basedOn w:val="1"/>
    <w:qFormat/>
    <w:uiPriority w:val="34"/>
    <w:pPr>
      <w:ind w:left="720"/>
      <w:contextualSpacing/>
    </w:pPr>
  </w:style>
  <w:style w:type="character" w:customStyle="1" w:styleId="36">
    <w:name w:val="Intense Emphasis"/>
    <w:basedOn w:val="20"/>
    <w:qFormat/>
    <w:uiPriority w:val="21"/>
    <w:rPr>
      <w:i/>
      <w:iCs/>
      <w:color w:val="104862" w:themeColor="accent1" w:themeShade="BF"/>
    </w:rPr>
  </w:style>
  <w:style w:type="paragraph" w:styleId="37">
    <w:name w:val="Intense Quote"/>
    <w:basedOn w:val="1"/>
    <w:next w:val="1"/>
    <w:link w:val="38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8">
    <w:name w:val="明显引用 字符"/>
    <w:basedOn w:val="20"/>
    <w:link w:val="37"/>
    <w:qFormat/>
    <w:uiPriority w:val="30"/>
    <w:rPr>
      <w:i/>
      <w:iCs/>
      <w:color w:val="104862" w:themeColor="accent1" w:themeShade="BF"/>
    </w:rPr>
  </w:style>
  <w:style w:type="character" w:customStyle="1" w:styleId="39">
    <w:name w:val="页眉 字符"/>
    <w:basedOn w:val="20"/>
    <w:link w:val="13"/>
    <w:qFormat/>
    <w:uiPriority w:val="99"/>
    <w:rPr>
      <w:sz w:val="18"/>
      <w:szCs w:val="18"/>
    </w:rPr>
  </w:style>
  <w:style w:type="character" w:customStyle="1" w:styleId="40">
    <w:name w:val="页脚 字符"/>
    <w:basedOn w:val="20"/>
    <w:link w:val="12"/>
    <w:qFormat/>
    <w:uiPriority w:val="99"/>
    <w:rPr>
      <w:sz w:val="18"/>
      <w:szCs w:val="18"/>
    </w:rPr>
  </w:style>
  <w:style w:type="paragraph" w:customStyle="1" w:styleId="4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42">
    <w:name w:val="列出段落1"/>
    <w:basedOn w:val="1"/>
    <w:qFormat/>
    <w:uiPriority w:val="34"/>
    <w:pPr>
      <w:suppressAutoHyphens/>
      <w:ind w:firstLine="420"/>
      <w:jc w:val="left"/>
    </w:pPr>
    <w:rPr>
      <w:rFonts w:ascii="Times" w:hAnsi="Times" w:cs="Times New Roman"/>
      <w:kern w:val="1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5.jpe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jpe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6340</Words>
  <Characters>6705</Characters>
  <Lines>1</Lines>
  <Paragraphs>1</Paragraphs>
  <TotalTime>52</TotalTime>
  <ScaleCrop>false</ScaleCrop>
  <LinksUpToDate>false</LinksUpToDate>
  <CharactersWithSpaces>6773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2025-02-07T05:17:00Z</dcterms:created>
  <dc:creator>闫鹏 李</dc:creator>
  <cp:lastModifiedBy>邹树虎</cp:lastModifiedBy>
  <dcterms:modified xsi:type="dcterms:W3CDTF">2025-07-25T03:26:29Z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eyJoZGlkIjoiZjk1Y2JmN2ViODY3ZDA2MjQ3ZGVkNzAyMTI3ZDBjOWUiLCJ1c2VySWQiOiIxNDQ5MjAxMDk2In0=</vt:lpwstr>
  </property>
  <property fmtid="{D5CDD505-2E9C-101B-9397-08002B2CF9AE}" pid="3" name="KSOProductBuildVer">
    <vt:lpwstr>2052-12.1.0.21915</vt:lpwstr>
  </property>
  <property fmtid="{D5CDD505-2E9C-101B-9397-08002B2CF9AE}" pid="4" name="ICV">
    <vt:lpwstr>DF6EBECCDCAF44EAB4F520543FCF2462_12</vt:lpwstr>
  </property>
</Properties>
</file>