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4CCC34">
      <w:pPr>
        <w:rPr>
          <w:rFonts w:hint="eastAsia"/>
          <w:color w:val="auto"/>
          <w:highlight w:val="none"/>
        </w:rPr>
      </w:pPr>
    </w:p>
    <w:p w14:paraId="7C6688AF">
      <w:pPr>
        <w:rPr>
          <w:rFonts w:hint="eastAsia"/>
          <w:color w:val="auto"/>
          <w:highlight w:val="none"/>
        </w:rPr>
      </w:pPr>
    </w:p>
    <w:p w14:paraId="65B69CCC">
      <w:pPr>
        <w:rPr>
          <w:rFonts w:hint="eastAsia"/>
          <w:color w:val="auto"/>
          <w:highlight w:val="none"/>
        </w:rPr>
      </w:pPr>
    </w:p>
    <w:p w14:paraId="0E7AB5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b/>
          <w:bCs/>
          <w:color w:val="auto"/>
          <w:sz w:val="52"/>
          <w:szCs w:val="52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52"/>
          <w:szCs w:val="52"/>
          <w:highlight w:val="none"/>
          <w:lang w:val="en-US" w:eastAsia="zh-CN"/>
        </w:rPr>
        <w:t>农业行业细分场景</w:t>
      </w:r>
    </w:p>
    <w:p w14:paraId="36EA5C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right"/>
        <w:textAlignment w:val="auto"/>
        <w:rPr>
          <w:rFonts w:hint="default" w:eastAsia="宋体"/>
          <w:b/>
          <w:bCs/>
          <w:color w:val="auto"/>
          <w:sz w:val="52"/>
          <w:szCs w:val="52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52"/>
          <w:szCs w:val="52"/>
          <w:highlight w:val="none"/>
          <w:lang w:val="en-US" w:eastAsia="zh-CN"/>
        </w:rPr>
        <w:t>——农田灌溉水质监测方案</w:t>
      </w:r>
    </w:p>
    <w:p w14:paraId="5F987076">
      <w:pPr>
        <w:rPr>
          <w:rFonts w:hint="eastAsia"/>
          <w:color w:val="auto"/>
          <w:highlight w:val="none"/>
        </w:rPr>
      </w:pPr>
    </w:p>
    <w:p w14:paraId="3401E6BD">
      <w:pPr>
        <w:rPr>
          <w:rFonts w:hint="eastAsia"/>
          <w:color w:val="auto"/>
          <w:highlight w:val="none"/>
        </w:rPr>
      </w:pPr>
    </w:p>
    <w:p w14:paraId="1C915416">
      <w:pPr>
        <w:rPr>
          <w:rFonts w:hint="eastAsia"/>
          <w:color w:val="auto"/>
          <w:highlight w:val="none"/>
        </w:rPr>
      </w:pPr>
    </w:p>
    <w:p w14:paraId="35B99434">
      <w:pPr>
        <w:rPr>
          <w:rFonts w:hint="eastAsia"/>
          <w:color w:val="auto"/>
          <w:highlight w:val="none"/>
        </w:rPr>
      </w:pPr>
    </w:p>
    <w:p w14:paraId="21E5C6ED">
      <w:pPr>
        <w:rPr>
          <w:rFonts w:hint="eastAsia"/>
          <w:color w:val="auto"/>
          <w:highlight w:val="none"/>
        </w:rPr>
      </w:pPr>
    </w:p>
    <w:p w14:paraId="37D95FEA">
      <w:pPr>
        <w:rPr>
          <w:rFonts w:hint="eastAsia"/>
          <w:color w:val="auto"/>
          <w:highlight w:val="none"/>
        </w:rPr>
      </w:pPr>
    </w:p>
    <w:p w14:paraId="5D093C07">
      <w:pPr>
        <w:rPr>
          <w:rFonts w:hint="eastAsia"/>
          <w:color w:val="auto"/>
          <w:highlight w:val="none"/>
        </w:rPr>
      </w:pPr>
    </w:p>
    <w:p w14:paraId="0C33701D">
      <w:pPr>
        <w:rPr>
          <w:rFonts w:hint="eastAsia"/>
          <w:color w:val="auto"/>
          <w:highlight w:val="none"/>
        </w:rPr>
      </w:pPr>
    </w:p>
    <w:p w14:paraId="19E303D8">
      <w:pPr>
        <w:rPr>
          <w:rFonts w:hint="eastAsia"/>
          <w:color w:val="auto"/>
          <w:highlight w:val="none"/>
        </w:rPr>
      </w:pPr>
    </w:p>
    <w:p w14:paraId="7A24F120">
      <w:pPr>
        <w:rPr>
          <w:rFonts w:hint="eastAsia"/>
          <w:color w:val="auto"/>
          <w:highlight w:val="none"/>
        </w:rPr>
      </w:pPr>
    </w:p>
    <w:p w14:paraId="05C0723D">
      <w:pPr>
        <w:rPr>
          <w:rFonts w:hint="eastAsia"/>
          <w:color w:val="auto"/>
          <w:highlight w:val="none"/>
        </w:rPr>
      </w:pPr>
    </w:p>
    <w:p w14:paraId="2C2C71A1">
      <w:pPr>
        <w:rPr>
          <w:rFonts w:hint="eastAsia"/>
          <w:color w:val="auto"/>
          <w:highlight w:val="none"/>
        </w:rPr>
      </w:pPr>
    </w:p>
    <w:p w14:paraId="2F2A290D">
      <w:pPr>
        <w:rPr>
          <w:rFonts w:hint="eastAsia"/>
          <w:color w:val="auto"/>
          <w:highlight w:val="none"/>
        </w:rPr>
      </w:pPr>
    </w:p>
    <w:p w14:paraId="19888132">
      <w:pPr>
        <w:rPr>
          <w:rFonts w:hint="eastAsia"/>
          <w:color w:val="auto"/>
          <w:highlight w:val="none"/>
        </w:rPr>
      </w:pPr>
    </w:p>
    <w:p w14:paraId="776B9B5F">
      <w:pPr>
        <w:rPr>
          <w:rFonts w:hint="eastAsia"/>
          <w:color w:val="auto"/>
          <w:highlight w:val="none"/>
        </w:rPr>
      </w:pPr>
    </w:p>
    <w:p w14:paraId="256D5A4B">
      <w:pPr>
        <w:rPr>
          <w:rFonts w:hint="eastAsia"/>
          <w:color w:val="auto"/>
          <w:highlight w:val="none"/>
        </w:rPr>
      </w:pPr>
    </w:p>
    <w:p w14:paraId="274A8AFE">
      <w:pPr>
        <w:rPr>
          <w:rFonts w:hint="eastAsia"/>
          <w:color w:val="auto"/>
          <w:highlight w:val="none"/>
        </w:rPr>
      </w:pPr>
    </w:p>
    <w:p w14:paraId="5DBBFBCE">
      <w:pPr>
        <w:rPr>
          <w:rFonts w:hint="eastAsia"/>
          <w:color w:val="auto"/>
          <w:highlight w:val="none"/>
        </w:rPr>
      </w:pPr>
    </w:p>
    <w:p w14:paraId="7D2B2984">
      <w:pPr>
        <w:rPr>
          <w:rFonts w:hint="eastAsia"/>
          <w:color w:val="auto"/>
          <w:highlight w:val="none"/>
        </w:rPr>
      </w:pPr>
    </w:p>
    <w:p w14:paraId="7E21D1EE">
      <w:pPr>
        <w:rPr>
          <w:rFonts w:hint="eastAsia"/>
          <w:color w:val="auto"/>
          <w:highlight w:val="none"/>
        </w:rPr>
      </w:pPr>
    </w:p>
    <w:p w14:paraId="27E7BB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b/>
          <w:bCs/>
          <w:color w:val="auto"/>
          <w:sz w:val="40"/>
          <w:szCs w:val="40"/>
          <w:highlight w:val="none"/>
          <w:lang w:val="zh-CN"/>
        </w:rPr>
      </w:pPr>
      <w:r>
        <w:rPr>
          <w:b/>
          <w:bCs/>
          <w:color w:val="auto"/>
          <w:sz w:val="40"/>
          <w:szCs w:val="40"/>
          <w:highlight w:val="none"/>
        </w:rPr>
        <w:t>202</w:t>
      </w:r>
      <w:r>
        <w:rPr>
          <w:rFonts w:hint="eastAsia"/>
          <w:b/>
          <w:bCs/>
          <w:color w:val="auto"/>
          <w:sz w:val="40"/>
          <w:szCs w:val="40"/>
          <w:highlight w:val="none"/>
        </w:rPr>
        <w:t>5</w:t>
      </w:r>
      <w:r>
        <w:rPr>
          <w:b/>
          <w:bCs/>
          <w:color w:val="auto"/>
          <w:sz w:val="40"/>
          <w:szCs w:val="40"/>
          <w:highlight w:val="none"/>
          <w:lang w:val="zh-CN"/>
        </w:rPr>
        <w:t>年</w:t>
      </w:r>
      <w:r>
        <w:rPr>
          <w:rFonts w:hint="eastAsia"/>
          <w:b/>
          <w:bCs/>
          <w:color w:val="auto"/>
          <w:sz w:val="40"/>
          <w:szCs w:val="40"/>
          <w:highlight w:val="none"/>
          <w:lang w:val="en-US" w:eastAsia="zh-CN"/>
        </w:rPr>
        <w:t>2</w:t>
      </w:r>
      <w:r>
        <w:rPr>
          <w:b/>
          <w:bCs/>
          <w:color w:val="auto"/>
          <w:sz w:val="40"/>
          <w:szCs w:val="40"/>
          <w:highlight w:val="none"/>
          <w:lang w:val="zh-CN"/>
        </w:rPr>
        <w:t>月</w:t>
      </w:r>
    </w:p>
    <w:p w14:paraId="10808181">
      <w:pPr>
        <w:rPr>
          <w:rFonts w:hint="eastAsia"/>
          <w:color w:val="auto"/>
          <w:highlight w:val="none"/>
        </w:rPr>
      </w:pPr>
    </w:p>
    <w:p w14:paraId="22D563A4">
      <w:pPr>
        <w:rPr>
          <w:rFonts w:hint="eastAsia"/>
          <w:color w:val="auto"/>
          <w:highlight w:val="none"/>
        </w:rPr>
        <w:sectPr>
          <w:head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3D44955E">
      <w:pPr>
        <w:rPr>
          <w:rFonts w:hint="eastAsia"/>
          <w:color w:val="auto"/>
          <w:highlight w:val="none"/>
        </w:rPr>
      </w:pPr>
    </w:p>
    <w:sdt>
      <w:sdtPr>
        <w:rPr>
          <w:rFonts w:ascii="宋体" w:hAnsi="宋体" w:eastAsia="宋体" w:cs="宋体"/>
          <w:b/>
          <w:bCs/>
          <w:color w:val="auto"/>
          <w:kern w:val="2"/>
          <w:sz w:val="36"/>
          <w:szCs w:val="36"/>
          <w:highlight w:val="none"/>
          <w:lang w:val="en-US" w:eastAsia="zh-CN" w:bidi="ar-SA"/>
        </w:rPr>
        <w:id w:val="147462421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</w:sdtEndPr>
      <w:sdtContent>
        <w:p w14:paraId="6D3CA3C9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color w:val="auto"/>
              <w:sz w:val="36"/>
              <w:szCs w:val="36"/>
              <w:highlight w:val="none"/>
            </w:rPr>
          </w:pPr>
          <w:r>
            <w:rPr>
              <w:rFonts w:ascii="宋体" w:hAnsi="宋体" w:eastAsia="宋体"/>
              <w:b/>
              <w:bCs/>
              <w:color w:val="auto"/>
              <w:sz w:val="36"/>
              <w:szCs w:val="36"/>
              <w:highlight w:val="none"/>
            </w:rPr>
            <w:t>目录</w:t>
          </w:r>
        </w:p>
        <w:p w14:paraId="6101E907">
          <w:pPr>
            <w:pStyle w:val="14"/>
            <w:tabs>
              <w:tab w:val="right" w:leader="dot" w:pos="8306"/>
            </w:tabs>
            <w:rPr>
              <w:highlight w:val="none"/>
            </w:rPr>
          </w:pPr>
          <w:r>
            <w:rPr>
              <w:rFonts w:hint="eastAsia" w:ascii="宋体" w:hAnsi="宋体" w:eastAsia="宋体" w:cs="宋体"/>
              <w:color w:val="auto"/>
              <w:kern w:val="2"/>
              <w:sz w:val="24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color w:val="auto"/>
              <w:kern w:val="2"/>
              <w:sz w:val="24"/>
              <w:szCs w:val="24"/>
              <w:highlight w:val="none"/>
              <w:lang w:val="en-US" w:eastAsia="zh-CN" w:bidi="ar-SA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color w:val="auto"/>
              <w:kern w:val="2"/>
              <w:sz w:val="24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_Toc24563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highlight w:val="none"/>
              <w:lang w:val="en-US" w:eastAsia="zh-CN"/>
            </w:rPr>
            <w:t>一、 公司简介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_Toc24563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2</w:t>
          </w:r>
          <w:r>
            <w:rPr>
              <w:highlight w:val="none"/>
            </w:rP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54F80873">
          <w:pPr>
            <w:pStyle w:val="14"/>
            <w:tabs>
              <w:tab w:val="right" w:leader="dot" w:pos="8306"/>
            </w:tabs>
            <w:rPr>
              <w:highlight w:val="none"/>
            </w:rPr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_Toc25027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highlight w:val="none"/>
              <w:lang w:val="en-US" w:eastAsia="zh-CN"/>
            </w:rPr>
            <w:t>二、 农田灌溉水监测概述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_Toc25027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3</w:t>
          </w:r>
          <w:r>
            <w:rPr>
              <w:highlight w:val="none"/>
            </w:rP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4EDAB609">
          <w:pPr>
            <w:pStyle w:val="16"/>
            <w:tabs>
              <w:tab w:val="right" w:leader="dot" w:pos="8306"/>
            </w:tabs>
            <w:rPr>
              <w:highlight w:val="none"/>
            </w:rPr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_Toc23736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highlight w:val="none"/>
              <w:lang w:val="en-US" w:eastAsia="zh-CN"/>
            </w:rPr>
            <w:t>2.1. 农田灌溉水质监测行业背景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_Toc23736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3</w:t>
          </w:r>
          <w:r>
            <w:rPr>
              <w:highlight w:val="none"/>
            </w:rP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13ABF194">
          <w:pPr>
            <w:pStyle w:val="16"/>
            <w:tabs>
              <w:tab w:val="right" w:leader="dot" w:pos="8306"/>
            </w:tabs>
            <w:rPr>
              <w:highlight w:val="none"/>
            </w:rPr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_Toc30105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highlight w:val="none"/>
              <w:lang w:val="en-US" w:eastAsia="zh-CN"/>
            </w:rPr>
            <w:t>2.2. 农田灌溉水质监测特点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_Toc30105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4</w:t>
          </w:r>
          <w:r>
            <w:rPr>
              <w:highlight w:val="none"/>
            </w:rP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5D221E74">
          <w:pPr>
            <w:pStyle w:val="14"/>
            <w:tabs>
              <w:tab w:val="right" w:leader="dot" w:pos="8306"/>
            </w:tabs>
            <w:rPr>
              <w:highlight w:val="none"/>
            </w:rPr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_Toc11500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highlight w:val="none"/>
              <w:lang w:val="en-US" w:eastAsia="zh-CN"/>
            </w:rPr>
            <w:t>三、 建设方案设计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_Toc11500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6</w:t>
          </w:r>
          <w:r>
            <w:rPr>
              <w:highlight w:val="none"/>
            </w:rP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23A4FF59">
          <w:pPr>
            <w:pStyle w:val="16"/>
            <w:tabs>
              <w:tab w:val="right" w:leader="dot" w:pos="8306"/>
            </w:tabs>
            <w:rPr>
              <w:highlight w:val="none"/>
            </w:rPr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_Toc25473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highlight w:val="none"/>
              <w:lang w:val="en-US" w:eastAsia="zh-CN"/>
            </w:rPr>
            <w:t>3.1. 系统框架图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_Toc25473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6</w:t>
          </w:r>
          <w:r>
            <w:rPr>
              <w:highlight w:val="none"/>
            </w:rP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1909F0A1">
          <w:pPr>
            <w:pStyle w:val="16"/>
            <w:tabs>
              <w:tab w:val="right" w:leader="dot" w:pos="8306"/>
            </w:tabs>
            <w:rPr>
              <w:highlight w:val="none"/>
            </w:rPr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_Toc17094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highlight w:val="none"/>
              <w:lang w:val="en-US" w:eastAsia="zh-CN"/>
            </w:rPr>
            <w:t>3.2. 设备选型策略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_Toc17094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6</w:t>
          </w:r>
          <w:r>
            <w:rPr>
              <w:highlight w:val="none"/>
            </w:rP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7B709C5A">
          <w:pPr>
            <w:pStyle w:val="14"/>
            <w:tabs>
              <w:tab w:val="right" w:leader="dot" w:pos="8306"/>
            </w:tabs>
            <w:rPr>
              <w:highlight w:val="none"/>
            </w:rPr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_Toc4568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highlight w:val="none"/>
              <w:lang w:val="en-US" w:eastAsia="zh-CN"/>
            </w:rPr>
            <w:t>四、 产品介绍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_Toc4568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7</w:t>
          </w:r>
          <w:r>
            <w:rPr>
              <w:highlight w:val="none"/>
            </w:rP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0993CDB3">
          <w:pPr>
            <w:pStyle w:val="16"/>
            <w:tabs>
              <w:tab w:val="right" w:leader="dot" w:pos="8306"/>
            </w:tabs>
            <w:rPr>
              <w:highlight w:val="none"/>
            </w:rPr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_Toc15405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highlight w:val="none"/>
              <w:lang w:val="en-US" w:eastAsia="zh-CN"/>
            </w:rPr>
            <w:t>4.1. 技术参数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_Toc15405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7</w:t>
          </w:r>
          <w:r>
            <w:rPr>
              <w:highlight w:val="none"/>
            </w:rP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13BF277B">
          <w:pPr>
            <w:pStyle w:val="16"/>
            <w:tabs>
              <w:tab w:val="right" w:leader="dot" w:pos="8306"/>
            </w:tabs>
            <w:rPr>
              <w:highlight w:val="none"/>
            </w:rPr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_Toc7166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highlight w:val="none"/>
              <w:lang w:val="en-US" w:eastAsia="zh-CN"/>
            </w:rPr>
            <w:t>4.2. 场景适配性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_Toc7166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10</w:t>
          </w:r>
          <w:r>
            <w:rPr>
              <w:highlight w:val="none"/>
            </w:rP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75967F7A">
          <w:pPr>
            <w:pStyle w:val="14"/>
            <w:tabs>
              <w:tab w:val="right" w:leader="dot" w:pos="8306"/>
            </w:tabs>
            <w:rPr>
              <w:highlight w:val="none"/>
            </w:rPr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_Toc12236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highlight w:val="none"/>
              <w:lang w:val="en-US" w:eastAsia="zh-CN"/>
            </w:rPr>
            <w:t>五、 设备寿命及维护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_Toc12236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11</w:t>
          </w:r>
          <w:r>
            <w:rPr>
              <w:highlight w:val="none"/>
            </w:rP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7BD969D9">
          <w:pPr>
            <w:pStyle w:val="16"/>
            <w:tabs>
              <w:tab w:val="right" w:leader="dot" w:pos="8306"/>
            </w:tabs>
            <w:rPr>
              <w:highlight w:val="none"/>
            </w:rPr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_Toc11155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highlight w:val="none"/>
              <w:lang w:val="en-US" w:eastAsia="zh-CN"/>
            </w:rPr>
            <w:t>5.1. 设备寿命周期与维护周期表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_Toc11155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11</w:t>
          </w:r>
          <w:r>
            <w:rPr>
              <w:highlight w:val="none"/>
            </w:rP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5EAEA9EB">
          <w:pPr>
            <w:pStyle w:val="16"/>
            <w:tabs>
              <w:tab w:val="right" w:leader="dot" w:pos="8306"/>
            </w:tabs>
            <w:rPr>
              <w:highlight w:val="none"/>
            </w:rPr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_Toc24537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highlight w:val="none"/>
            </w:rPr>
            <w:t xml:space="preserve">5.2. </w:t>
          </w:r>
          <w:r>
            <w:rPr>
              <w:rFonts w:hint="eastAsia"/>
              <w:highlight w:val="none"/>
              <w:lang w:val="en-US" w:eastAsia="zh-CN"/>
            </w:rPr>
            <w:t>设备</w:t>
          </w:r>
          <w:r>
            <w:rPr>
              <w:rFonts w:hint="eastAsia"/>
              <w:highlight w:val="none"/>
            </w:rPr>
            <w:t>日常维护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_Toc24537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12</w:t>
          </w:r>
          <w:r>
            <w:rPr>
              <w:highlight w:val="none"/>
            </w:rP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265C576B">
          <w:pPr>
            <w:pStyle w:val="16"/>
            <w:tabs>
              <w:tab w:val="right" w:leader="dot" w:pos="8306"/>
            </w:tabs>
            <w:rPr>
              <w:highlight w:val="none"/>
            </w:rPr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_Toc9381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highlight w:val="none"/>
            </w:rPr>
            <w:t xml:space="preserve">5.3. </w:t>
          </w:r>
          <w:r>
            <w:rPr>
              <w:rFonts w:hint="eastAsia"/>
              <w:highlight w:val="none"/>
              <w:lang w:val="en-US" w:eastAsia="zh-CN"/>
            </w:rPr>
            <w:t>设备</w:t>
          </w:r>
          <w:r>
            <w:rPr>
              <w:rFonts w:hint="eastAsia"/>
              <w:highlight w:val="none"/>
            </w:rPr>
            <w:t>维护注意事项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_Toc9381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16</w:t>
          </w:r>
          <w:r>
            <w:rPr>
              <w:highlight w:val="none"/>
            </w:rP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1CF395AC">
          <w:pPr>
            <w:pStyle w:val="14"/>
            <w:tabs>
              <w:tab w:val="right" w:leader="dot" w:pos="8306"/>
            </w:tabs>
            <w:rPr>
              <w:highlight w:val="none"/>
            </w:rPr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_Toc1068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highlight w:val="none"/>
              <w:lang w:val="en-US" w:eastAsia="zh-CN"/>
            </w:rPr>
            <w:t>六、 案例展示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_Toc1068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21</w:t>
          </w:r>
          <w:r>
            <w:rPr>
              <w:highlight w:val="none"/>
            </w:rP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2853779D">
          <w:pPr>
            <w:pStyle w:val="16"/>
            <w:tabs>
              <w:tab w:val="right" w:leader="dot" w:pos="8306"/>
            </w:tabs>
            <w:rPr>
              <w:highlight w:val="none"/>
            </w:rPr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_Toc26841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highlight w:val="none"/>
              <w:lang w:val="en-US" w:eastAsia="zh-CN"/>
            </w:rPr>
            <w:t>6.1. 江苏常州西夏墅东南村稻田灌溉用水监测系统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_Toc26841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21</w:t>
          </w:r>
          <w:r>
            <w:rPr>
              <w:highlight w:val="none"/>
            </w:rP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290E483E">
          <w:pPr>
            <w:pStyle w:val="16"/>
            <w:tabs>
              <w:tab w:val="right" w:leader="dot" w:pos="8306"/>
            </w:tabs>
            <w:rPr>
              <w:highlight w:val="none"/>
            </w:rPr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_Toc2952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highlight w:val="none"/>
              <w:lang w:val="en-US" w:eastAsia="zh-CN"/>
            </w:rPr>
            <w:t>6.2. 浙江湖州农田灌溉项目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_Toc2952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21</w:t>
          </w:r>
          <w:r>
            <w:rPr>
              <w:highlight w:val="none"/>
            </w:rP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40F13162">
          <w:pPr>
            <w:rPr>
              <w:rFonts w:hint="eastAsia" w:ascii="宋体" w:hAnsi="宋体" w:eastAsia="宋体" w:cs="宋体"/>
              <w:color w:val="auto"/>
              <w:kern w:val="2"/>
              <w:sz w:val="24"/>
              <w:szCs w:val="24"/>
              <w:highlight w:val="none"/>
              <w:lang w:val="en-US" w:eastAsia="zh-CN" w:bidi="ar-SA"/>
            </w:rPr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</w:sdtContent>
    </w:sdt>
    <w:p w14:paraId="34DAA2F4">
      <w:pPr>
        <w:rPr>
          <w:rFonts w:hint="eastAsia"/>
          <w:color w:val="auto"/>
          <w:highlight w:val="none"/>
        </w:rPr>
      </w:pPr>
    </w:p>
    <w:p w14:paraId="156117B7">
      <w:pPr>
        <w:rPr>
          <w:rFonts w:hint="eastAsia"/>
          <w:color w:val="auto"/>
          <w:highlight w:val="none"/>
        </w:rPr>
        <w:sectPr>
          <w:headerReference r:id="rId6" w:type="default"/>
          <w:footerReference r:id="rId7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522919CD">
      <w:pPr>
        <w:pStyle w:val="2"/>
        <w:bidi w:val="0"/>
        <w:rPr>
          <w:rFonts w:hint="eastAsia"/>
          <w:color w:val="auto"/>
          <w:highlight w:val="none"/>
          <w:lang w:val="en-US" w:eastAsia="zh-CN"/>
        </w:rPr>
      </w:pPr>
      <w:bookmarkStart w:id="0" w:name="_Toc3865"/>
      <w:bookmarkStart w:id="1" w:name="_Toc24563"/>
      <w:r>
        <w:rPr>
          <w:rFonts w:hint="eastAsia"/>
          <w:color w:val="auto"/>
          <w:highlight w:val="none"/>
          <w:lang w:val="en-US" w:eastAsia="zh-CN"/>
        </w:rPr>
        <w:t>公司简介</w:t>
      </w:r>
      <w:bookmarkEnd w:id="0"/>
      <w:bookmarkEnd w:id="1"/>
    </w:p>
    <w:p w14:paraId="005BDF9F">
      <w:pPr>
        <w:rPr>
          <w:rFonts w:hint="eastAsia"/>
          <w:color w:val="auto"/>
          <w:highlight w:val="none"/>
          <w:lang w:val="en-US" w:eastAsia="zh-CN"/>
        </w:rPr>
      </w:pPr>
    </w:p>
    <w:p w14:paraId="73B189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4585970" cy="3395980"/>
            <wp:effectExtent l="0" t="0" r="1270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DEB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color w:val="auto"/>
          <w:highlight w:val="none"/>
        </w:rPr>
      </w:pPr>
    </w:p>
    <w:p w14:paraId="05A25232">
      <w:p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青岛精诚仪器仪表</w:t>
      </w:r>
      <w:r>
        <w:rPr>
          <w:rFonts w:hint="eastAsia"/>
          <w:highlight w:val="none"/>
        </w:rPr>
        <w:t>有限公司（简称</w:t>
      </w:r>
      <w:r>
        <w:rPr>
          <w:rFonts w:hint="eastAsia"/>
          <w:highlight w:val="none"/>
          <w:lang w:val="en-US" w:eastAsia="zh-CN"/>
        </w:rPr>
        <w:t>青岛精诚</w:t>
      </w:r>
      <w:r>
        <w:rPr>
          <w:rFonts w:hint="eastAsia"/>
          <w:highlight w:val="none"/>
        </w:rPr>
        <w:t>）</w:t>
      </w:r>
      <w:r>
        <w:rPr>
          <w:rFonts w:hint="eastAsia"/>
          <w:color w:val="auto"/>
          <w:highlight w:val="none"/>
          <w:lang w:val="en-US" w:eastAsia="zh-CN"/>
        </w:rPr>
        <w:t>，是一家专业从事生态环境、水利水务、工业过程控制、智慧农业、海洋监测等应用的水质分析仪器研发制造商，以自主研发生产的水质自动监测仪器为核心，应用自动化控制与系统集成技术，为客户提供自动化、智能化的环境监测系统解决方案，并为客户提供环境监测设施的第三方运营服务。</w:t>
      </w:r>
    </w:p>
    <w:p w14:paraId="6D03DE0F">
      <w:p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我公司拥有完善的研发、生产、销售和技术服务团队，是国内水质数字传感领导品牌，为国内近百个市、县（区）政府和生态环境部门提供水环境监测技术支撑。</w:t>
      </w:r>
    </w:p>
    <w:p w14:paraId="61776EF0">
      <w:pPr>
        <w:rPr>
          <w:rFonts w:hint="eastAsia"/>
          <w:color w:val="auto"/>
          <w:highlight w:val="none"/>
          <w:lang w:val="en-US" w:eastAsia="zh-CN"/>
        </w:rPr>
      </w:pPr>
    </w:p>
    <w:p w14:paraId="2C56EA36">
      <w:pPr>
        <w:rPr>
          <w:rFonts w:hint="eastAsia"/>
          <w:color w:val="auto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0EAF1881">
      <w:pPr>
        <w:pStyle w:val="2"/>
        <w:bidi w:val="0"/>
        <w:rPr>
          <w:rFonts w:hint="eastAsia"/>
          <w:color w:val="auto"/>
          <w:highlight w:val="none"/>
          <w:lang w:val="en-US" w:eastAsia="zh-CN"/>
        </w:rPr>
      </w:pPr>
      <w:bookmarkStart w:id="2" w:name="_Toc25027"/>
      <w:bookmarkStart w:id="3" w:name="_Toc28553"/>
      <w:r>
        <w:rPr>
          <w:rFonts w:hint="eastAsia"/>
          <w:color w:val="auto"/>
          <w:highlight w:val="none"/>
          <w:lang w:val="en-US" w:eastAsia="zh-CN"/>
        </w:rPr>
        <w:t>农田灌溉水监测概述</w:t>
      </w:r>
      <w:bookmarkEnd w:id="2"/>
      <w:bookmarkEnd w:id="3"/>
    </w:p>
    <w:p w14:paraId="41488666">
      <w:pPr>
        <w:pStyle w:val="3"/>
        <w:bidi w:val="0"/>
        <w:rPr>
          <w:rFonts w:hint="eastAsia"/>
          <w:color w:val="auto"/>
          <w:highlight w:val="none"/>
          <w:lang w:val="en-US" w:eastAsia="zh-CN"/>
        </w:rPr>
      </w:pPr>
      <w:bookmarkStart w:id="4" w:name="_Toc23736"/>
      <w:r>
        <w:rPr>
          <w:rFonts w:hint="eastAsia"/>
          <w:color w:val="auto"/>
          <w:highlight w:val="none"/>
          <w:lang w:val="en-US" w:eastAsia="zh-CN"/>
        </w:rPr>
        <w:t>农田灌溉水质监测行业背景</w:t>
      </w:r>
      <w:bookmarkEnd w:id="4"/>
    </w:p>
    <w:p w14:paraId="6F250E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b/>
          <w:bCs/>
          <w:color w:val="auto"/>
          <w:highlight w:val="none"/>
          <w:lang w:val="en-US" w:eastAsia="zh-CN"/>
        </w:rPr>
      </w:pPr>
      <w:r>
        <w:rPr>
          <w:rFonts w:hint="default"/>
          <w:b/>
          <w:bCs/>
          <w:color w:val="auto"/>
          <w:highlight w:val="none"/>
          <w:lang w:val="en-US" w:eastAsia="zh-CN"/>
        </w:rPr>
        <w:t>1. 水质参数复杂多样，检测难度大</w:t>
      </w:r>
    </w:p>
    <w:p w14:paraId="135A2E20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污染物种类多：灌溉水可能受工业废水、农业面源污染（农药、化肥）、生活污水等影响，需检测重金属（如镉、砷）、有机物（农药残留）、盐分（电导率）、pH值、悬浮物、病原微生</w:t>
      </w:r>
      <w:r>
        <w:rPr>
          <w:rFonts w:hint="eastAsia"/>
          <w:highlight w:val="none"/>
          <w:lang w:val="en-US" w:eastAsia="zh-CN"/>
        </w:rPr>
        <w:t xml:space="preserve"> </w:t>
      </w:r>
      <w:r>
        <w:rPr>
          <w:rFonts w:hint="default"/>
          <w:highlight w:val="none"/>
          <w:lang w:val="en-US" w:eastAsia="zh-CN"/>
        </w:rPr>
        <w:t>物等多种参数。</w:t>
      </w:r>
    </w:p>
    <w:p w14:paraId="76586643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技术要求高：部分检测需专业仪器（如光谱仪、色谱仪）和实验室条件，农村地区缺乏技术支撑，操作门槛高。</w:t>
      </w:r>
    </w:p>
    <w:p w14:paraId="7A5D84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b/>
          <w:bCs/>
          <w:color w:val="auto"/>
          <w:highlight w:val="none"/>
          <w:lang w:val="en-US" w:eastAsia="zh-CN"/>
        </w:rPr>
      </w:pPr>
      <w:r>
        <w:rPr>
          <w:rFonts w:hint="default"/>
          <w:b/>
          <w:bCs/>
          <w:color w:val="auto"/>
          <w:highlight w:val="none"/>
          <w:lang w:val="en-US" w:eastAsia="zh-CN"/>
        </w:rPr>
        <w:t>2. 检测设备成本高且便携性不足</w:t>
      </w:r>
    </w:p>
    <w:p w14:paraId="4FD4061E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实验室设备昂贵：传统检测依赖实验室设备（如ICP-MS、HPLC），购置和维护成本高，难以普及。</w:t>
      </w:r>
    </w:p>
    <w:p w14:paraId="380B0D64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便携设备局限性：现有便携式设备在精度、续航、多参数集成度上不足，且对操作人员专业要求较高。</w:t>
      </w:r>
    </w:p>
    <w:p w14:paraId="417E47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b/>
          <w:bCs/>
          <w:color w:val="auto"/>
          <w:highlight w:val="none"/>
          <w:lang w:val="en-US" w:eastAsia="zh-CN"/>
        </w:rPr>
      </w:pPr>
      <w:r>
        <w:rPr>
          <w:rFonts w:hint="default"/>
          <w:b/>
          <w:bCs/>
          <w:color w:val="auto"/>
          <w:highlight w:val="none"/>
          <w:lang w:val="en-US" w:eastAsia="zh-CN"/>
        </w:rPr>
        <w:t>3. 实时监测能力薄弱</w:t>
      </w:r>
    </w:p>
    <w:p w14:paraId="3BEEDE47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依赖人工采样：传统方法需定期采样送检，无法实时反映水质动态变化，突发污染事件难以及时预警。</w:t>
      </w:r>
    </w:p>
    <w:p w14:paraId="6650F376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在线监测系统普及率低：农村地区网络覆盖不足，传感器易受环境（泥沙、温度）干扰，维护成本高。</w:t>
      </w:r>
    </w:p>
    <w:p w14:paraId="03B94F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b/>
          <w:bCs/>
          <w:color w:val="auto"/>
          <w:highlight w:val="none"/>
          <w:lang w:val="en-US" w:eastAsia="zh-CN"/>
        </w:rPr>
      </w:pPr>
      <w:r>
        <w:rPr>
          <w:rFonts w:hint="default"/>
          <w:b/>
          <w:bCs/>
          <w:color w:val="auto"/>
          <w:highlight w:val="none"/>
          <w:lang w:val="en-US" w:eastAsia="zh-CN"/>
        </w:rPr>
        <w:t>4. 设备维护与环境适应性差</w:t>
      </w:r>
    </w:p>
    <w:p w14:paraId="6A408A4F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恶劣环境挑战：农田灌溉场景多位于偏远地区，设备需耐高温、防尘、防水，但现有设备易故障。</w:t>
      </w:r>
    </w:p>
    <w:p w14:paraId="32584800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维护困难：缺乏专业技术人员，传感器易因泥沙堵塞、生物膜附着导致数据漂移或失效。</w:t>
      </w:r>
    </w:p>
    <w:p w14:paraId="58C5A8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b/>
          <w:bCs/>
          <w:color w:val="auto"/>
          <w:highlight w:val="none"/>
          <w:lang w:val="en-US" w:eastAsia="zh-CN"/>
        </w:rPr>
      </w:pPr>
      <w:r>
        <w:rPr>
          <w:rFonts w:hint="default"/>
          <w:b/>
          <w:bCs/>
          <w:color w:val="auto"/>
          <w:highlight w:val="none"/>
          <w:lang w:val="en-US" w:eastAsia="zh-CN"/>
        </w:rPr>
        <w:t>5. 数据管理与智能化水平低</w:t>
      </w:r>
    </w:p>
    <w:p w14:paraId="00AC2462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数据孤岛现象：监测数据分散，缺乏统一平台整合分析，难以支持科学决策。</w:t>
      </w:r>
    </w:p>
    <w:p w14:paraId="2AC92599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智能化不足：缺少AI驱动的污染溯源、风险预测功能，无法提前预警盐碱化、重金属累积等长期风险。</w:t>
      </w:r>
    </w:p>
    <w:p w14:paraId="46BFF1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b/>
          <w:bCs/>
          <w:color w:val="auto"/>
          <w:highlight w:val="none"/>
          <w:lang w:val="en-US" w:eastAsia="zh-CN"/>
        </w:rPr>
      </w:pPr>
      <w:r>
        <w:rPr>
          <w:rFonts w:hint="default"/>
          <w:b/>
          <w:bCs/>
          <w:color w:val="auto"/>
          <w:highlight w:val="none"/>
          <w:lang w:val="en-US" w:eastAsia="zh-CN"/>
        </w:rPr>
        <w:t>6. 标准与执行不统一</w:t>
      </w:r>
    </w:p>
    <w:p w14:paraId="7334673B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标准差异：不同地区对灌溉水质标准（如GB 5084-2021）执行力度不一，部分指标（如新兴污染物）缺乏明确规范。</w:t>
      </w:r>
    </w:p>
    <w:p w14:paraId="02980CC6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监管缺位：基层检测资源不足，农户和企业可能逃避检测，导致污染灌溉水流入农田。</w:t>
      </w:r>
    </w:p>
    <w:p w14:paraId="7FB5DE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b/>
          <w:bCs/>
          <w:color w:val="auto"/>
          <w:highlight w:val="none"/>
          <w:lang w:val="en-US" w:eastAsia="zh-CN"/>
        </w:rPr>
      </w:pPr>
      <w:r>
        <w:rPr>
          <w:rFonts w:hint="default"/>
          <w:b/>
          <w:bCs/>
          <w:color w:val="auto"/>
          <w:highlight w:val="none"/>
          <w:lang w:val="en-US" w:eastAsia="zh-CN"/>
        </w:rPr>
        <w:t>7. 用户意识与经济性矛盾</w:t>
      </w:r>
    </w:p>
    <w:p w14:paraId="0C43F6EA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认知不足：农户更关注短期成本，忽视水质对土壤健康和作物安全的长期影响。</w:t>
      </w:r>
    </w:p>
    <w:p w14:paraId="787EA859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经济压力：小型农场难以承担高额检测费用，倾向于简化或跳过监测环节</w:t>
      </w:r>
    </w:p>
    <w:p w14:paraId="7BEB1F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b/>
          <w:bCs/>
          <w:color w:val="auto"/>
          <w:highlight w:val="none"/>
          <w:lang w:val="en-US" w:eastAsia="zh-CN"/>
        </w:rPr>
      </w:pPr>
      <w:r>
        <w:rPr>
          <w:rFonts w:hint="default"/>
          <w:b/>
          <w:bCs/>
          <w:color w:val="auto"/>
          <w:highlight w:val="none"/>
          <w:lang w:val="en-US" w:eastAsia="zh-CN"/>
        </w:rPr>
        <w:t>8. 水源多样性增加监测复杂度</w:t>
      </w:r>
    </w:p>
    <w:p w14:paraId="1B1D2A16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水源类型多样：地表水（河流、水库）、地下水、再生水等污染物特征差异大，需定制化监测方案。</w:t>
      </w:r>
    </w:p>
    <w:p w14:paraId="64D376D1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跨界污染问题：水源可能流经多个区域，责任划分不清，协同治理困难。</w:t>
      </w:r>
    </w:p>
    <w:p w14:paraId="146B81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b/>
          <w:bCs/>
          <w:color w:val="auto"/>
          <w:highlight w:val="none"/>
          <w:lang w:val="en-US" w:eastAsia="zh-CN"/>
        </w:rPr>
      </w:pPr>
      <w:r>
        <w:rPr>
          <w:rFonts w:hint="default"/>
          <w:b/>
          <w:bCs/>
          <w:color w:val="auto"/>
          <w:highlight w:val="none"/>
          <w:lang w:val="en-US" w:eastAsia="zh-CN"/>
        </w:rPr>
        <w:t>9. 政策与资金支持不足</w:t>
      </w:r>
    </w:p>
    <w:p w14:paraId="39FC83F6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基层执行弱：部分地区政策停留在文件层面，缺乏专项资金和技术推广。</w:t>
      </w:r>
    </w:p>
    <w:p w14:paraId="4774820E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补贴机制缺失：设备采购和运维成本缺乏补贴，制约技术普及。</w:t>
      </w:r>
    </w:p>
    <w:p w14:paraId="00852EBD">
      <w:pPr>
        <w:pStyle w:val="3"/>
        <w:bidi w:val="0"/>
        <w:outlineLvl w:val="1"/>
        <w:rPr>
          <w:rFonts w:hint="default"/>
          <w:color w:val="auto"/>
          <w:highlight w:val="none"/>
          <w:lang w:val="en-US" w:eastAsia="zh-CN"/>
        </w:rPr>
      </w:pPr>
      <w:bookmarkStart w:id="5" w:name="_Toc16844"/>
      <w:bookmarkStart w:id="6" w:name="_Toc30105"/>
      <w:r>
        <w:rPr>
          <w:rFonts w:hint="eastAsia"/>
          <w:color w:val="auto"/>
          <w:highlight w:val="none"/>
          <w:lang w:val="en-US" w:eastAsia="zh-CN"/>
        </w:rPr>
        <w:t>农田灌溉水质监测特点</w:t>
      </w:r>
      <w:bookmarkEnd w:id="5"/>
      <w:bookmarkEnd w:id="6"/>
    </w:p>
    <w:p w14:paraId="670DF1AB">
      <w:pPr>
        <w:ind w:left="0" w:leftChars="0" w:firstLine="240" w:firstLineChars="100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农田灌溉水质监测是农业可持续发展和生态环境保护的重要环节，其行业特点主要体现在以下几个方面：</w:t>
      </w:r>
    </w:p>
    <w:p w14:paraId="207FADDA">
      <w:pPr>
        <w:rPr>
          <w:rFonts w:hint="eastAsia"/>
          <w:b/>
          <w:bCs/>
          <w:color w:val="auto"/>
          <w:highlight w:val="none"/>
          <w:lang w:val="en-US" w:eastAsia="zh-CN"/>
        </w:rPr>
      </w:pPr>
      <w:r>
        <w:rPr>
          <w:rFonts w:hint="eastAsia"/>
          <w:b/>
          <w:bCs/>
          <w:color w:val="auto"/>
          <w:highlight w:val="none"/>
          <w:lang w:val="en-US" w:eastAsia="zh-CN"/>
        </w:rPr>
        <w:t>1. 高度依赖政策与标准规范</w:t>
      </w:r>
    </w:p>
    <w:p w14:paraId="330F5FCB">
      <w:p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国家标准约束：中国《农田灌溉水质标准》（GB 5084-2021）明确规定了灌溉水中重金属（如镉、铅）、有机物、盐分、pH值等关键指标限值，监测需严格对标。</w:t>
      </w:r>
    </w:p>
    <w:p w14:paraId="7B270766">
      <w:p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政策驱动需求：农业面源污染治理、高标准农田建设、“双碳”目标等政策推动监测需求增长，尤其是生态脆弱区或集约化农业区。</w:t>
      </w:r>
    </w:p>
    <w:p w14:paraId="63DFB736">
      <w:p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地方性法规补充：部分地区根据土壤类型、作物敏感性和污染源差异，制定更严格的地方标准（如重金属污染重点区域）。</w:t>
      </w:r>
    </w:p>
    <w:p w14:paraId="5EAAE896">
      <w:pPr>
        <w:rPr>
          <w:rFonts w:hint="eastAsia"/>
          <w:b/>
          <w:bCs/>
          <w:color w:val="auto"/>
          <w:highlight w:val="none"/>
          <w:lang w:val="en-US" w:eastAsia="zh-CN"/>
        </w:rPr>
      </w:pPr>
      <w:r>
        <w:rPr>
          <w:rFonts w:hint="eastAsia"/>
          <w:b/>
          <w:bCs/>
          <w:color w:val="auto"/>
          <w:highlight w:val="none"/>
          <w:lang w:val="en-US" w:eastAsia="zh-CN"/>
        </w:rPr>
        <w:t>2. 监测指标复杂多样</w:t>
      </w:r>
    </w:p>
    <w:p w14:paraId="77BFA565">
      <w:p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核心参数：</w:t>
      </w:r>
    </w:p>
    <w:p w14:paraId="1CC1B250">
      <w:p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理化指标：盐分（电导率）、pH、悬浮物等，直接影响土壤盐渍化和作物吸收。</w:t>
      </w:r>
    </w:p>
    <w:p w14:paraId="04C3E981">
      <w:p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污染物：重金属（镉、砷、汞）、农药残留、石油类、挥发性酚等工业或农业源污染物。</w:t>
      </w:r>
    </w:p>
    <w:p w14:paraId="17164615">
      <w:p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营养元素：氮、磷等过量可能导致水体富营养化。</w:t>
      </w:r>
    </w:p>
    <w:p w14:paraId="0668D934">
      <w:p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新兴关注点：微塑料、抗生素等新型污染物逐渐被纳入研究范围。</w:t>
      </w:r>
    </w:p>
    <w:p w14:paraId="62228221">
      <w:pPr>
        <w:rPr>
          <w:rFonts w:hint="eastAsia"/>
          <w:b/>
          <w:bCs/>
          <w:color w:val="auto"/>
          <w:highlight w:val="none"/>
          <w:lang w:val="en-US" w:eastAsia="zh-CN"/>
        </w:rPr>
      </w:pPr>
      <w:r>
        <w:rPr>
          <w:rFonts w:hint="eastAsia"/>
          <w:b/>
          <w:bCs/>
          <w:color w:val="auto"/>
          <w:highlight w:val="none"/>
          <w:lang w:val="en-US" w:eastAsia="zh-CN"/>
        </w:rPr>
        <w:t>3. 技术手段逐步智能化</w:t>
      </w:r>
    </w:p>
    <w:p w14:paraId="506E1A49">
      <w:p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传统实验室检测：仍为主流，但耗时耗力，适用于高精度定量分析（如重金属检测需原子吸收光谱法）。</w:t>
      </w:r>
    </w:p>
    <w:p w14:paraId="0E3C4E7E">
      <w:p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现场快速检测：便携式设备（如多参数水质仪、试纸）用于初步筛查，提升效率。</w:t>
      </w:r>
    </w:p>
    <w:p w14:paraId="42D5E0BE">
      <w:p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物联网与大数据：</w:t>
      </w:r>
    </w:p>
    <w:p w14:paraId="76893733">
      <w:p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传感器网络实时监测水质动态，结合GIS技术进行空间污染分布分析。</w:t>
      </w:r>
    </w:p>
    <w:p w14:paraId="412D80C7">
      <w:p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数据平台实现预警和趋势预测，例如通过AI模型关联污染源与灌溉水质变化。</w:t>
      </w:r>
    </w:p>
    <w:p w14:paraId="40BDDACA">
      <w:pPr>
        <w:rPr>
          <w:rFonts w:hint="eastAsia"/>
          <w:b/>
          <w:bCs/>
          <w:color w:val="auto"/>
          <w:highlight w:val="none"/>
          <w:lang w:val="en-US" w:eastAsia="zh-CN"/>
        </w:rPr>
      </w:pPr>
      <w:r>
        <w:rPr>
          <w:rFonts w:hint="eastAsia"/>
          <w:b/>
          <w:bCs/>
          <w:color w:val="auto"/>
          <w:highlight w:val="none"/>
          <w:lang w:val="en-US" w:eastAsia="zh-CN"/>
        </w:rPr>
        <w:t>4. 区域差异性显著</w:t>
      </w:r>
    </w:p>
    <w:p w14:paraId="329BD30B">
      <w:p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污染源差异：</w:t>
      </w:r>
    </w:p>
    <w:p w14:paraId="59DB198F">
      <w:p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工业密集区：重金属、化学有机物污染风险高（如长三角、珠三角周边农田）。</w:t>
      </w:r>
    </w:p>
    <w:p w14:paraId="2685D574">
      <w:p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农业主产区：化肥、农药残留及畜禽养殖废水是主要污染源（如华北平原、东北粮仓）。</w:t>
      </w:r>
    </w:p>
    <w:p w14:paraId="6D781668">
      <w:p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干旱半干旱区：盐碱化问题突出，需重点监测电导率和钠吸附比（SAR）。</w:t>
      </w:r>
    </w:p>
    <w:p w14:paraId="4623F638">
      <w:p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作物适配性：不同作物对水质敏感度不同（如水稻耐盐性较强，而蔬菜类对重金属更敏感），监测需针对性调整。</w:t>
      </w:r>
    </w:p>
    <w:p w14:paraId="35D2CF63">
      <w:pPr>
        <w:pStyle w:val="2"/>
        <w:bidi w:val="0"/>
        <w:rPr>
          <w:rFonts w:hint="eastAsia"/>
          <w:color w:val="auto"/>
          <w:highlight w:val="none"/>
          <w:lang w:val="en-US" w:eastAsia="zh-CN"/>
        </w:rPr>
      </w:pPr>
      <w:bookmarkStart w:id="7" w:name="_Toc11500"/>
      <w:bookmarkStart w:id="8" w:name="_Toc15099"/>
      <w:r>
        <w:rPr>
          <w:rFonts w:hint="eastAsia"/>
          <w:color w:val="auto"/>
          <w:highlight w:val="none"/>
          <w:lang w:val="en-US" w:eastAsia="zh-CN"/>
        </w:rPr>
        <w:t>建设方案设计</w:t>
      </w:r>
      <w:bookmarkEnd w:id="7"/>
      <w:bookmarkEnd w:id="8"/>
    </w:p>
    <w:p w14:paraId="5FB79E96">
      <w:pPr>
        <w:pStyle w:val="3"/>
        <w:bidi w:val="0"/>
        <w:rPr>
          <w:rFonts w:hint="eastAsia"/>
          <w:color w:val="auto"/>
          <w:highlight w:val="none"/>
          <w:lang w:val="en-US" w:eastAsia="zh-CN"/>
        </w:rPr>
      </w:pPr>
      <w:bookmarkStart w:id="9" w:name="_Toc25473"/>
      <w:r>
        <w:rPr>
          <w:rFonts w:hint="eastAsia"/>
          <w:color w:val="auto"/>
          <w:highlight w:val="none"/>
          <w:lang w:val="en-US" w:eastAsia="zh-CN"/>
        </w:rPr>
        <w:t>系统框架图</w:t>
      </w:r>
      <w:bookmarkEnd w:id="9"/>
    </w:p>
    <w:p w14:paraId="37A23A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color w:val="auto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5034915" cy="3370580"/>
            <wp:effectExtent l="0" t="0" r="13335" b="12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l="7627" r="8919"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B4D08">
      <w:pPr>
        <w:rPr>
          <w:rFonts w:hint="eastAsia"/>
          <w:color w:val="auto"/>
          <w:highlight w:val="none"/>
          <w:lang w:val="en-US" w:eastAsia="zh-CN"/>
        </w:rPr>
      </w:pPr>
    </w:p>
    <w:p w14:paraId="6D717F2C">
      <w:pPr>
        <w:pStyle w:val="3"/>
        <w:bidi w:val="0"/>
        <w:rPr>
          <w:rFonts w:hint="eastAsia"/>
          <w:color w:val="auto"/>
          <w:highlight w:val="none"/>
          <w:lang w:val="en-US" w:eastAsia="zh-CN"/>
        </w:rPr>
      </w:pPr>
      <w:bookmarkStart w:id="10" w:name="_Toc17094"/>
      <w:r>
        <w:rPr>
          <w:rFonts w:hint="eastAsia"/>
          <w:color w:val="auto"/>
          <w:highlight w:val="none"/>
          <w:lang w:val="en-US" w:eastAsia="zh-CN"/>
        </w:rPr>
        <w:t>设备选型策略</w:t>
      </w:r>
      <w:bookmarkEnd w:id="10"/>
    </w:p>
    <w:tbl>
      <w:tblPr>
        <w:tblStyle w:val="20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3"/>
        <w:gridCol w:w="2839"/>
        <w:gridCol w:w="2867"/>
      </w:tblGrid>
      <w:tr w14:paraId="63A1CB6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1" w:type="pct"/>
            <w:vAlign w:val="center"/>
          </w:tcPr>
          <w:p w14:paraId="4E332A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核心监测参数</w:t>
            </w:r>
          </w:p>
        </w:tc>
        <w:tc>
          <w:tcPr>
            <w:tcW w:w="1666" w:type="pct"/>
            <w:vAlign w:val="center"/>
          </w:tcPr>
          <w:p w14:paraId="15C168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设备名称</w:t>
            </w:r>
          </w:p>
        </w:tc>
        <w:tc>
          <w:tcPr>
            <w:tcW w:w="1682" w:type="pct"/>
            <w:vAlign w:val="center"/>
          </w:tcPr>
          <w:p w14:paraId="0B5855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设备原理</w:t>
            </w:r>
          </w:p>
        </w:tc>
      </w:tr>
      <w:tr w14:paraId="534C66D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3"/>
            <w:vAlign w:val="center"/>
          </w:tcPr>
          <w:p w14:paraId="7ACD774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在线监测设备</w:t>
            </w:r>
          </w:p>
        </w:tc>
      </w:tr>
      <w:tr w14:paraId="5889A74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1" w:type="pct"/>
            <w:vAlign w:val="center"/>
          </w:tcPr>
          <w:p w14:paraId="60AFE7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PH</w:t>
            </w:r>
          </w:p>
        </w:tc>
        <w:tc>
          <w:tcPr>
            <w:tcW w:w="1666" w:type="pct"/>
            <w:vAlign w:val="center"/>
          </w:tcPr>
          <w:p w14:paraId="1FF9B4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在线PH传感器</w:t>
            </w:r>
          </w:p>
        </w:tc>
        <w:tc>
          <w:tcPr>
            <w:tcW w:w="1682" w:type="pct"/>
            <w:vAlign w:val="center"/>
          </w:tcPr>
          <w:p w14:paraId="1A7C59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玻璃电极法</w:t>
            </w:r>
          </w:p>
        </w:tc>
      </w:tr>
      <w:tr w14:paraId="114BB73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1" w:type="pct"/>
            <w:vAlign w:val="center"/>
          </w:tcPr>
          <w:p w14:paraId="21986FA1">
            <w:pPr>
              <w:spacing w:line="240" w:lineRule="auto"/>
              <w:ind w:firstLine="0" w:firstLineChars="0"/>
              <w:jc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溶解氧</w:t>
            </w:r>
          </w:p>
        </w:tc>
        <w:tc>
          <w:tcPr>
            <w:tcW w:w="1666" w:type="pct"/>
            <w:vAlign w:val="center"/>
          </w:tcPr>
          <w:p w14:paraId="2748ECF2">
            <w:pPr>
              <w:spacing w:line="240" w:lineRule="auto"/>
              <w:ind w:firstLine="0" w:firstLineChars="0"/>
              <w:jc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在线溶解氧传感器</w:t>
            </w:r>
          </w:p>
        </w:tc>
        <w:tc>
          <w:tcPr>
            <w:tcW w:w="1682" w:type="pct"/>
            <w:vAlign w:val="center"/>
          </w:tcPr>
          <w:p w14:paraId="41B22862">
            <w:pPr>
              <w:spacing w:line="240" w:lineRule="auto"/>
              <w:ind w:firstLine="0" w:firstLineChars="0"/>
              <w:jc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sz w:val="21"/>
                <w:szCs w:val="21"/>
                <w:highlight w:val="none"/>
                <w:lang w:val="en-US" w:eastAsia="zh-CN"/>
              </w:rPr>
              <w:t>荧光法</w:t>
            </w:r>
          </w:p>
        </w:tc>
      </w:tr>
      <w:tr w14:paraId="66508D7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1" w:type="pct"/>
            <w:vAlign w:val="center"/>
          </w:tcPr>
          <w:p w14:paraId="3C829D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电导率</w:t>
            </w:r>
          </w:p>
        </w:tc>
        <w:tc>
          <w:tcPr>
            <w:tcW w:w="1666" w:type="pct"/>
            <w:vAlign w:val="center"/>
          </w:tcPr>
          <w:p w14:paraId="623A48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在线电导率传感器</w:t>
            </w:r>
          </w:p>
        </w:tc>
        <w:tc>
          <w:tcPr>
            <w:tcW w:w="1682" w:type="pct"/>
            <w:vAlign w:val="center"/>
          </w:tcPr>
          <w:p w14:paraId="2BD0FC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接触式电极法</w:t>
            </w:r>
          </w:p>
        </w:tc>
      </w:tr>
      <w:tr w14:paraId="7909455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1" w:type="pct"/>
            <w:vAlign w:val="center"/>
          </w:tcPr>
          <w:p w14:paraId="43082DA7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ORP</w:t>
            </w:r>
          </w:p>
        </w:tc>
        <w:tc>
          <w:tcPr>
            <w:tcW w:w="1666" w:type="pct"/>
            <w:vAlign w:val="center"/>
          </w:tcPr>
          <w:p w14:paraId="3D89B6A2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在线ORP传感器</w:t>
            </w:r>
          </w:p>
        </w:tc>
        <w:tc>
          <w:tcPr>
            <w:tcW w:w="1682" w:type="pct"/>
            <w:vAlign w:val="center"/>
          </w:tcPr>
          <w:p w14:paraId="34E3DCAF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铂电极法</w:t>
            </w:r>
          </w:p>
        </w:tc>
      </w:tr>
      <w:tr w14:paraId="295E6A9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1" w:type="pct"/>
            <w:vAlign w:val="center"/>
          </w:tcPr>
          <w:p w14:paraId="0914A83A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氨氮</w:t>
            </w:r>
          </w:p>
        </w:tc>
        <w:tc>
          <w:tcPr>
            <w:tcW w:w="1666" w:type="pct"/>
            <w:vAlign w:val="center"/>
          </w:tcPr>
          <w:p w14:paraId="0CEBD6E0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在线氨氮传感器/在线氨氮分析仪/在线全光谱多参数传感器</w:t>
            </w:r>
          </w:p>
        </w:tc>
        <w:tc>
          <w:tcPr>
            <w:tcW w:w="1682" w:type="pct"/>
            <w:vAlign w:val="center"/>
          </w:tcPr>
          <w:p w14:paraId="092A2779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离子选择法/水杨酸法/全光谱法</w:t>
            </w:r>
          </w:p>
        </w:tc>
      </w:tr>
      <w:tr w14:paraId="1EBA077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1" w:type="pct"/>
            <w:vAlign w:val="center"/>
          </w:tcPr>
          <w:p w14:paraId="5712AFC5">
            <w:pPr>
              <w:spacing w:line="240" w:lineRule="auto"/>
              <w:ind w:firstLine="0" w:firstLineChars="0"/>
              <w:jc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总磷</w:t>
            </w:r>
          </w:p>
        </w:tc>
        <w:tc>
          <w:tcPr>
            <w:tcW w:w="1666" w:type="pct"/>
            <w:vAlign w:val="center"/>
          </w:tcPr>
          <w:p w14:paraId="5B928C57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在线总磷分析仪/在线全光谱多参数传感器</w:t>
            </w:r>
          </w:p>
        </w:tc>
        <w:tc>
          <w:tcPr>
            <w:tcW w:w="1682" w:type="pct"/>
            <w:vAlign w:val="center"/>
          </w:tcPr>
          <w:p w14:paraId="52206FB6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钼酸铵分光光度法/全光谱法</w:t>
            </w:r>
          </w:p>
        </w:tc>
      </w:tr>
      <w:tr w14:paraId="1BE3926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51" w:type="pct"/>
            <w:shd w:val="clear" w:color="auto" w:fill="auto"/>
            <w:vAlign w:val="center"/>
          </w:tcPr>
          <w:p w14:paraId="31A30B0E">
            <w:pPr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流量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06A4B52F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多普勒流量计/雷达流量计</w:t>
            </w:r>
          </w:p>
        </w:tc>
        <w:tc>
          <w:tcPr>
            <w:tcW w:w="1682" w:type="pct"/>
            <w:shd w:val="clear" w:color="auto" w:fill="auto"/>
            <w:vAlign w:val="center"/>
          </w:tcPr>
          <w:p w14:paraId="7B14BA40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sz w:val="21"/>
                <w:szCs w:val="21"/>
                <w:highlight w:val="none"/>
                <w:lang w:val="en-US" w:eastAsia="zh-CN"/>
              </w:rPr>
              <w:t>超声波/雷达</w:t>
            </w:r>
          </w:p>
        </w:tc>
      </w:tr>
      <w:tr w14:paraId="14AD0F8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1" w:type="pct"/>
            <w:vAlign w:val="center"/>
          </w:tcPr>
          <w:p w14:paraId="543C010F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液位</w:t>
            </w:r>
          </w:p>
        </w:tc>
        <w:tc>
          <w:tcPr>
            <w:tcW w:w="1666" w:type="pct"/>
            <w:vAlign w:val="center"/>
          </w:tcPr>
          <w:p w14:paraId="78000C10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雷达液位计</w:t>
            </w:r>
          </w:p>
        </w:tc>
        <w:tc>
          <w:tcPr>
            <w:tcW w:w="1682" w:type="pct"/>
            <w:vAlign w:val="center"/>
          </w:tcPr>
          <w:p w14:paraId="2FC52238">
            <w:pPr>
              <w:spacing w:line="240" w:lineRule="auto"/>
              <w:ind w:firstLine="0" w:firstLineChars="0"/>
              <w:jc w:val="center"/>
              <w:rPr>
                <w:rFonts w:hint="eastAsia" w:cstheme="minorBidi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theme="minorBidi"/>
                <w:sz w:val="21"/>
                <w:szCs w:val="21"/>
                <w:highlight w:val="none"/>
                <w:lang w:val="en-US" w:eastAsia="zh-CN"/>
              </w:rPr>
              <w:t>雷达</w:t>
            </w:r>
          </w:p>
        </w:tc>
      </w:tr>
      <w:tr w14:paraId="5F96E4A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1" w:type="pct"/>
            <w:vAlign w:val="center"/>
          </w:tcPr>
          <w:p w14:paraId="01EC089F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雨量</w:t>
            </w:r>
          </w:p>
        </w:tc>
        <w:tc>
          <w:tcPr>
            <w:tcW w:w="1666" w:type="pct"/>
            <w:vAlign w:val="center"/>
          </w:tcPr>
          <w:p w14:paraId="33647F3A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雨量传感器</w:t>
            </w:r>
          </w:p>
        </w:tc>
        <w:tc>
          <w:tcPr>
            <w:tcW w:w="1682" w:type="pct"/>
            <w:vAlign w:val="center"/>
          </w:tcPr>
          <w:p w14:paraId="54A569FD">
            <w:pPr>
              <w:spacing w:line="240" w:lineRule="auto"/>
              <w:ind w:firstLine="0" w:firstLineChars="0"/>
              <w:jc w:val="center"/>
              <w:rPr>
                <w:rFonts w:hint="eastAsia" w:cstheme="minorBidi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theme="minorBidi"/>
                <w:sz w:val="21"/>
                <w:szCs w:val="21"/>
                <w:highlight w:val="none"/>
                <w:lang w:val="en-US" w:eastAsia="zh-CN"/>
              </w:rPr>
              <w:t>翻斗式</w:t>
            </w:r>
          </w:p>
        </w:tc>
      </w:tr>
      <w:tr w14:paraId="1E93E9A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1" w:type="pct"/>
            <w:vAlign w:val="center"/>
          </w:tcPr>
          <w:p w14:paraId="1053103C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风速</w:t>
            </w:r>
          </w:p>
        </w:tc>
        <w:tc>
          <w:tcPr>
            <w:tcW w:w="1666" w:type="pct"/>
            <w:vAlign w:val="center"/>
          </w:tcPr>
          <w:p w14:paraId="1C9FB16C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风速传感器/超声波五参数传感器</w:t>
            </w:r>
          </w:p>
        </w:tc>
        <w:tc>
          <w:tcPr>
            <w:tcW w:w="1682" w:type="pct"/>
            <w:vAlign w:val="center"/>
          </w:tcPr>
          <w:p w14:paraId="3CE530DF">
            <w:pPr>
              <w:spacing w:line="240" w:lineRule="auto"/>
              <w:ind w:firstLine="0" w:firstLineChars="0"/>
              <w:jc w:val="center"/>
              <w:rPr>
                <w:rFonts w:hint="eastAsia" w:cstheme="minorBidi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theme="minorBidi"/>
                <w:sz w:val="21"/>
                <w:szCs w:val="21"/>
                <w:highlight w:val="none"/>
                <w:lang w:val="en-US" w:eastAsia="zh-CN"/>
              </w:rPr>
              <w:t>风杯式/超声波时差法（风速、风向）</w:t>
            </w:r>
          </w:p>
        </w:tc>
      </w:tr>
      <w:tr w14:paraId="019AE8D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1" w:type="pct"/>
            <w:vAlign w:val="center"/>
          </w:tcPr>
          <w:p w14:paraId="31AAAE7C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风向</w:t>
            </w:r>
          </w:p>
        </w:tc>
        <w:tc>
          <w:tcPr>
            <w:tcW w:w="1666" w:type="pct"/>
            <w:vAlign w:val="center"/>
          </w:tcPr>
          <w:p w14:paraId="7FAB568F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风向传感器/超声波五参数传感器</w:t>
            </w:r>
          </w:p>
        </w:tc>
        <w:tc>
          <w:tcPr>
            <w:tcW w:w="1682" w:type="pct"/>
            <w:vAlign w:val="center"/>
          </w:tcPr>
          <w:p w14:paraId="309A0D1B">
            <w:pPr>
              <w:spacing w:line="240" w:lineRule="auto"/>
              <w:ind w:firstLine="0" w:firstLineChars="0"/>
              <w:jc w:val="center"/>
              <w:rPr>
                <w:rFonts w:hint="eastAsia" w:cstheme="minorBidi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theme="minorBidi"/>
                <w:sz w:val="21"/>
                <w:szCs w:val="21"/>
                <w:highlight w:val="none"/>
                <w:lang w:val="en-US" w:eastAsia="zh-CN"/>
              </w:rPr>
              <w:t>风向标式/超声波时差法（风速、风向）</w:t>
            </w:r>
          </w:p>
        </w:tc>
      </w:tr>
      <w:tr w14:paraId="020AAA9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1" w:type="pct"/>
            <w:vAlign w:val="center"/>
          </w:tcPr>
          <w:p w14:paraId="72CD1220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温湿度</w:t>
            </w:r>
          </w:p>
        </w:tc>
        <w:tc>
          <w:tcPr>
            <w:tcW w:w="1666" w:type="pct"/>
            <w:vAlign w:val="center"/>
          </w:tcPr>
          <w:p w14:paraId="04EEC70B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温湿度一体传感器/超声波五参数传感器</w:t>
            </w:r>
          </w:p>
        </w:tc>
        <w:tc>
          <w:tcPr>
            <w:tcW w:w="1682" w:type="pct"/>
            <w:vAlign w:val="center"/>
          </w:tcPr>
          <w:p w14:paraId="5BAF7D5B">
            <w:pPr>
              <w:spacing w:line="240" w:lineRule="auto"/>
              <w:ind w:firstLine="0" w:firstLineChars="0"/>
              <w:jc w:val="center"/>
              <w:rPr>
                <w:rFonts w:hint="eastAsia" w:cstheme="minorBidi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theme="minorBidi"/>
                <w:sz w:val="21"/>
                <w:szCs w:val="21"/>
                <w:highlight w:val="none"/>
                <w:lang w:val="en-US" w:eastAsia="zh-CN"/>
              </w:rPr>
              <w:t>电容式（湿度）+热敏电阻（温度）</w:t>
            </w:r>
          </w:p>
        </w:tc>
      </w:tr>
      <w:tr w14:paraId="3397E8F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1" w:type="pct"/>
            <w:vAlign w:val="center"/>
          </w:tcPr>
          <w:p w14:paraId="01F5F576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照度</w:t>
            </w:r>
          </w:p>
        </w:tc>
        <w:tc>
          <w:tcPr>
            <w:tcW w:w="1666" w:type="pct"/>
            <w:vAlign w:val="center"/>
          </w:tcPr>
          <w:p w14:paraId="1FE47AF7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温湿度照度一体传感器</w:t>
            </w:r>
          </w:p>
        </w:tc>
        <w:tc>
          <w:tcPr>
            <w:tcW w:w="1682" w:type="pct"/>
            <w:vAlign w:val="center"/>
          </w:tcPr>
          <w:p w14:paraId="4442BDF9">
            <w:pPr>
              <w:spacing w:line="240" w:lineRule="auto"/>
              <w:ind w:firstLine="0" w:firstLineChars="0"/>
              <w:jc w:val="center"/>
              <w:rPr>
                <w:rFonts w:hint="eastAsia" w:cstheme="minorBidi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theme="minorBidi"/>
                <w:sz w:val="21"/>
                <w:szCs w:val="21"/>
                <w:highlight w:val="none"/>
                <w:lang w:val="en-US" w:eastAsia="zh-CN"/>
              </w:rPr>
              <w:t>电容式+热敏电阻+光电效应</w:t>
            </w:r>
          </w:p>
        </w:tc>
      </w:tr>
      <w:tr w14:paraId="725F201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1" w:type="pct"/>
            <w:vAlign w:val="center"/>
          </w:tcPr>
          <w:p w14:paraId="012C4B2D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CO2</w:t>
            </w:r>
          </w:p>
        </w:tc>
        <w:tc>
          <w:tcPr>
            <w:tcW w:w="1666" w:type="pct"/>
            <w:vAlign w:val="center"/>
          </w:tcPr>
          <w:p w14:paraId="367A319C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温湿度照度CO2一体传感器</w:t>
            </w:r>
          </w:p>
        </w:tc>
        <w:tc>
          <w:tcPr>
            <w:tcW w:w="1682" w:type="pct"/>
            <w:vAlign w:val="center"/>
          </w:tcPr>
          <w:p w14:paraId="4715B0C0">
            <w:pPr>
              <w:spacing w:line="240" w:lineRule="auto"/>
              <w:ind w:firstLine="0" w:firstLineChars="0"/>
              <w:jc w:val="center"/>
              <w:rPr>
                <w:rFonts w:hint="eastAsia" w:cstheme="minorBidi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theme="minorBidi"/>
                <w:sz w:val="21"/>
                <w:szCs w:val="21"/>
                <w:highlight w:val="none"/>
                <w:lang w:val="en-US" w:eastAsia="zh-CN"/>
              </w:rPr>
              <w:t>电容式+热敏电阻+光电效应+非分散红外（NDIR）</w:t>
            </w:r>
          </w:p>
        </w:tc>
      </w:tr>
      <w:tr w14:paraId="418135D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1" w:type="pct"/>
            <w:vAlign w:val="center"/>
          </w:tcPr>
          <w:p w14:paraId="5183B428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气压</w:t>
            </w:r>
          </w:p>
        </w:tc>
        <w:tc>
          <w:tcPr>
            <w:tcW w:w="1666" w:type="pct"/>
            <w:vAlign w:val="center"/>
          </w:tcPr>
          <w:p w14:paraId="554B451D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温湿度气压一体传感器/超声波五参数传感器</w:t>
            </w:r>
          </w:p>
        </w:tc>
        <w:tc>
          <w:tcPr>
            <w:tcW w:w="1682" w:type="pct"/>
            <w:vAlign w:val="center"/>
          </w:tcPr>
          <w:p w14:paraId="08596785">
            <w:pPr>
              <w:spacing w:line="240" w:lineRule="auto"/>
              <w:ind w:firstLine="0" w:firstLineChars="0"/>
              <w:jc w:val="center"/>
              <w:rPr>
                <w:rFonts w:hint="eastAsia" w:cstheme="minorBidi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theme="minorBidi"/>
                <w:sz w:val="21"/>
                <w:szCs w:val="21"/>
                <w:highlight w:val="none"/>
                <w:lang w:val="en-US" w:eastAsia="zh-CN"/>
              </w:rPr>
              <w:t>电容式+热敏电阻+压阻式</w:t>
            </w:r>
          </w:p>
        </w:tc>
      </w:tr>
      <w:tr w14:paraId="7D9C309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3"/>
            <w:vAlign w:val="center"/>
          </w:tcPr>
          <w:p w14:paraId="3909ED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便携式监测设备</w:t>
            </w:r>
          </w:p>
        </w:tc>
      </w:tr>
      <w:tr w14:paraId="31C2FF5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1" w:type="pct"/>
            <w:vAlign w:val="center"/>
          </w:tcPr>
          <w:p w14:paraId="5ED3CD73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氨氮</w:t>
            </w:r>
          </w:p>
        </w:tc>
        <w:tc>
          <w:tcPr>
            <w:tcW w:w="1666" w:type="pct"/>
            <w:vMerge w:val="restart"/>
            <w:vAlign w:val="center"/>
          </w:tcPr>
          <w:p w14:paraId="2D96C83E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便携式多参数分析仪</w:t>
            </w:r>
          </w:p>
        </w:tc>
        <w:tc>
          <w:tcPr>
            <w:tcW w:w="1682" w:type="pct"/>
            <w:vMerge w:val="restart"/>
            <w:vAlign w:val="center"/>
          </w:tcPr>
          <w:p w14:paraId="52855F36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光电比色法</w:t>
            </w:r>
          </w:p>
        </w:tc>
      </w:tr>
      <w:tr w14:paraId="752B232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1" w:type="pct"/>
            <w:shd w:val="clear" w:color="auto" w:fill="auto"/>
            <w:vAlign w:val="center"/>
          </w:tcPr>
          <w:p w14:paraId="47298447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总磷</w:t>
            </w:r>
          </w:p>
        </w:tc>
        <w:tc>
          <w:tcPr>
            <w:tcW w:w="1666" w:type="pct"/>
            <w:vMerge w:val="continue"/>
            <w:vAlign w:val="center"/>
          </w:tcPr>
          <w:p w14:paraId="08B830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682" w:type="pct"/>
            <w:vMerge w:val="continue"/>
            <w:vAlign w:val="center"/>
          </w:tcPr>
          <w:p w14:paraId="5914F6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</w:tr>
      <w:tr w14:paraId="6B8265D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1" w:type="pct"/>
            <w:vAlign w:val="center"/>
          </w:tcPr>
          <w:p w14:paraId="7461D71A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阴离子表面活性剂</w:t>
            </w:r>
          </w:p>
        </w:tc>
        <w:tc>
          <w:tcPr>
            <w:tcW w:w="1666" w:type="pct"/>
            <w:vMerge w:val="continue"/>
            <w:vAlign w:val="center"/>
          </w:tcPr>
          <w:p w14:paraId="78D722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682" w:type="pct"/>
            <w:vMerge w:val="continue"/>
            <w:vAlign w:val="center"/>
          </w:tcPr>
          <w:p w14:paraId="6920C6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</w:tr>
      <w:tr w14:paraId="3FE60D1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1" w:type="pct"/>
            <w:vAlign w:val="center"/>
          </w:tcPr>
          <w:p w14:paraId="753D99C7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硫化物</w:t>
            </w:r>
          </w:p>
        </w:tc>
        <w:tc>
          <w:tcPr>
            <w:tcW w:w="1666" w:type="pct"/>
            <w:vMerge w:val="continue"/>
            <w:vAlign w:val="center"/>
          </w:tcPr>
          <w:p w14:paraId="46333F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682" w:type="pct"/>
            <w:vMerge w:val="continue"/>
            <w:vAlign w:val="center"/>
          </w:tcPr>
          <w:p w14:paraId="0709A6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</w:tr>
      <w:tr w14:paraId="57FF62A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1" w:type="pct"/>
            <w:vAlign w:val="center"/>
          </w:tcPr>
          <w:p w14:paraId="70CC46D3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六价铬</w:t>
            </w:r>
          </w:p>
        </w:tc>
        <w:tc>
          <w:tcPr>
            <w:tcW w:w="1666" w:type="pct"/>
            <w:vMerge w:val="continue"/>
            <w:vAlign w:val="center"/>
          </w:tcPr>
          <w:p w14:paraId="7B9701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682" w:type="pct"/>
            <w:vMerge w:val="continue"/>
            <w:vAlign w:val="center"/>
          </w:tcPr>
          <w:p w14:paraId="7372D1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</w:tr>
      <w:tr w14:paraId="7B7EE78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1" w:type="pct"/>
            <w:vAlign w:val="center"/>
          </w:tcPr>
          <w:p w14:paraId="335E37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重金属（铜镍锌锰）</w:t>
            </w:r>
          </w:p>
        </w:tc>
        <w:tc>
          <w:tcPr>
            <w:tcW w:w="1666" w:type="pct"/>
            <w:vMerge w:val="continue"/>
            <w:vAlign w:val="center"/>
          </w:tcPr>
          <w:p w14:paraId="4BBB5F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682" w:type="pct"/>
            <w:vMerge w:val="continue"/>
            <w:vAlign w:val="center"/>
          </w:tcPr>
          <w:p w14:paraId="27CF33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</w:tr>
    </w:tbl>
    <w:p w14:paraId="0E003692">
      <w:pPr>
        <w:numPr>
          <w:ilvl w:val="0"/>
          <w:numId w:val="0"/>
        </w:numPr>
        <w:ind w:leftChars="200"/>
        <w:rPr>
          <w:rFonts w:hint="eastAsia" w:eastAsia="宋体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 xml:space="preserve"> </w:t>
      </w:r>
    </w:p>
    <w:p w14:paraId="7FAC930D">
      <w:pPr>
        <w:pStyle w:val="2"/>
        <w:bidi w:val="0"/>
        <w:rPr>
          <w:rFonts w:hint="eastAsia"/>
          <w:color w:val="auto"/>
          <w:highlight w:val="none"/>
          <w:lang w:val="en-US" w:eastAsia="zh-CN"/>
        </w:rPr>
      </w:pPr>
      <w:bookmarkStart w:id="11" w:name="_Toc4568"/>
      <w:bookmarkStart w:id="12" w:name="_Toc24440"/>
      <w:r>
        <w:rPr>
          <w:rFonts w:hint="eastAsia"/>
          <w:color w:val="auto"/>
          <w:highlight w:val="none"/>
          <w:lang w:val="en-US" w:eastAsia="zh-CN"/>
        </w:rPr>
        <w:t>产品介绍</w:t>
      </w:r>
      <w:bookmarkEnd w:id="11"/>
      <w:bookmarkEnd w:id="12"/>
    </w:p>
    <w:p w14:paraId="5630B0FF">
      <w:pPr>
        <w:pStyle w:val="3"/>
        <w:bidi w:val="0"/>
        <w:rPr>
          <w:rFonts w:hint="eastAsia"/>
          <w:color w:val="auto"/>
          <w:highlight w:val="none"/>
          <w:lang w:val="en-US" w:eastAsia="zh-CN"/>
        </w:rPr>
      </w:pPr>
      <w:bookmarkStart w:id="13" w:name="_Toc15405"/>
      <w:r>
        <w:rPr>
          <w:rFonts w:hint="eastAsia"/>
          <w:color w:val="auto"/>
          <w:highlight w:val="none"/>
          <w:lang w:val="en-US" w:eastAsia="zh-CN"/>
        </w:rPr>
        <w:t>技术参数</w:t>
      </w:r>
      <w:bookmarkEnd w:id="13"/>
    </w:p>
    <w:tbl>
      <w:tblPr>
        <w:tblStyle w:val="20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0"/>
        <w:gridCol w:w="4185"/>
        <w:gridCol w:w="2754"/>
      </w:tblGrid>
      <w:tr w14:paraId="73F7111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927" w:type="pct"/>
            <w:vAlign w:val="center"/>
          </w:tcPr>
          <w:p w14:paraId="614C5F2A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设备名称</w:t>
            </w:r>
          </w:p>
        </w:tc>
        <w:tc>
          <w:tcPr>
            <w:tcW w:w="2456" w:type="pct"/>
            <w:vAlign w:val="center"/>
          </w:tcPr>
          <w:p w14:paraId="49EBB5BC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监测参数</w:t>
            </w:r>
          </w:p>
        </w:tc>
        <w:tc>
          <w:tcPr>
            <w:tcW w:w="1616" w:type="pct"/>
            <w:vAlign w:val="center"/>
          </w:tcPr>
          <w:p w14:paraId="28AC459B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图片示例</w:t>
            </w:r>
          </w:p>
        </w:tc>
      </w:tr>
      <w:tr w14:paraId="11AD0C5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2" w:hRule="atLeast"/>
        </w:trPr>
        <w:tc>
          <w:tcPr>
            <w:tcW w:w="927" w:type="pct"/>
            <w:vMerge w:val="restart"/>
            <w:shd w:val="clear" w:color="auto" w:fill="auto"/>
            <w:vAlign w:val="center"/>
          </w:tcPr>
          <w:p w14:paraId="7A9EC9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岸边水质监测微站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749D62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default"/>
                <w:b/>
                <w:bCs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  <w:lang w:val="en-US" w:eastAsia="zh-CN"/>
              </w:rPr>
              <w:t>传感器式水质监测微站</w:t>
            </w:r>
          </w:p>
          <w:p w14:paraId="220B1A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default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在线传感器：</w:t>
            </w:r>
            <w:r>
              <w:rPr>
                <w:rFonts w:hint="eastAsia"/>
                <w:sz w:val="21"/>
                <w:szCs w:val="21"/>
                <w:highlight w:val="none"/>
              </w:rPr>
              <w:t>PH</w:t>
            </w:r>
            <w:r>
              <w:rPr>
                <w:rFonts w:hint="eastAsia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  <w:highlight w:val="none"/>
              </w:rPr>
              <w:t>溶解氧</w:t>
            </w:r>
            <w:r>
              <w:rPr>
                <w:rFonts w:hint="eastAsia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  <w:highlight w:val="none"/>
              </w:rPr>
              <w:t>电导率</w:t>
            </w:r>
            <w:r>
              <w:rPr>
                <w:rFonts w:hint="eastAsia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ORP、氨氮</w:t>
            </w:r>
          </w:p>
        </w:tc>
        <w:tc>
          <w:tcPr>
            <w:tcW w:w="1616" w:type="pct"/>
            <w:vAlign w:val="center"/>
          </w:tcPr>
          <w:p w14:paraId="4D8F52DB">
            <w:pPr>
              <w:spacing w:line="240" w:lineRule="auto"/>
              <w:ind w:firstLine="0" w:firstLineChars="0"/>
              <w:jc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607820" cy="1578610"/>
                  <wp:effectExtent l="0" t="0" r="11430" b="2540"/>
                  <wp:docPr id="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r="37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921BA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3" w:hRule="atLeast"/>
        </w:trPr>
        <w:tc>
          <w:tcPr>
            <w:tcW w:w="927" w:type="pct"/>
            <w:vMerge w:val="continue"/>
            <w:shd w:val="clear" w:color="auto" w:fill="auto"/>
            <w:vAlign w:val="center"/>
          </w:tcPr>
          <w:p w14:paraId="5F8306E1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</w:p>
        </w:tc>
        <w:tc>
          <w:tcPr>
            <w:tcW w:w="2456" w:type="pct"/>
            <w:shd w:val="clear" w:color="auto" w:fill="auto"/>
            <w:vAlign w:val="center"/>
          </w:tcPr>
          <w:p w14:paraId="42B4A2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/>
                <w:b/>
                <w:bCs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  <w:lang w:val="en-US" w:eastAsia="zh-CN"/>
              </w:rPr>
              <w:t>传感器分析仪式水质监测微站</w:t>
            </w:r>
          </w:p>
          <w:p w14:paraId="1F061C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default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可搭载在线传感器及在线分析仪</w:t>
            </w:r>
          </w:p>
          <w:p w14:paraId="6B6AA2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default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在线传感器：</w:t>
            </w:r>
            <w:r>
              <w:rPr>
                <w:rFonts w:hint="eastAsia"/>
                <w:sz w:val="21"/>
                <w:szCs w:val="21"/>
                <w:highlight w:val="none"/>
              </w:rPr>
              <w:t>PH</w:t>
            </w:r>
            <w:r>
              <w:rPr>
                <w:rFonts w:hint="eastAsia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  <w:highlight w:val="none"/>
              </w:rPr>
              <w:t>溶解氧</w:t>
            </w:r>
            <w:r>
              <w:rPr>
                <w:rFonts w:hint="eastAsia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  <w:highlight w:val="none"/>
              </w:rPr>
              <w:t>电导率</w:t>
            </w:r>
            <w:r>
              <w:rPr>
                <w:rFonts w:hint="eastAsia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ORP、氨氮</w:t>
            </w:r>
          </w:p>
          <w:p w14:paraId="214394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在线氨氮分析仪：</w:t>
            </w:r>
          </w:p>
          <w:p w14:paraId="26B88B69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：水杨酸分光光度法</w:t>
            </w:r>
          </w:p>
          <w:p w14:paraId="4C4AE456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：0～150.00mg/L</w:t>
            </w:r>
          </w:p>
          <w:p w14:paraId="3E8852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 浓度＜2mg/L，±0.2mg/L；浓度≥2mg/L，≤10%</w:t>
            </w:r>
          </w:p>
          <w:p w14:paraId="503165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在线总磷分析仪：</w:t>
            </w:r>
          </w:p>
          <w:p w14:paraId="4770CF4B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：钼酸铵分光光度法</w:t>
            </w:r>
          </w:p>
          <w:p w14:paraId="33C1B9A5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：.0～10.0/20.0mg/L</w:t>
            </w:r>
          </w:p>
          <w:p w14:paraId="778DFAB1">
            <w:pPr>
              <w:spacing w:line="240" w:lineRule="auto"/>
              <w:ind w:firstLine="0" w:firstLineChars="0"/>
              <w:jc w:val="left"/>
              <w:rPr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：±10%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05330C24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highlight w:val="none"/>
                <w:lang w:val="en-US" w:eastAsia="zh-CN"/>
              </w:rPr>
            </w:pPr>
            <w:bookmarkStart w:id="28" w:name="_GoBack"/>
            <w:r>
              <w:rPr>
                <w:highlight w:val="none"/>
              </w:rPr>
              <w:drawing>
                <wp:inline distT="0" distB="0" distL="114300" distR="114300">
                  <wp:extent cx="1137920" cy="1384935"/>
                  <wp:effectExtent l="0" t="0" r="5080" b="5715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63722" t="15755" b="12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38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8"/>
          </w:p>
        </w:tc>
      </w:tr>
      <w:tr w14:paraId="10B3508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7" w:type="pct"/>
            <w:shd w:val="clear" w:color="auto" w:fill="auto"/>
            <w:vAlign w:val="center"/>
          </w:tcPr>
          <w:p w14:paraId="4FA42AF8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在线全光谱多参数传感器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298ADA21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：全光谱吸收法</w:t>
            </w:r>
          </w:p>
          <w:p w14:paraId="77C406FE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</w:t>
            </w:r>
          </w:p>
          <w:p w14:paraId="3E12987C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COD：0～200mg/Lequiv. KHP；色度：0～500Hazen；TOC：0～150mg/L；浊度：0～400NTU；BOD：0～150mg/L；UV254：0～1.5AU；TP：0～15mg/L；TN：0～100mg/L；NHN：0～80mg/L；硝酸盐：0～15mg/L；亚硝酸盐：0～10mg/L；CODMn：0～100mg/L</w:t>
            </w:r>
          </w:p>
          <w:p w14:paraId="0610794A">
            <w:pPr>
              <w:spacing w:line="240" w:lineRule="auto"/>
              <w:ind w:firstLine="0" w:firstLineChars="0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：±5%F.S.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2859BC97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8"/>
                <w:szCs w:val="2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highlight w:val="none"/>
                <w:lang w:val="en-US" w:eastAsia="zh-CN"/>
              </w:rPr>
              <w:drawing>
                <wp:inline distT="0" distB="0" distL="114300" distR="114300">
                  <wp:extent cx="426085" cy="1622425"/>
                  <wp:effectExtent l="0" t="0" r="0" b="0"/>
                  <wp:docPr id="26" name="图片 26" descr="C:/Users/lina/Desktop/FUV-408-.pngFUV-408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lina/Desktop/FUV-408-.pngFUV-408-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9555" r="300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162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D0183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7" w:type="pct"/>
            <w:shd w:val="clear" w:color="auto" w:fill="auto"/>
            <w:vAlign w:val="center"/>
          </w:tcPr>
          <w:p w14:paraId="6C6041C9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在线PH传感器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0BF65446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原理：玻璃电极法</w:t>
            </w:r>
          </w:p>
          <w:p w14:paraId="319D6EEB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量程：0-14 pH</w:t>
            </w:r>
          </w:p>
          <w:p w14:paraId="53DDF003">
            <w:pPr>
              <w:spacing w:line="240" w:lineRule="auto"/>
              <w:ind w:firstLine="0" w:firstLineChars="0"/>
              <w:rPr>
                <w:rFonts w:hint="default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sz w:val="21"/>
                <w:szCs w:val="21"/>
                <w:highlight w:val="none"/>
              </w:rPr>
              <w:t>精度：±0.1 pH</w:t>
            </w:r>
          </w:p>
        </w:tc>
        <w:tc>
          <w:tcPr>
            <w:tcW w:w="1616" w:type="pct"/>
            <w:vAlign w:val="center"/>
          </w:tcPr>
          <w:p w14:paraId="288895CC">
            <w:pPr>
              <w:spacing w:line="240" w:lineRule="auto"/>
              <w:ind w:firstLine="0" w:firstLineChars="0"/>
              <w:jc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0" distR="0">
                  <wp:extent cx="225425" cy="1291590"/>
                  <wp:effectExtent l="0" t="255270" r="0" b="296545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92" t="5693" r="42466" b="8031"/>
                          <a:stretch>
                            <a:fillRect/>
                          </a:stretch>
                        </pic:blipFill>
                        <pic:spPr>
                          <a:xfrm rot="3540000">
                            <a:off x="0" y="0"/>
                            <a:ext cx="225425" cy="129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BF5AC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927" w:type="pct"/>
            <w:vAlign w:val="center"/>
          </w:tcPr>
          <w:p w14:paraId="1A59AAEA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在线溶解氧传感器</w:t>
            </w:r>
          </w:p>
        </w:tc>
        <w:tc>
          <w:tcPr>
            <w:tcW w:w="2456" w:type="pct"/>
            <w:vAlign w:val="center"/>
          </w:tcPr>
          <w:p w14:paraId="74257A77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原理：荧光法</w:t>
            </w:r>
          </w:p>
          <w:p w14:paraId="5CD8234F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量程：0～20.00 mg/L</w:t>
            </w:r>
          </w:p>
          <w:p w14:paraId="5DB23124">
            <w:pPr>
              <w:spacing w:line="240" w:lineRule="auto"/>
              <w:ind w:firstLine="0" w:firstLineChars="0"/>
              <w:jc w:val="both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精度：±2</w:t>
            </w:r>
          </w:p>
        </w:tc>
        <w:tc>
          <w:tcPr>
            <w:tcW w:w="1616" w:type="pct"/>
            <w:vAlign w:val="center"/>
          </w:tcPr>
          <w:p w14:paraId="629DA346">
            <w:pPr>
              <w:spacing w:line="240" w:lineRule="auto"/>
              <w:ind w:firstLine="0" w:firstLineChars="0"/>
              <w:jc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07645" cy="1303655"/>
                  <wp:effectExtent l="0" t="274955" r="0" b="279400"/>
                  <wp:docPr id="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35793" t="4709" r="38342" b="6442"/>
                          <a:stretch>
                            <a:fillRect/>
                          </a:stretch>
                        </pic:blipFill>
                        <pic:spPr>
                          <a:xfrm rot="3840000">
                            <a:off x="0" y="0"/>
                            <a:ext cx="207645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DF619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927" w:type="pct"/>
            <w:shd w:val="clear" w:color="auto" w:fill="auto"/>
            <w:vAlign w:val="center"/>
          </w:tcPr>
          <w:p w14:paraId="1D83F98D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在线电导率传感器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4228931B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：接触式电极法</w:t>
            </w:r>
          </w:p>
          <w:p w14:paraId="7A97FF3E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：0～5000 μS/cm</w:t>
            </w:r>
          </w:p>
          <w:p w14:paraId="52F2AF92"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：读数的±1%</w:t>
            </w:r>
          </w:p>
        </w:tc>
        <w:tc>
          <w:tcPr>
            <w:tcW w:w="1616" w:type="pct"/>
            <w:vAlign w:val="center"/>
          </w:tcPr>
          <w:p w14:paraId="246AB82F">
            <w:pPr>
              <w:spacing w:line="240" w:lineRule="auto"/>
              <w:ind w:firstLine="0" w:firstLineChars="0"/>
              <w:jc w:val="center"/>
              <w:rPr>
                <w:rFonts w:hint="eastAsia"/>
                <w:sz w:val="28"/>
                <w:szCs w:val="28"/>
                <w:highlight w:val="none"/>
              </w:rPr>
            </w:pPr>
            <w:r>
              <w:rPr>
                <w:rFonts w:hint="eastAsia"/>
                <w:sz w:val="28"/>
                <w:szCs w:val="28"/>
                <w:highlight w:val="none"/>
              </w:rPr>
              <w:drawing>
                <wp:inline distT="0" distB="0" distL="114300" distR="114300">
                  <wp:extent cx="234315" cy="1383665"/>
                  <wp:effectExtent l="0" t="231140" r="0" b="266065"/>
                  <wp:docPr id="41" name="图片 41" descr="/tmp/webword_3698093873/upload_post_object_v2_1818898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/tmp/webword_3698093873/upload_post_object_v2_181889833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35077" t="3022" r="44981" b="9115"/>
                          <a:stretch>
                            <a:fillRect/>
                          </a:stretch>
                        </pic:blipFill>
                        <pic:spPr>
                          <a:xfrm rot="3840000">
                            <a:off x="0" y="0"/>
                            <a:ext cx="234315" cy="138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37E8F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1580" w:type="dxa"/>
            <w:vAlign w:val="center"/>
          </w:tcPr>
          <w:p w14:paraId="6EB11DEF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在线ORP传感器</w:t>
            </w:r>
          </w:p>
        </w:tc>
        <w:tc>
          <w:tcPr>
            <w:tcW w:w="4185" w:type="dxa"/>
            <w:shd w:val="clear" w:color="auto" w:fill="auto"/>
            <w:vAlign w:val="center"/>
          </w:tcPr>
          <w:p w14:paraId="666F8632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原理：</w:t>
            </w:r>
            <w:r>
              <w:rPr>
                <w:rFonts w:hint="eastAsia"/>
                <w:sz w:val="21"/>
                <w:szCs w:val="21"/>
                <w:highlight w:val="none"/>
              </w:rPr>
              <w:t>铂电极法</w:t>
            </w:r>
          </w:p>
          <w:p w14:paraId="4605EE12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量程：</w:t>
            </w:r>
            <w:r>
              <w:rPr>
                <w:rFonts w:hint="eastAsia"/>
                <w:sz w:val="21"/>
                <w:szCs w:val="21"/>
                <w:highlight w:val="none"/>
              </w:rPr>
              <w:t>-2000～+2000mV</w:t>
            </w:r>
          </w:p>
          <w:p w14:paraId="6048E7CC"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sz w:val="21"/>
                <w:szCs w:val="21"/>
                <w:highlight w:val="none"/>
              </w:rPr>
              <w:t>精度：</w:t>
            </w:r>
            <w:r>
              <w:rPr>
                <w:rFonts w:hint="eastAsia"/>
                <w:sz w:val="21"/>
                <w:szCs w:val="21"/>
                <w:highlight w:val="none"/>
              </w:rPr>
              <w:t>±6mV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51194BB6">
            <w:pPr>
              <w:spacing w:line="240" w:lineRule="auto"/>
              <w:ind w:firstLine="0" w:firstLineChars="0"/>
              <w:jc w:val="center"/>
              <w:rPr>
                <w:rFonts w:hint="eastAsia" w:ascii="Times New Roman" w:hAnsi="Times New Roman"/>
                <w:b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highlight w:val="none"/>
              </w:rPr>
              <w:drawing>
                <wp:inline distT="0" distB="0" distL="0" distR="0">
                  <wp:extent cx="225425" cy="1291590"/>
                  <wp:effectExtent l="0" t="255270" r="0" b="29654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92" t="5693" r="42466" b="8031"/>
                          <a:stretch>
                            <a:fillRect/>
                          </a:stretch>
                        </pic:blipFill>
                        <pic:spPr>
                          <a:xfrm rot="3540000">
                            <a:off x="0" y="0"/>
                            <a:ext cx="225425" cy="129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1EF87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</w:trPr>
        <w:tc>
          <w:tcPr>
            <w:tcW w:w="927" w:type="pct"/>
            <w:shd w:val="clear" w:color="auto" w:fill="auto"/>
            <w:vAlign w:val="center"/>
          </w:tcPr>
          <w:p w14:paraId="73780CEA">
            <w:pPr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在线氨氮传感器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6356209F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：离子选择电极法</w:t>
            </w:r>
          </w:p>
          <w:p w14:paraId="05E850B8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：0～100.00 mg/L</w:t>
            </w:r>
          </w:p>
          <w:p w14:paraId="65E388CF"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：读数的±10%或±1 mg/L 以大者为准</w:t>
            </w:r>
          </w:p>
        </w:tc>
        <w:tc>
          <w:tcPr>
            <w:tcW w:w="1616" w:type="pct"/>
            <w:vAlign w:val="center"/>
          </w:tcPr>
          <w:p w14:paraId="2BC408CB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302895" cy="1407160"/>
                  <wp:effectExtent l="0" t="340995" r="0" b="346710"/>
                  <wp:docPr id="1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3540000">
                            <a:off x="0" y="0"/>
                            <a:ext cx="302895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04F17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927" w:type="pct"/>
            <w:shd w:val="clear" w:color="auto" w:fill="auto"/>
            <w:vAlign w:val="center"/>
          </w:tcPr>
          <w:p w14:paraId="04AB68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多普勒流量计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6E1950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流速量程：0.02～6.5m/s</w:t>
            </w:r>
          </w:p>
          <w:p w14:paraId="18C490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流速精度：± 1.0%、 ±0.01m/s</w:t>
            </w:r>
          </w:p>
          <w:p w14:paraId="54B653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静压液位量程：0.01~10m</w:t>
            </w:r>
          </w:p>
          <w:p w14:paraId="2E0740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静压液位分辨率</w:t>
            </w:r>
            <w:r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ab/>
            </w:r>
            <w:r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0.001m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49ADD4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8"/>
                <w:szCs w:val="28"/>
                <w:highlight w:val="none"/>
                <w:lang w:bidi="ar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172845" cy="1019175"/>
                  <wp:effectExtent l="0" t="0" r="635" b="1905"/>
                  <wp:docPr id="1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84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B520F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927" w:type="pct"/>
            <w:shd w:val="clear" w:color="auto" w:fill="auto"/>
            <w:vAlign w:val="center"/>
          </w:tcPr>
          <w:p w14:paraId="61D760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雷达流量计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1C4A6D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测速范围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：</w:t>
            </w:r>
            <w:r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0.1～15m/s</w:t>
            </w:r>
          </w:p>
          <w:p w14:paraId="68F003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测距量程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：</w:t>
            </w:r>
            <w:r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0.1～50m</w:t>
            </w:r>
          </w:p>
          <w:p w14:paraId="3B54C4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测距天线波束角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：</w:t>
            </w:r>
            <w:r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水平角±8 ° ; 俯仰角±10 °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0F1963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8"/>
                <w:szCs w:val="28"/>
                <w:highlight w:val="none"/>
                <w:lang w:bidi="ar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7115" cy="732155"/>
                  <wp:effectExtent l="0" t="0" r="4445" b="14605"/>
                  <wp:docPr id="17" name="图片 14" descr="微信图片_2024083009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4" descr="微信图片_2024083009144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1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9DEB0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</w:trPr>
        <w:tc>
          <w:tcPr>
            <w:tcW w:w="927" w:type="pct"/>
            <w:shd w:val="clear" w:color="auto" w:fill="auto"/>
            <w:vAlign w:val="center"/>
          </w:tcPr>
          <w:p w14:paraId="7605F2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雷达水位计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6F62D9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测量范围：0.1m～65m</w:t>
            </w:r>
          </w:p>
          <w:p w14:paraId="785C37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测量精度：±1mm</w:t>
            </w:r>
          </w:p>
          <w:p w14:paraId="56AFC6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波束角度：6°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1EB77C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8"/>
                <w:szCs w:val="28"/>
                <w:highlight w:val="none"/>
                <w:lang w:bidi="ar"/>
              </w:rPr>
            </w:pPr>
            <w:r>
              <w:rPr>
                <w:rFonts w:hint="eastAsia" w:ascii="Times New Roman" w:hAnsi="Times New Roman" w:eastAsia="宋体"/>
                <w:highlight w:val="none"/>
                <w:lang w:eastAsia="zh-CN"/>
              </w:rPr>
              <w:drawing>
                <wp:inline distT="0" distB="0" distL="114300" distR="114300">
                  <wp:extent cx="586105" cy="593725"/>
                  <wp:effectExtent l="0" t="0" r="8255" b="635"/>
                  <wp:docPr id="24" name="图片 15" descr="微信图片_20240817103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5" descr="微信图片_202408171037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0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202E9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1580" w:type="dxa"/>
            <w:shd w:val="clear" w:color="auto" w:fill="auto"/>
            <w:vAlign w:val="center"/>
          </w:tcPr>
          <w:p w14:paraId="62D533CF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雨量传感器</w:t>
            </w:r>
          </w:p>
        </w:tc>
        <w:tc>
          <w:tcPr>
            <w:tcW w:w="4185" w:type="dxa"/>
            <w:shd w:val="clear" w:color="auto" w:fill="auto"/>
            <w:vAlign w:val="center"/>
          </w:tcPr>
          <w:p w14:paraId="7BD66588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：翻斗式</w:t>
            </w:r>
          </w:p>
          <w:p w14:paraId="29BB8AA3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：0-4mm/min（降水强度）</w:t>
            </w:r>
          </w:p>
          <w:p w14:paraId="182EFD2A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：±4%（室内静态测试，雨强为2mm/min）</w: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1CEB5F88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hint="eastAsia"/>
                <w:sz w:val="28"/>
                <w:szCs w:val="28"/>
                <w:highlight w:val="none"/>
                <w:lang w:bidi="ar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565150" cy="1015365"/>
                  <wp:effectExtent l="0" t="0" r="13970" b="5715"/>
                  <wp:docPr id="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10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215D6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1580" w:type="dxa"/>
            <w:shd w:val="clear" w:color="auto" w:fill="auto"/>
            <w:vAlign w:val="center"/>
          </w:tcPr>
          <w:p w14:paraId="22E4BD15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风速传感器</w:t>
            </w:r>
          </w:p>
        </w:tc>
        <w:tc>
          <w:tcPr>
            <w:tcW w:w="4185" w:type="dxa"/>
            <w:shd w:val="clear" w:color="auto" w:fill="auto"/>
            <w:vAlign w:val="center"/>
          </w:tcPr>
          <w:p w14:paraId="11822E3F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：风杯式</w:t>
            </w:r>
          </w:p>
          <w:p w14:paraId="3E400CB4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：0～70m/s</w:t>
            </w:r>
          </w:p>
          <w:p w14:paraId="5450A427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：±(0.3+0.03V)m/s</w: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47C99FDB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hint="eastAsia"/>
                <w:sz w:val="28"/>
                <w:szCs w:val="28"/>
                <w:highlight w:val="none"/>
                <w:lang w:bidi="ar"/>
              </w:rPr>
            </w:pPr>
            <w:r>
              <w:rPr>
                <w:b/>
                <w:sz w:val="28"/>
                <w:szCs w:val="28"/>
                <w:highlight w:val="none"/>
              </w:rPr>
              <w:drawing>
                <wp:inline distT="0" distB="0" distL="114300" distR="114300">
                  <wp:extent cx="686435" cy="702945"/>
                  <wp:effectExtent l="0" t="0" r="14605" b="13335"/>
                  <wp:docPr id="38" name="图片 38" descr="C:\Users\Administrator\AppData\Local\Microsoft\Windows\INetCache\Content.Word\_40A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\Users\Administrator\AppData\Local\Microsoft\Windows\INetCache\Content.Word\_40A0074.jp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8653" t="22157" r="26492" b="89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35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E4ECB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1580" w:type="dxa"/>
            <w:shd w:val="clear" w:color="auto" w:fill="auto"/>
            <w:vAlign w:val="center"/>
          </w:tcPr>
          <w:p w14:paraId="502F19EC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风向传感器</w:t>
            </w:r>
          </w:p>
        </w:tc>
        <w:tc>
          <w:tcPr>
            <w:tcW w:w="4185" w:type="dxa"/>
            <w:shd w:val="clear" w:color="auto" w:fill="auto"/>
            <w:vAlign w:val="center"/>
          </w:tcPr>
          <w:p w14:paraId="3375E8AD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：风向标式</w:t>
            </w:r>
          </w:p>
          <w:p w14:paraId="24867750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：0～360°</w:t>
            </w:r>
          </w:p>
          <w:p w14:paraId="23126C89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：±3°</w: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6772D243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hint="eastAsia"/>
                <w:sz w:val="28"/>
                <w:szCs w:val="28"/>
                <w:highlight w:val="none"/>
                <w:lang w:bidi="ar"/>
              </w:rPr>
            </w:pPr>
            <w:r>
              <w:rPr>
                <w:b/>
                <w:sz w:val="32"/>
                <w:szCs w:val="32"/>
                <w:highlight w:val="none"/>
              </w:rPr>
              <w:drawing>
                <wp:inline distT="0" distB="0" distL="114300" distR="114300">
                  <wp:extent cx="770890" cy="718185"/>
                  <wp:effectExtent l="0" t="0" r="6350" b="13335"/>
                  <wp:docPr id="4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17935" t="20256" r="28693" b="4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0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64B66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1580" w:type="dxa"/>
            <w:shd w:val="clear" w:color="auto" w:fill="auto"/>
            <w:vAlign w:val="center"/>
          </w:tcPr>
          <w:p w14:paraId="7FDE6356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温湿度一体传感器</w:t>
            </w:r>
          </w:p>
        </w:tc>
        <w:tc>
          <w:tcPr>
            <w:tcW w:w="4185" w:type="dxa"/>
            <w:shd w:val="clear" w:color="auto" w:fill="auto"/>
            <w:vAlign w:val="center"/>
          </w:tcPr>
          <w:p w14:paraId="732B23E3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：电容式（湿度）+热敏电阻（温度）</w:t>
            </w:r>
          </w:p>
          <w:p w14:paraId="696F2B51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</w:t>
            </w:r>
          </w:p>
          <w:p w14:paraId="44E64E3F">
            <w:pPr>
              <w:spacing w:line="240" w:lineRule="auto"/>
              <w:ind w:firstLine="0" w:firstLineChars="0"/>
              <w:rPr>
                <w:rFonts w:hint="eastAsia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温度：</w:t>
            </w:r>
            <w:r>
              <w:rPr>
                <w:rFonts w:hint="eastAsia"/>
                <w:sz w:val="21"/>
                <w:szCs w:val="21"/>
                <w:highlight w:val="none"/>
              </w:rPr>
              <w:t>-40～80℃</w:t>
            </w: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；湿度：0～100%RH</w:t>
            </w:r>
          </w:p>
          <w:p w14:paraId="04CFD51E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</w:t>
            </w:r>
          </w:p>
          <w:p w14:paraId="7FB32EA0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温度：</w:t>
            </w:r>
            <w:r>
              <w:rPr>
                <w:rFonts w:hint="eastAsia"/>
                <w:sz w:val="21"/>
                <w:szCs w:val="21"/>
                <w:highlight w:val="none"/>
              </w:rPr>
              <w:t>±0.1℃</w:t>
            </w: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；湿度：</w:t>
            </w:r>
            <w:r>
              <w:rPr>
                <w:rFonts w:hint="eastAsia"/>
                <w:sz w:val="21"/>
                <w:szCs w:val="21"/>
                <w:highlight w:val="none"/>
              </w:rPr>
              <w:t>±2%RH</w: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49A07920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hint="eastAsia"/>
                <w:sz w:val="28"/>
                <w:szCs w:val="28"/>
                <w:highlight w:val="none"/>
                <w:lang w:bidi="ar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704850" cy="814070"/>
                  <wp:effectExtent l="0" t="0" r="11430" b="8890"/>
                  <wp:docPr id="43" name="图片 3" descr="_40A0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3" descr="_40A019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4155" t="19885" r="32269" b="4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34710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1580" w:type="dxa"/>
            <w:shd w:val="clear" w:color="auto" w:fill="auto"/>
            <w:vAlign w:val="center"/>
          </w:tcPr>
          <w:p w14:paraId="77E65DA8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温湿度照度一体传感器</w:t>
            </w:r>
          </w:p>
        </w:tc>
        <w:tc>
          <w:tcPr>
            <w:tcW w:w="4185" w:type="dxa"/>
            <w:shd w:val="clear" w:color="auto" w:fill="auto"/>
            <w:vAlign w:val="center"/>
          </w:tcPr>
          <w:p w14:paraId="3295DD59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：电容式+热敏电阻+光电效应</w:t>
            </w:r>
          </w:p>
          <w:p w14:paraId="28B9D6D9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</w:t>
            </w:r>
          </w:p>
          <w:p w14:paraId="5685B3BE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温度：-50～100℃；湿度：0～100%RH；照度：0-200000Lux；</w:t>
            </w:r>
          </w:p>
          <w:p w14:paraId="293885C5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</w:t>
            </w:r>
          </w:p>
          <w:p w14:paraId="18406348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温度：±0.1℃；湿度：±2%RH；照度：±7%；</w: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52A8C3D2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hint="eastAsia"/>
                <w:sz w:val="28"/>
                <w:szCs w:val="28"/>
                <w:highlight w:val="none"/>
                <w:lang w:bidi="ar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744220" cy="893445"/>
                  <wp:effectExtent l="0" t="0" r="2540" b="5715"/>
                  <wp:docPr id="4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220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CC091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1580" w:type="dxa"/>
            <w:shd w:val="clear" w:color="auto" w:fill="auto"/>
            <w:vAlign w:val="center"/>
          </w:tcPr>
          <w:p w14:paraId="5F1FC285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温湿度照度CO2一体传感器</w:t>
            </w:r>
          </w:p>
        </w:tc>
        <w:tc>
          <w:tcPr>
            <w:tcW w:w="4185" w:type="dxa"/>
            <w:shd w:val="clear" w:color="auto" w:fill="auto"/>
            <w:vAlign w:val="center"/>
          </w:tcPr>
          <w:p w14:paraId="4C062D59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：电容式+热敏电阻+光电效应+非分散红外（NDIR）</w:t>
            </w:r>
          </w:p>
          <w:p w14:paraId="2CFF72CD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</w:t>
            </w:r>
          </w:p>
          <w:p w14:paraId="73BB02E4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温度：-50～100℃；湿度：0～100%RH；照度：0-200000Lux；CO2：0～2000ppm；</w:t>
            </w:r>
          </w:p>
          <w:p w14:paraId="4EB9DA1A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</w:t>
            </w:r>
          </w:p>
          <w:p w14:paraId="27DFC755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温度：±0.1℃；湿度：±2%RH；照度：±7%；CO2：±（40ppm+2%F•S）；</w: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41497776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hint="eastAsia"/>
                <w:sz w:val="28"/>
                <w:szCs w:val="28"/>
                <w:highlight w:val="none"/>
                <w:lang w:bidi="ar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606425" cy="883920"/>
                  <wp:effectExtent l="0" t="0" r="3175" b="0"/>
                  <wp:docPr id="45" name="图片 3" descr="14层百叶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3" descr="14层百叶箱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1988" t="13371" r="26636" b="13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25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4C6CF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1580" w:type="dxa"/>
            <w:shd w:val="clear" w:color="auto" w:fill="auto"/>
            <w:vAlign w:val="center"/>
          </w:tcPr>
          <w:p w14:paraId="61DA3C39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温湿度气压一体传感器</w:t>
            </w:r>
          </w:p>
        </w:tc>
        <w:tc>
          <w:tcPr>
            <w:tcW w:w="4185" w:type="dxa"/>
            <w:shd w:val="clear" w:color="auto" w:fill="auto"/>
            <w:vAlign w:val="center"/>
          </w:tcPr>
          <w:p w14:paraId="51DC9642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：电容式+热敏电阻+压阻式</w:t>
            </w:r>
          </w:p>
          <w:p w14:paraId="6EDA1A27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</w:t>
            </w:r>
          </w:p>
          <w:p w14:paraId="70C94889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温度：-50～100℃；湿度：0～100%RH；气压：500～1100hPa；</w:t>
            </w:r>
          </w:p>
          <w:p w14:paraId="4CDA82EC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</w:t>
            </w:r>
          </w:p>
          <w:p w14:paraId="0D69E302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温度：±0.1℃；湿度：±2%RH；气压：±1.5hPa；</w: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1DD53DC7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hint="eastAsia"/>
                <w:sz w:val="28"/>
                <w:szCs w:val="28"/>
                <w:highlight w:val="none"/>
                <w:lang w:bidi="ar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704850" cy="814070"/>
                  <wp:effectExtent l="0" t="0" r="11430" b="8890"/>
                  <wp:docPr id="46" name="图片 3" descr="_40A0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3" descr="_40A019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4155" t="19885" r="32269" b="4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6C76C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1580" w:type="dxa"/>
            <w:shd w:val="clear" w:color="auto" w:fill="auto"/>
            <w:vAlign w:val="center"/>
          </w:tcPr>
          <w:p w14:paraId="49044301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超声波五参数传感器</w:t>
            </w:r>
          </w:p>
        </w:tc>
        <w:tc>
          <w:tcPr>
            <w:tcW w:w="4185" w:type="dxa"/>
            <w:shd w:val="clear" w:color="auto" w:fill="auto"/>
            <w:vAlign w:val="center"/>
          </w:tcPr>
          <w:p w14:paraId="5B6AA082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：超声波时差法（风速、风向）、电容式（湿度）、热敏电阻（温度）、压阻式（气压）</w:t>
            </w:r>
          </w:p>
          <w:p w14:paraId="6C8B648B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</w:t>
            </w:r>
          </w:p>
          <w:p w14:paraId="4B1494F9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风速：0～60m/s；风向：0～359°；温度：-40～80℃；湿度：0～100%RH；气压：10～1100hPa；</w:t>
            </w:r>
          </w:p>
          <w:p w14:paraId="1E2417DF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</w:t>
            </w:r>
          </w:p>
          <w:p w14:paraId="451055F8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风速：±0.3+3%FS；风向：±3°</w:t>
            </w:r>
            <w:r>
              <w:rPr>
                <w:rFonts w:hint="eastAsia"/>
                <w:sz w:val="21"/>
                <w:szCs w:val="21"/>
                <w:highlight w:val="none"/>
              </w:rPr>
              <w:tab/>
            </w:r>
            <w:r>
              <w:rPr>
                <w:rFonts w:hint="eastAsia"/>
                <w:sz w:val="21"/>
                <w:szCs w:val="21"/>
                <w:highlight w:val="none"/>
              </w:rPr>
              <w:t>；温度：±0.5℃；湿度：±5%RH；气压：±1.5hPa；</w: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0B7B41AF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hint="eastAsia"/>
                <w:sz w:val="28"/>
                <w:szCs w:val="28"/>
                <w:highlight w:val="none"/>
                <w:lang w:bidi="ar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618490" cy="1042035"/>
                  <wp:effectExtent l="0" t="0" r="6350" b="9525"/>
                  <wp:docPr id="4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1B63A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927" w:type="pct"/>
            <w:shd w:val="clear" w:color="auto" w:fill="auto"/>
            <w:vAlign w:val="center"/>
          </w:tcPr>
          <w:p w14:paraId="097529F5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便携式多参数分析仪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059CABD6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检测参数：COD、 高锰酸盐指数、氨氮、总磷、总氮、硝酸盐氮、亚硝酸盐氮、磷酸盐、硫酸盐、亚硫酸盐、硫化物、余氯、重金属（铜镍锌锰）等</w:t>
            </w:r>
          </w:p>
          <w:p w14:paraId="5CD1B6CB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工作波长范围：420nm 520nm，580nm，610nm；波长半宽度：5±2（nm）；</w:t>
            </w:r>
          </w:p>
          <w:p w14:paraId="3B9BDA23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仪器的检测范围：吸光度值0.000-3.000；</w:t>
            </w:r>
          </w:p>
          <w:p w14:paraId="7C932D36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光源灯：冷光源；</w:t>
            </w:r>
          </w:p>
          <w:p w14:paraId="12F2508F">
            <w:pPr>
              <w:spacing w:line="240" w:lineRule="auto"/>
              <w:ind w:firstLine="0" w:firstLineChars="0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分辨率：0.001；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52DB3209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highlight w:val="none"/>
                <w:lang w:bidi="ar"/>
              </w:rPr>
              <w:drawing>
                <wp:inline distT="0" distB="0" distL="114300" distR="114300">
                  <wp:extent cx="828675" cy="1152525"/>
                  <wp:effectExtent l="0" t="0" r="9525" b="5715"/>
                  <wp:docPr id="13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7B706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927" w:type="pct"/>
            <w:shd w:val="clear" w:color="auto" w:fill="auto"/>
            <w:vAlign w:val="center"/>
          </w:tcPr>
          <w:p w14:paraId="046C8B35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手持</w:t>
            </w:r>
            <w:r>
              <w:rPr>
                <w:rFonts w:hint="eastAsia"/>
                <w:sz w:val="21"/>
                <w:szCs w:val="21"/>
                <w:highlight w:val="none"/>
              </w:rPr>
              <w:t>式多参数检测仪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51104299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显示：3.3 英寸单色液晶显示屏</w:t>
            </w:r>
          </w:p>
          <w:p w14:paraId="14F84183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外形尺寸：200mm*101mm*36mm</w:t>
            </w:r>
          </w:p>
          <w:p w14:paraId="055C73ED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防护等级：IP67</w:t>
            </w:r>
          </w:p>
          <w:p w14:paraId="31B06E15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连接设备：全系传感器式设备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477F5294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hint="eastAsia"/>
                <w:sz w:val="28"/>
                <w:szCs w:val="28"/>
                <w:highlight w:val="none"/>
                <w:lang w:bidi="ar"/>
              </w:rPr>
            </w:pPr>
            <w:r>
              <w:rPr>
                <w:rFonts w:hint="eastAsia"/>
                <w:sz w:val="28"/>
                <w:szCs w:val="28"/>
                <w:highlight w:val="none"/>
                <w:lang w:bidi="ar"/>
              </w:rPr>
              <w:drawing>
                <wp:inline distT="0" distB="0" distL="114300" distR="114300">
                  <wp:extent cx="613410" cy="1115695"/>
                  <wp:effectExtent l="0" t="0" r="11430" b="12065"/>
                  <wp:docPr id="27" name="图片 3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3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" cy="111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D0562A">
      <w:pPr>
        <w:rPr>
          <w:rFonts w:hint="eastAsia"/>
          <w:color w:val="auto"/>
          <w:highlight w:val="none"/>
          <w:lang w:val="en-US" w:eastAsia="zh-CN"/>
        </w:rPr>
      </w:pPr>
    </w:p>
    <w:p w14:paraId="31AD675E">
      <w:pPr>
        <w:pStyle w:val="3"/>
        <w:bidi w:val="0"/>
        <w:rPr>
          <w:rFonts w:hint="eastAsia"/>
          <w:color w:val="auto"/>
          <w:highlight w:val="none"/>
          <w:lang w:val="en-US" w:eastAsia="zh-CN"/>
        </w:rPr>
      </w:pPr>
      <w:bookmarkStart w:id="14" w:name="_Toc7166"/>
      <w:r>
        <w:rPr>
          <w:rFonts w:hint="eastAsia"/>
          <w:color w:val="auto"/>
          <w:highlight w:val="none"/>
          <w:lang w:val="en-US" w:eastAsia="zh-CN"/>
        </w:rPr>
        <w:t>场景适配性</w:t>
      </w:r>
      <w:bookmarkEnd w:id="14"/>
    </w:p>
    <w:p w14:paraId="7BE1D6F1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农田灌溉水质监测场景具有显著的复杂性和多样性，我公司针对不同区域特征、水源类型及作物需求，构建了多层次的技术适配体系。在工业密集区农田场景中，设备重点强化重金属（镉、砷）和有机污染物（苯系物、多环芳烃）的痕量检测能力，通过在线全光谱多参数传感器与实验室级便携分析仪的组合方案，实现从快速筛查到精准定量的全流程覆盖。其光谱法检测模块采用抗浊度干扰算法，可有效应对高悬浮物含量的灌溉水体，确保工业废水渗漏事件的即时预警。</w:t>
      </w:r>
    </w:p>
    <w:p w14:paraId="10F9A0B5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针对农业主产区化肥农药面源污染场景，系统采用模块化设计策略。氨氮/总磷分析仪搭载抗生物膜涂层的离子选择电极，结合周期性自动清洗功能，可适应高浓度氮磷环境下的长期监测。特别设计的防堵塞采样头与多级过滤装置，有效解决稻田灌溉水中藻类滋生和秸秆碎屑堵塞问题。在华北平原等地下水灌溉区域，设备集成电导率传感器与钠吸附比（SAR）计算模型，通过盐碱化趋势预测功能，为微咸水安全利用提供数据支撑。</w:t>
      </w:r>
    </w:p>
    <w:p w14:paraId="1C21097F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干旱半干旱地区场景中，设备采用太阳能-锂电池混合供电系统，配合超低功耗设计，可在无市电供应的偏远灌区连续运行30天。传感器外壳采用IP68防护等级与耐高温复合材料，可抵御50℃极端气温和沙尘暴侵袭。针对再生水灌溉场景，系统增加生物毒性指标（如发光菌抑制率）监测模块，通过多参数关联分析评估水体综合安全性。</w:t>
      </w:r>
    </w:p>
    <w:p w14:paraId="6FCA1707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在智能适配层面，平台内置作物生长周期与水质阈值联动模型。例如针对叶菜类作物重金属敏感特性，系统自动提升镉、铅等指标的采样频率；对于水稻田灌溉则侧重盐分累积预警。通过边缘计算技术，设备可本地化处理80%以上常规数据，减少对网络信号的依赖，特别适应山区、丘陵地带等通讯薄弱区域的监测需求。所有监测数据通过GIS可视化引擎与土壤墒情、气象信息叠加分析，为不同农业生态区的精准治污提供决策依据。</w:t>
      </w:r>
    </w:p>
    <w:p w14:paraId="7A6B9756">
      <w:pPr>
        <w:pStyle w:val="2"/>
        <w:bidi w:val="0"/>
        <w:rPr>
          <w:rFonts w:hint="eastAsia"/>
          <w:color w:val="auto"/>
          <w:highlight w:val="none"/>
          <w:lang w:val="en-US" w:eastAsia="zh-CN"/>
        </w:rPr>
      </w:pPr>
      <w:bookmarkStart w:id="15" w:name="_Toc12236"/>
      <w:bookmarkStart w:id="16" w:name="_Toc27010"/>
      <w:r>
        <w:rPr>
          <w:rFonts w:hint="eastAsia"/>
          <w:color w:val="auto"/>
          <w:highlight w:val="none"/>
          <w:lang w:val="en-US" w:eastAsia="zh-CN"/>
        </w:rPr>
        <w:t>设备寿命及维护</w:t>
      </w:r>
      <w:bookmarkEnd w:id="15"/>
      <w:bookmarkEnd w:id="16"/>
    </w:p>
    <w:p w14:paraId="4274C5D3">
      <w:pPr>
        <w:pStyle w:val="3"/>
        <w:bidi w:val="0"/>
        <w:rPr>
          <w:rFonts w:hint="default"/>
          <w:color w:val="auto"/>
          <w:highlight w:val="none"/>
          <w:lang w:val="en-US" w:eastAsia="zh-CN"/>
        </w:rPr>
      </w:pPr>
      <w:bookmarkStart w:id="17" w:name="_Toc11155"/>
      <w:r>
        <w:rPr>
          <w:rFonts w:hint="eastAsia"/>
          <w:color w:val="auto"/>
          <w:highlight w:val="none"/>
          <w:lang w:val="en-US" w:eastAsia="zh-CN"/>
        </w:rPr>
        <w:t>设备寿命周期与维护周期表</w:t>
      </w:r>
      <w:bookmarkEnd w:id="17"/>
    </w:p>
    <w:tbl>
      <w:tblPr>
        <w:tblStyle w:val="20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9"/>
        <w:gridCol w:w="2839"/>
        <w:gridCol w:w="2841"/>
      </w:tblGrid>
      <w:tr w14:paraId="56A89A5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723FA885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设备名称</w:t>
            </w:r>
          </w:p>
        </w:tc>
        <w:tc>
          <w:tcPr>
            <w:tcW w:w="1666" w:type="pct"/>
            <w:vAlign w:val="center"/>
          </w:tcPr>
          <w:p w14:paraId="0F30D853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维护周期</w:t>
            </w:r>
          </w:p>
        </w:tc>
        <w:tc>
          <w:tcPr>
            <w:tcW w:w="1667" w:type="pct"/>
            <w:vAlign w:val="center"/>
          </w:tcPr>
          <w:p w14:paraId="5FE7B21B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使用寿命</w:t>
            </w:r>
          </w:p>
        </w:tc>
      </w:tr>
      <w:tr w14:paraId="7388F41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66" w:type="pct"/>
            <w:shd w:val="clear" w:color="auto" w:fill="auto"/>
            <w:vAlign w:val="center"/>
          </w:tcPr>
          <w:p w14:paraId="0AEA422B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在线全光谱多参数传感器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737B8324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24C7C7B9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2-3年</w:t>
            </w:r>
          </w:p>
        </w:tc>
      </w:tr>
      <w:tr w14:paraId="3D55ACF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66" w:type="pct"/>
            <w:shd w:val="clear" w:color="auto" w:fill="auto"/>
            <w:vAlign w:val="center"/>
          </w:tcPr>
          <w:p w14:paraId="1D36B27C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在线PH传感器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566A0A93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3D2486D7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1年</w:t>
            </w:r>
          </w:p>
        </w:tc>
      </w:tr>
      <w:tr w14:paraId="3A4211E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58F850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在线溶解氧传感器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18748F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1AAF73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2-3年</w:t>
            </w:r>
          </w:p>
        </w:tc>
      </w:tr>
      <w:tr w14:paraId="3B76BED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0E3A6E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在线电导率传感器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349927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1A1E23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2-3年</w:t>
            </w:r>
          </w:p>
        </w:tc>
      </w:tr>
      <w:tr w14:paraId="4EDE409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25E63780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在线</w:t>
            </w:r>
            <w:r>
              <w:rPr>
                <w:rFonts w:hint="eastAsia" w:cs="宋体"/>
                <w:sz w:val="21"/>
                <w:szCs w:val="21"/>
                <w:highlight w:val="none"/>
                <w:lang w:val="en-US" w:eastAsia="zh-CN"/>
              </w:rPr>
              <w:t>ORP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74527F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50AEF7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1年</w:t>
            </w:r>
          </w:p>
        </w:tc>
      </w:tr>
      <w:tr w14:paraId="7E7F0AE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67125D52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在线氨氮传感器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3A9E57E8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5AD0486F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半年</w:t>
            </w:r>
          </w:p>
        </w:tc>
      </w:tr>
      <w:tr w14:paraId="46A53FD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67E39004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在线氨氮分析仪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0E54AC42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1个月/次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2B17EC85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3-5年</w:t>
            </w:r>
          </w:p>
        </w:tc>
      </w:tr>
      <w:tr w14:paraId="072E8BF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17F299F1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在线总磷分析仪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02DF706F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1个月/次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581CBF07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3-5年</w:t>
            </w:r>
          </w:p>
        </w:tc>
      </w:tr>
      <w:tr w14:paraId="5E79D36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shd w:val="clear" w:color="auto" w:fill="auto"/>
            <w:vAlign w:val="center"/>
          </w:tcPr>
          <w:p w14:paraId="0F97FD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多普勒流量计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011421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3BF2F9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3-5年</w:t>
            </w:r>
          </w:p>
        </w:tc>
      </w:tr>
      <w:tr w14:paraId="093C065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shd w:val="clear" w:color="auto" w:fill="auto"/>
            <w:vAlign w:val="center"/>
          </w:tcPr>
          <w:p w14:paraId="49244D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雷达流量计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3D3A5F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2DF22D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3-5年</w:t>
            </w:r>
          </w:p>
        </w:tc>
      </w:tr>
      <w:tr w14:paraId="1B3EA7A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shd w:val="clear" w:color="auto" w:fill="auto"/>
            <w:vAlign w:val="center"/>
          </w:tcPr>
          <w:p w14:paraId="652361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雷达液位计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6F165D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02C53D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3-5年</w:t>
            </w:r>
          </w:p>
        </w:tc>
      </w:tr>
      <w:tr w14:paraId="756BFD3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shd w:val="clear" w:color="auto" w:fill="auto"/>
            <w:vAlign w:val="center"/>
          </w:tcPr>
          <w:p w14:paraId="1AC99FBB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雨量传感器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2E2AD550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val="en-US" w:eastAsia="zh-CN" w:bidi="ar"/>
              </w:rPr>
              <w:t>6</w:t>
            </w: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-</w:t>
            </w: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val="en-US" w:eastAsia="zh-CN" w:bidi="ar"/>
              </w:rPr>
              <w:t>8</w:t>
            </w: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3456A2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2-3年</w:t>
            </w:r>
          </w:p>
        </w:tc>
      </w:tr>
      <w:tr w14:paraId="7381A4D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shd w:val="clear" w:color="auto" w:fill="auto"/>
            <w:vAlign w:val="center"/>
          </w:tcPr>
          <w:p w14:paraId="484D51AD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风速传感器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3DAF5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val="en-US" w:eastAsia="zh-CN" w:bidi="ar"/>
              </w:rPr>
              <w:t>6</w:t>
            </w: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-</w:t>
            </w: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val="en-US" w:eastAsia="zh-CN" w:bidi="ar"/>
              </w:rPr>
              <w:t>8</w:t>
            </w: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0D290C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2-3年</w:t>
            </w:r>
          </w:p>
        </w:tc>
      </w:tr>
      <w:tr w14:paraId="7431B3E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shd w:val="clear" w:color="auto" w:fill="auto"/>
            <w:vAlign w:val="center"/>
          </w:tcPr>
          <w:p w14:paraId="6302FEAA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风向传感器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3C1061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val="en-US" w:eastAsia="zh-CN" w:bidi="ar"/>
              </w:rPr>
              <w:t>6</w:t>
            </w: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-</w:t>
            </w: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val="en-US" w:eastAsia="zh-CN" w:bidi="ar"/>
              </w:rPr>
              <w:t>8</w:t>
            </w: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2CE81D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2-3年</w:t>
            </w:r>
          </w:p>
        </w:tc>
      </w:tr>
      <w:tr w14:paraId="5D3C624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shd w:val="clear" w:color="auto" w:fill="auto"/>
            <w:vAlign w:val="center"/>
          </w:tcPr>
          <w:p w14:paraId="177A7994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温湿度一体传感器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3E72C6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val="en-US" w:eastAsia="zh-CN" w:bidi="ar"/>
              </w:rPr>
              <w:t>6</w:t>
            </w: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-</w:t>
            </w: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val="en-US" w:eastAsia="zh-CN" w:bidi="ar"/>
              </w:rPr>
              <w:t>8</w:t>
            </w: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4947D7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2-3年</w:t>
            </w:r>
          </w:p>
        </w:tc>
      </w:tr>
      <w:tr w14:paraId="00EABAA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shd w:val="clear" w:color="auto" w:fill="auto"/>
            <w:vAlign w:val="center"/>
          </w:tcPr>
          <w:p w14:paraId="4B14F3F6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温湿度照度一体传感器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143683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val="en-US" w:eastAsia="zh-CN" w:bidi="ar"/>
              </w:rPr>
              <w:t>6</w:t>
            </w: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-</w:t>
            </w: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val="en-US" w:eastAsia="zh-CN" w:bidi="ar"/>
              </w:rPr>
              <w:t>8</w:t>
            </w: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7BB337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2-3年</w:t>
            </w:r>
          </w:p>
        </w:tc>
      </w:tr>
      <w:tr w14:paraId="24B14F8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shd w:val="clear" w:color="auto" w:fill="auto"/>
            <w:vAlign w:val="center"/>
          </w:tcPr>
          <w:p w14:paraId="2BAC5F9B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温湿度照度CO2一体传感器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447D86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val="en-US" w:eastAsia="zh-CN" w:bidi="ar"/>
              </w:rPr>
              <w:t>6</w:t>
            </w: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-</w:t>
            </w: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val="en-US" w:eastAsia="zh-CN" w:bidi="ar"/>
              </w:rPr>
              <w:t>8</w:t>
            </w: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07F34D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2-3年</w:t>
            </w:r>
          </w:p>
        </w:tc>
      </w:tr>
      <w:tr w14:paraId="3F365CC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66" w:type="pct"/>
            <w:shd w:val="clear" w:color="auto" w:fill="auto"/>
            <w:vAlign w:val="center"/>
          </w:tcPr>
          <w:p w14:paraId="0FB36705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温湿度气压一体传感器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26BE80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val="en-US" w:eastAsia="zh-CN" w:bidi="ar"/>
              </w:rPr>
              <w:t>6</w:t>
            </w: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-</w:t>
            </w: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val="en-US" w:eastAsia="zh-CN" w:bidi="ar"/>
              </w:rPr>
              <w:t>8</w:t>
            </w: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4E6AC6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2-3年</w:t>
            </w:r>
          </w:p>
        </w:tc>
      </w:tr>
      <w:tr w14:paraId="237F679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shd w:val="clear" w:color="auto" w:fill="auto"/>
            <w:vAlign w:val="center"/>
          </w:tcPr>
          <w:p w14:paraId="2F45C014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超声波五参数传感器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7FA830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val="en-US" w:eastAsia="zh-CN" w:bidi="ar"/>
              </w:rPr>
              <w:t>6</w:t>
            </w: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-</w:t>
            </w: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val="en-US" w:eastAsia="zh-CN" w:bidi="ar"/>
              </w:rPr>
              <w:t>8</w:t>
            </w: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73FC24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2-3年</w:t>
            </w:r>
          </w:p>
        </w:tc>
      </w:tr>
      <w:tr w14:paraId="047CFEF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shd w:val="clear" w:color="auto" w:fill="auto"/>
            <w:vAlign w:val="center"/>
          </w:tcPr>
          <w:p w14:paraId="75A9ED69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便携式多参数分析仪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143CCEF7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5D5CABB1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2-3年</w:t>
            </w:r>
          </w:p>
        </w:tc>
      </w:tr>
    </w:tbl>
    <w:p w14:paraId="511F74FE">
      <w:pPr>
        <w:rPr>
          <w:rFonts w:hint="default"/>
          <w:highlight w:val="none"/>
          <w:lang w:val="en-US" w:eastAsia="zh-CN"/>
        </w:rPr>
      </w:pPr>
    </w:p>
    <w:p w14:paraId="471B1251">
      <w:pPr>
        <w:pStyle w:val="3"/>
        <w:rPr>
          <w:rFonts w:hint="eastAsia"/>
          <w:color w:val="auto"/>
          <w:highlight w:val="none"/>
        </w:rPr>
      </w:pPr>
      <w:bookmarkStart w:id="18" w:name="_Toc16803"/>
      <w:bookmarkStart w:id="19" w:name="_Toc2372"/>
      <w:bookmarkStart w:id="20" w:name="_Toc24537"/>
      <w:r>
        <w:rPr>
          <w:rFonts w:hint="eastAsia"/>
          <w:color w:val="auto"/>
          <w:highlight w:val="none"/>
          <w:lang w:val="en-US" w:eastAsia="zh-CN"/>
        </w:rPr>
        <w:t>设备</w:t>
      </w:r>
      <w:r>
        <w:rPr>
          <w:rFonts w:hint="eastAsia"/>
          <w:color w:val="auto"/>
          <w:highlight w:val="none"/>
        </w:rPr>
        <w:t>日常维护</w:t>
      </w:r>
      <w:bookmarkEnd w:id="18"/>
      <w:bookmarkEnd w:id="19"/>
      <w:bookmarkEnd w:id="20"/>
    </w:p>
    <w:p w14:paraId="215F64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在线全光谱多参数传感器</w:t>
      </w:r>
    </w:p>
    <w:p w14:paraId="22B1B3FB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（1）定期用自来水清洗外表面，若有碎屑残留，用湿润软布擦拭；顽固污垢可加家用洗涤液清洗。</w:t>
      </w:r>
    </w:p>
    <w:p w14:paraId="1CE601E1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（2）查看线缆是否绷紧、测量窗口有无脏污、清洁刷是否正常及有无损坏。</w:t>
      </w:r>
    </w:p>
    <w:p w14:paraId="57E5D9D8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（3）校准传感器，在使用前将传感器置入去离子水，保证光路浸没且无气泡，发送光谱校准指令完成校准。</w:t>
      </w:r>
    </w:p>
    <w:p w14:paraId="35ED99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highlight w:val="none"/>
        </w:rPr>
      </w:pPr>
      <w:r>
        <w:rPr>
          <w:rFonts w:hint="eastAsia"/>
          <w:b/>
          <w:bCs/>
          <w:highlight w:val="none"/>
        </w:rPr>
        <w:t>在线PH传感器</w:t>
      </w:r>
    </w:p>
    <w:p w14:paraId="2516CE02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（1）测量前用蒸馏水洗净并擦干传感器，插入被测液1/3深度，防杂质污染。</w:t>
      </w:r>
    </w:p>
    <w:p w14:paraId="28A20722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（2）闲置保养，洗净后浸泡于3mol/L氯化钾溶液中（保护套或容器），维持电极性能。</w:t>
      </w:r>
    </w:p>
    <w:p w14:paraId="15DFAA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在线溶解氧传感器</w:t>
      </w:r>
    </w:p>
    <w:p w14:paraId="1B768314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（1）使用后及时安装电极保护套，保证套内海绵湿润；新传感器需在自来水中活化24小时，确保测试准确性。</w:t>
      </w:r>
    </w:p>
    <w:p w14:paraId="65200647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（2）测试时将传感器置于水中，避免长时间测试空气；测量和校准时，防止荧光膜表面附着气泡；测试中避免荧光膜头受摩擦刮伤，野外测试时膜头离水底30公分以上。</w:t>
      </w:r>
    </w:p>
    <w:p w14:paraId="162EC12B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（3）检查线缆是否绷紧或与硬物摩擦，确保正常安装时线缆处于合适状态，防止内部电线断裂或表皮破损进水。</w:t>
      </w:r>
    </w:p>
    <w:p w14:paraId="0C46AA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在线电导率传感器</w:t>
      </w:r>
    </w:p>
    <w:p w14:paraId="123065FD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（1）用软毛刷清除附着物（防划伤），蒸馏水洗净后校准。  </w:t>
      </w:r>
    </w:p>
    <w:p w14:paraId="12EF5C8D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（2）根据工况调整校准频率，确保测量准确性。</w:t>
      </w:r>
    </w:p>
    <w:p w14:paraId="09BE4377">
      <w:pPr>
        <w:ind w:firstLine="0" w:firstLineChars="0"/>
        <w:rPr>
          <w:rFonts w:hint="eastAsia"/>
          <w:b/>
          <w:bCs/>
          <w:highlight w:val="none"/>
        </w:rPr>
      </w:pPr>
      <w:r>
        <w:rPr>
          <w:b/>
          <w:bCs/>
          <w:highlight w:val="none"/>
        </w:rPr>
        <w:t>在线ORP传感器</w:t>
      </w:r>
    </w:p>
    <w:p w14:paraId="632EF2E3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（1）ORP电极在测量时，应先在蒸馏水中（或去离子水中）清洗干净，并用滤纸吸干水分，防止杂质带进被测液中，电极的1/3应插入被测溶液中。</w:t>
      </w:r>
    </w:p>
    <w:p w14:paraId="1B28D352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（2）电极不用时应洗净，插入加有3mol/L氯化钾溶液的保护套,或将电极插进加有3mol/L氯化钾溶液的容器中。</w:t>
      </w:r>
    </w:p>
    <w:p w14:paraId="083FB700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3）检查接线端子处是否干燥，如有沾污，请用无水酒精擦拭，吹干后使用。应避免长期浸泡在蒸馏水或蛋白质溶液中，并防止与有机硅油脂接触。使用时间较长的电极，可用稀盐酸洗涤，并用水冲洗。电极使用（4）时间较长，出现测量误差时，须配合仪表进行标定，进行校正。</w:t>
      </w:r>
    </w:p>
    <w:p w14:paraId="0F5C360C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（5）当用以上方式对电极进行维护和保养时仍不能进行标定和测量时，说明电极已经失效，请更换电极。</w:t>
      </w:r>
    </w:p>
    <w:p w14:paraId="1A4D51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在线氨氮传感器</w:t>
      </w:r>
    </w:p>
    <w:p w14:paraId="4C957267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（1）摘掉电极保护套，在清水中浸泡2小时活化，去离子水洗净后测试，初次用需在清水中泡30分钟以上、12小时以内。</w:t>
      </w:r>
    </w:p>
    <w:p w14:paraId="72236911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（2）长期（超两周）不用干燥储存，套上保护帽；短期不用放清水中浸泡；几天不用用含保护液外壳保存，下次用前清水泡30分钟以上。</w:t>
      </w:r>
    </w:p>
    <w:p w14:paraId="705A9D48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（3）检查接线端子干燥情况，沾污时用无水酒精擦拭吹干。</w:t>
      </w:r>
    </w:p>
    <w:p w14:paraId="5E3C8F29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（4）PVC膜半透明或有沉积物，用蒸馏水（或去离子水）冲洗。</w:t>
      </w:r>
    </w:p>
    <w:p w14:paraId="7CD3206B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（5）电极使用久出现测量误差，须进行校正。</w:t>
      </w:r>
    </w:p>
    <w:p w14:paraId="7C68B262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（6）校准时放校准液中轻晃、静置，待读数稳定（约5分钟）再校准。</w:t>
      </w:r>
    </w:p>
    <w:p w14:paraId="0C07F0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在线氨氮</w:t>
      </w: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/</w:t>
      </w:r>
      <w:r>
        <w:rPr>
          <w:rFonts w:hint="eastAsia" w:ascii="宋体" w:hAnsi="宋体" w:eastAsia="宋体" w:cs="宋体"/>
          <w:b/>
          <w:bCs/>
          <w:highlight w:val="none"/>
        </w:rPr>
        <w:t>总磷分析仪</w:t>
      </w:r>
    </w:p>
    <w:p w14:paraId="09AE181E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（1）定期用温和的清洁剂清洗仪器外部，去除灰尘和污渍。</w:t>
      </w:r>
    </w:p>
    <w:p w14:paraId="76DFDDEF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（2）检查试剂余量，及时添加或更换。注意试剂保质期，避免使用过期试剂。定期更换试剂管路，防止堵塞和交叉污染，更换频率根据使用情况确定。</w:t>
      </w:r>
    </w:p>
    <w:p w14:paraId="05520C05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（3）按照仪器使用手册规定的时间进行校准，包括零点校准和量程校准，使用标准溶液进行操作，确保测量结果的准确性。</w:t>
      </w:r>
    </w:p>
    <w:p w14:paraId="37A3C866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（4）检查采样泵、蠕动泵等部件的工作状态，查看是否有泄漏、异常噪音或磨损。检查仪器的连接部件是否松动，及时紧固，保证仪器稳定运行。</w:t>
      </w:r>
    </w:p>
    <w:p w14:paraId="6BD7E7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highlight w:val="none"/>
        </w:rPr>
      </w:pPr>
      <w:r>
        <w:rPr>
          <w:rFonts w:hint="eastAsia"/>
          <w:b/>
          <w:bCs/>
          <w:highlight w:val="none"/>
        </w:rPr>
        <w:t>多普勒流量计</w:t>
      </w:r>
    </w:p>
    <w:p w14:paraId="4CB0B983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（1）定期清理传感器表面，去除污垢、杂物，避免影响声波传输。使用软布或清水冲洗，避免刮伤。</w:t>
      </w:r>
    </w:p>
    <w:p w14:paraId="7C8D4FF5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（2）查看传感器安装位置是否松动、偏移，确保其与管道贴合良好，保证测量精度。</w:t>
      </w:r>
    </w:p>
    <w:p w14:paraId="1D7A9EBC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（3）检查连接线缆有无破损、老化，接线端是否松动，发现问题及时修复或更换。</w:t>
      </w:r>
    </w:p>
    <w:p w14:paraId="63C9633A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（4）按规定周期用标准器具校准，对比测量值与标准值，调整偏差，确保测量准确。</w:t>
      </w:r>
    </w:p>
    <w:p w14:paraId="34E15832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（5）关注测量数据，分析变化趋势，异常时排查设备故障或管道问题。</w:t>
      </w:r>
    </w:p>
    <w:p w14:paraId="660A7D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highlight w:val="none"/>
        </w:rPr>
      </w:pPr>
      <w:r>
        <w:rPr>
          <w:rFonts w:hint="eastAsia"/>
          <w:b/>
          <w:bCs/>
          <w:highlight w:val="none"/>
        </w:rPr>
        <w:t>雷达流量</w:t>
      </w:r>
      <w:r>
        <w:rPr>
          <w:rFonts w:hint="eastAsia"/>
          <w:b/>
          <w:bCs/>
          <w:highlight w:val="none"/>
          <w:lang w:val="en-US" w:eastAsia="zh-CN"/>
        </w:rPr>
        <w:t>/液位</w:t>
      </w:r>
      <w:r>
        <w:rPr>
          <w:rFonts w:hint="eastAsia"/>
          <w:b/>
          <w:bCs/>
          <w:highlight w:val="none"/>
        </w:rPr>
        <w:t>计</w:t>
      </w:r>
    </w:p>
    <w:p w14:paraId="0E66972E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（1）定期用柔软干布擦拭雷达流量计的天线和外壳，清除灰尘、污垢，避免影响信号发射与接收。若有顽固污渍，用湿布蘸温和清洁剂轻轻擦拭，之后擦干。</w:t>
      </w:r>
    </w:p>
    <w:p w14:paraId="507DA845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（2）检查安装位置是否偏移，确保设备稳固安装在指定位置，且对准测量区域。查看安装支架有无松动、变形，及时紧固或修复。</w:t>
      </w:r>
    </w:p>
    <w:p w14:paraId="20ED1279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（3）检查连接线缆是否破损、老化，接线处是否松动。若发现问题，及时更换线缆或紧固接线，保证信号传输稳定。</w:t>
      </w:r>
    </w:p>
    <w:p w14:paraId="20DCE70D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（4）定期分析测量数据，观察数据变化趋势。若数据异常波动或与实际不符，排查设备故障或测量环境变化因素。</w:t>
      </w:r>
    </w:p>
    <w:p w14:paraId="1DD7CD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雨量传感器</w:t>
      </w:r>
    </w:p>
    <w:p w14:paraId="0F1AF534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（1）定期用软毛刷或湿布清理传感器外壳、翻斗（翻斗式）等部件，去除灰尘、杂物、树叶等，避免堵塞进水口或影响翻斗翻转。</w:t>
      </w:r>
    </w:p>
    <w:p w14:paraId="10C0A0AA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（2）检查翻斗部件，查看是否有磨损、变形，如有异常及时更换。通过标准量杯注水测试，调整翻斗灵敏度和计量精度。</w:t>
      </w:r>
    </w:p>
    <w:p w14:paraId="2F8D7EB1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（3）检查传感器安装支架、固定螺丝等是否松动，及时紧固，保证传感器安装牢固、垂直，防止因晃动影响测量精度。</w:t>
      </w:r>
    </w:p>
    <w:p w14:paraId="573A27A9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（4）查看连接线缆有无破损、老化、受潮，接线端子是否松动，发现问题及时修复或更换，确保信号传输稳定。</w:t>
      </w:r>
    </w:p>
    <w:p w14:paraId="1923B8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风速/风向传感器</w:t>
      </w:r>
    </w:p>
    <w:p w14:paraId="7FE5752E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（1）使用柔软干净的布，擦拭风速风向传感器的外壳、风杯、风向标等部件，去除表面的灰尘、污垢和杂物，避免影响测量精度。</w:t>
      </w:r>
    </w:p>
    <w:p w14:paraId="676EFEC5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（2）仔细检查风杯、风向标是否有变形、损坏或磨损，若发现部件出现上述情况，及时进行更换；同时查看传感器的固定部件，如螺丝、支架等是否松动，如有松动需立即紧固。</w:t>
      </w:r>
    </w:p>
    <w:p w14:paraId="67D643DE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（3）对风杯和风向标连接的转动部件添加适量润滑油，减少摩擦，确保风杯和风向标能灵活转动，准确测量风速和风向。</w:t>
      </w:r>
    </w:p>
    <w:p w14:paraId="720D0B90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（4）检查连接传感器的线缆是否有破损、老化、受潮等情况，若发现问题及时修复或更换；检查接线端子是否松动，如有松动要及时紧固，保证信号传输稳定。</w:t>
      </w:r>
    </w:p>
    <w:p w14:paraId="390688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温湿度/温湿度照度/温湿度照度CO2/温湿度气压</w:t>
      </w:r>
      <w:r>
        <w:rPr>
          <w:rFonts w:hint="eastAsia" w:cs="宋体"/>
          <w:b/>
          <w:bCs/>
          <w:highlight w:val="none"/>
          <w:lang w:val="en-US" w:eastAsia="zh-CN"/>
        </w:rPr>
        <w:t>/</w:t>
      </w:r>
      <w:r>
        <w:rPr>
          <w:rFonts w:hint="eastAsia" w:ascii="宋体" w:hAnsi="宋体" w:eastAsia="宋体" w:cs="宋体"/>
          <w:b/>
          <w:bCs/>
          <w:highlight w:val="none"/>
        </w:rPr>
        <w:t>超声波一体传感器</w:t>
      </w:r>
    </w:p>
    <w:p w14:paraId="15978AF3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（1）使用柔软干净的湿布擦拭传感器外壳，去除灰尘、污渍，避免影响光学部件（如照度传感器的采光面、CO₂传感器的光学窗口）的性能。对于难以清除的污渍，可使用温和清洁剂，但避免清洁剂进入设备内部。</w:t>
      </w:r>
    </w:p>
    <w:p w14:paraId="189A6C05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（2）检查传感器与设备之间的连接线缆，查看是否有破损、老化、松动等情况，发现问题及时更换或紧固。检查传感器的安装支架，确保安装牢固，无晃动。</w:t>
      </w:r>
    </w:p>
    <w:p w14:paraId="08F6B6EA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（3）定期检查传感器所处环境，避免周围有发热、散热设备影响温湿度测量。远离强光源直射照度传感器，防止测量值异常。避免CO₂气源或污染源靠近CO₂传感器，保证测量准确性。</w:t>
      </w:r>
    </w:p>
    <w:p w14:paraId="0BEDB124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（4）日常监测传感器数据，观察数据变化趋势。若出现数据异常波动或明显偏离正常范围，及时排查传感器故障，可对比附近其他同类传感器数据辅助判断。</w:t>
      </w:r>
    </w:p>
    <w:p w14:paraId="5C6265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便携式多参数分析仪</w:t>
      </w:r>
    </w:p>
    <w:p w14:paraId="580D7483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（1）平常不用时拔掉电源插头。若有反应液体溅到载物台或仪器外壁，及时用湿抹布擦去，必要时消毒。每次使用完毕用湿抹布擦拭保持洁净。</w:t>
      </w:r>
    </w:p>
    <w:p w14:paraId="15DC1935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仪器有开机自检功能，出现故障时，依据故障提示或常见故障排查方法处理。如水质检测仪不能启动，检查电源；自检不正常，查看光源灯、重新设置波长值或更换滤光片；检测结果不正确，根据具体原因更换光源灯、滤光片、试剂，排除干扰源，重新校准标定或处理样本；</w:t>
      </w:r>
    </w:p>
    <w:p w14:paraId="49E3E056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本仪器属于计量类仪器，出现检测结果超出规定范围、实验条件改变、用标准溶液检验出现误差等情形时，需使用标准溶液重新进行校准和标定，标液可选用国家标物中心发行的质控品、从厂家购买或用户自行配置（配置应严格按照对应检测项目最新版本的环境标准），以保证测定结果的准确性。</w:t>
      </w:r>
    </w:p>
    <w:p w14:paraId="6FD0F9CB">
      <w:pPr>
        <w:bidi w:val="0"/>
        <w:rPr>
          <w:rFonts w:hint="eastAsia" w:ascii="宋体" w:hAnsi="宋体" w:eastAsia="宋体" w:cs="宋体"/>
          <w:b/>
          <w:bCs/>
          <w:highlight w:val="none"/>
        </w:rPr>
      </w:pPr>
    </w:p>
    <w:p w14:paraId="3E03541E">
      <w:pPr>
        <w:pStyle w:val="3"/>
        <w:rPr>
          <w:rFonts w:hint="eastAsia"/>
          <w:color w:val="auto"/>
          <w:highlight w:val="none"/>
        </w:rPr>
      </w:pPr>
      <w:bookmarkStart w:id="21" w:name="_Toc8070"/>
      <w:bookmarkStart w:id="22" w:name="_Toc9381"/>
      <w:bookmarkStart w:id="23" w:name="_Toc1460"/>
      <w:r>
        <w:rPr>
          <w:rFonts w:hint="eastAsia"/>
          <w:color w:val="auto"/>
          <w:highlight w:val="none"/>
          <w:lang w:val="en-US" w:eastAsia="zh-CN"/>
        </w:rPr>
        <w:t>设备</w:t>
      </w:r>
      <w:r>
        <w:rPr>
          <w:rFonts w:hint="eastAsia"/>
          <w:color w:val="auto"/>
          <w:highlight w:val="none"/>
        </w:rPr>
        <w:t>维护注意事项</w:t>
      </w:r>
      <w:bookmarkEnd w:id="21"/>
      <w:bookmarkEnd w:id="22"/>
      <w:bookmarkEnd w:id="23"/>
    </w:p>
    <w:p w14:paraId="7D191E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在线全光谱多参数传感器</w:t>
      </w:r>
    </w:p>
    <w:p w14:paraId="18FE30D5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（1）防止传感器受到剧烈机械撞击，使用中避免对其直接施加机械应力（压力、划痕等）。</w:t>
      </w:r>
    </w:p>
    <w:p w14:paraId="1AA6978C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（2）避免传感器被阳光暴晒，不要用手触摸传感器。</w:t>
      </w:r>
    </w:p>
    <w:p w14:paraId="5A8E64F2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（3）测量和校准时，确保传感器表面无气泡附着。</w:t>
      </w:r>
    </w:p>
    <w:p w14:paraId="0F5702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highlight w:val="none"/>
        </w:rPr>
      </w:pPr>
      <w:r>
        <w:rPr>
          <w:rFonts w:hint="eastAsia"/>
          <w:b/>
          <w:bCs/>
          <w:highlight w:val="none"/>
        </w:rPr>
        <w:t>在线PH传感器</w:t>
      </w:r>
    </w:p>
    <w:p w14:paraId="5D04BD84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（1）用无水酒精擦拭接线端子上的沾污，确保干燥后使用。</w:t>
      </w:r>
    </w:p>
    <w:p w14:paraId="68B481C0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（2）勿长期浸泡蒸馏水/蛋白质溶液，远离有机硅油脂。</w:t>
      </w:r>
    </w:p>
    <w:p w14:paraId="59F94A84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（3）玻璃膜老化/沉积时，用稀盐酸清洗后水洗，必要时重新标定。</w:t>
      </w:r>
    </w:p>
    <w:p w14:paraId="424EC2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在线溶解氧传感器</w:t>
      </w:r>
    </w:p>
    <w:p w14:paraId="7809251E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（1）传感器含有敏感部件，安装和测量时避免其受到剧烈机械撞击。</w:t>
      </w:r>
    </w:p>
    <w:p w14:paraId="11E1ECF5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（2）防止荧光帽内表面被阳光暴晒，不要用手触摸荧光膜；未做防水处理的接线端子不能没入水中，避免线缆进水影响设备正常工作。 </w:t>
      </w:r>
    </w:p>
    <w:p w14:paraId="5EDAC0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在线电导率传感器</w:t>
      </w:r>
    </w:p>
    <w:p w14:paraId="19016FED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（1）校准与测试时电极需完全浸入标准液（无气泡），距容器底/壁≥2cm。  </w:t>
      </w:r>
    </w:p>
    <w:p w14:paraId="3C7EECC7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</w:t>
      </w:r>
      <w:r>
        <w:rPr>
          <w:rFonts w:hint="eastAsia"/>
          <w:b w:val="0"/>
          <w:bCs w:val="0"/>
          <w:highlight w:val="none"/>
          <w:lang w:val="en-US" w:eastAsia="zh-CN"/>
        </w:rPr>
        <w:t>2</w:t>
      </w:r>
      <w:r>
        <w:rPr>
          <w:rFonts w:hint="eastAsia"/>
          <w:b w:val="0"/>
          <w:bCs w:val="0"/>
          <w:highlight w:val="none"/>
          <w:lang w:eastAsia="zh-CN"/>
        </w:rPr>
        <w:t xml:space="preserve">） 非防水端子避免浸水，线缆需松弛固定，防止摩擦或断裂。  </w:t>
      </w:r>
    </w:p>
    <w:p w14:paraId="2FA90198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</w:t>
      </w:r>
      <w:r>
        <w:rPr>
          <w:rFonts w:hint="eastAsia"/>
          <w:b w:val="0"/>
          <w:bCs w:val="0"/>
          <w:highlight w:val="none"/>
          <w:lang w:val="en-US" w:eastAsia="zh-CN"/>
        </w:rPr>
        <w:t>3</w:t>
      </w:r>
      <w:r>
        <w:rPr>
          <w:rFonts w:hint="eastAsia"/>
          <w:b w:val="0"/>
          <w:bCs w:val="0"/>
          <w:highlight w:val="none"/>
          <w:lang w:eastAsia="zh-CN"/>
        </w:rPr>
        <w:t xml:space="preserve">）避免与有机硅油脂接触。  </w:t>
      </w:r>
    </w:p>
    <w:p w14:paraId="0921F788">
      <w:pPr>
        <w:ind w:firstLine="0" w:firstLineChars="0"/>
        <w:rPr>
          <w:rFonts w:hint="eastAsia"/>
          <w:b/>
          <w:bCs/>
          <w:highlight w:val="none"/>
        </w:rPr>
      </w:pPr>
      <w:r>
        <w:rPr>
          <w:b/>
          <w:bCs/>
          <w:highlight w:val="none"/>
        </w:rPr>
        <w:t>在线ORP传感器</w:t>
      </w:r>
    </w:p>
    <w:p w14:paraId="7721C52A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（1）检查传感器的线缆：正常工作时线缆不应绷紧，否则容易使线缆内部电线断裂，引起传感器不能正常工作。</w:t>
      </w:r>
    </w:p>
    <w:p w14:paraId="6595D544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（2）电极长期不用时，置于3mol/L氯化钾溶液的保护套中保存；勿干燥保存。</w:t>
      </w:r>
    </w:p>
    <w:p w14:paraId="40237908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（3）电极长期使用，响应慢，读数不准时，将电极探头置于0.1mol/L HCL溶液浸泡24小时，再用3mol/L KCL溶液浸泡2小时。</w:t>
      </w:r>
    </w:p>
    <w:p w14:paraId="2BE6EDE4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（4）注意：ORP值有负值，应答数据大于0x7FFF（十进制：32767），则实测值=应答数据-0xFFFF；如-40mV其计算方法为：应答数据为0xFFD7，则实测值=0xFFD7-0xFFFF=65495-65535=-40</w:t>
      </w:r>
    </w:p>
    <w:p w14:paraId="2428BE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在线氨氮传感器</w:t>
      </w:r>
    </w:p>
    <w:p w14:paraId="507BC0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（1）膜头用去离子水清洗，勿碰伤，测量时距底部至少2cm，敏感膜内无气泡，可轻敲除泡。</w:t>
      </w:r>
    </w:p>
    <w:p w14:paraId="4A9268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（2）避免放腐蚀性、能腐蚀PVC溶液（如强酸），酮类及饱和有机物溶液（如四氢呋喃、蛋白质溶液），强电磁和核辐射环境；不建议在成分复杂液体（如海水、电镀废水）长期放置。</w:t>
      </w:r>
    </w:p>
    <w:p w14:paraId="3BB1A8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（3）检查通讯时，两电极须浸泡在溶液中。</w:t>
      </w:r>
    </w:p>
    <w:p w14:paraId="0777BD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（4）标液有使用次数限制，1mg/L的2次/瓶、10mg/L的4次/瓶、100mg/L的6次/瓶。</w:t>
      </w:r>
    </w:p>
    <w:p w14:paraId="73B043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（5）注意保护参比电极外漏白色布条，勿揪出损坏。 </w:t>
      </w:r>
    </w:p>
    <w:p w14:paraId="6A7624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（6）防止电极长期浸泡在蒸馏水或蛋白质溶液中，避免与有机硅油脂接触。</w:t>
      </w:r>
    </w:p>
    <w:p w14:paraId="7F4F5D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在线氨氮</w:t>
      </w: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/</w:t>
      </w:r>
      <w:r>
        <w:rPr>
          <w:rFonts w:hint="eastAsia" w:ascii="宋体" w:hAnsi="宋体" w:eastAsia="宋体" w:cs="宋体"/>
          <w:b/>
          <w:bCs/>
          <w:highlight w:val="none"/>
        </w:rPr>
        <w:t>总磷分析仪</w:t>
      </w:r>
    </w:p>
    <w:p w14:paraId="1F7252E3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（1）严格按照操作手册进行操作，避免误操作损坏仪器。维护过程中如需接触试剂，应佩戴防护手套和护目镜，防止试剂腐蚀。</w:t>
      </w:r>
    </w:p>
    <w:p w14:paraId="7FE27F3D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（2）仪器应安装在干燥、通风良好的环境中，避免阳光直射和高温高湿环境。远离强电磁场干扰源，防止影响测量精度。</w:t>
      </w:r>
    </w:p>
    <w:p w14:paraId="2F3850E1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（3）仪器出现故障时，不要擅自拆解维修，应联系专业维修人员。记录故障现象和发生时间，为维修提供参考。</w:t>
      </w:r>
    </w:p>
    <w:p w14:paraId="1E839C2F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（4）定期检查仪器的接地情况，确保使用安全。对废弃试剂进行妥善处理，按照环保要求进行回收或中和排放，避免污染环境。 </w:t>
      </w:r>
    </w:p>
    <w:p w14:paraId="297C64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highlight w:val="none"/>
        </w:rPr>
      </w:pPr>
      <w:r>
        <w:rPr>
          <w:rFonts w:hint="eastAsia"/>
          <w:b/>
          <w:bCs/>
          <w:highlight w:val="none"/>
        </w:rPr>
        <w:t>多普勒流量计</w:t>
      </w:r>
    </w:p>
    <w:p w14:paraId="0C3C6ADA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（1）严格按操作手册操作，维护时先切断电源，防止触电。</w:t>
      </w:r>
    </w:p>
    <w:p w14:paraId="24426DFE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（2）避免在强电磁干扰、高温、高湿环境下使用，防止设备受损或测量失准。</w:t>
      </w:r>
    </w:p>
    <w:p w14:paraId="5F57BB04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（3）安装和使用中防止设备受剧烈震动，以免损坏内部部件。</w:t>
      </w:r>
    </w:p>
    <w:p w14:paraId="2E86CA86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 xml:space="preserve">（4）设备故障时，由专业人员维修，不可自行拆解。 </w:t>
      </w:r>
    </w:p>
    <w:p w14:paraId="3D551F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highlight w:val="none"/>
        </w:rPr>
      </w:pPr>
      <w:r>
        <w:rPr>
          <w:rFonts w:hint="eastAsia"/>
          <w:b/>
          <w:bCs/>
          <w:highlight w:val="none"/>
        </w:rPr>
        <w:t>雷达流量</w:t>
      </w:r>
      <w:r>
        <w:rPr>
          <w:rFonts w:hint="eastAsia"/>
          <w:b/>
          <w:bCs/>
          <w:highlight w:val="none"/>
          <w:lang w:val="en-US" w:eastAsia="zh-CN"/>
        </w:rPr>
        <w:t>/液位</w:t>
      </w:r>
      <w:r>
        <w:rPr>
          <w:rFonts w:hint="eastAsia"/>
          <w:b/>
          <w:bCs/>
          <w:highlight w:val="none"/>
        </w:rPr>
        <w:t>计</w:t>
      </w:r>
    </w:p>
    <w:p w14:paraId="681429B0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（1）严格按照操作手册进行操作，维护前切断电源，避免带电操作引发危险。非专业人员不要擅自拆解设备。</w:t>
      </w:r>
    </w:p>
    <w:p w14:paraId="6CC51E9F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（2）避免设备在强电磁干扰环境下工作，远离大型电机、变压器等设备。同时，做好防水、防晒措施，防止因恶劣天气损坏设备。</w:t>
      </w:r>
    </w:p>
    <w:p w14:paraId="44BB1FB1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（3）按照规定的时间间隔进行校准，使用专业校准设备和方法，确保测量精度。校准过程需由专业人员操作。</w:t>
      </w:r>
    </w:p>
    <w:p w14:paraId="3ADA6875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 xml:space="preserve">（4）设备出现故障时，及时记录故障现象，联系厂家或专业维修人员进行维修，不可自行尝试修复，以免造成更大损坏。 </w:t>
      </w:r>
    </w:p>
    <w:p w14:paraId="1865CA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雨量传感器</w:t>
      </w:r>
    </w:p>
    <w:p w14:paraId="7118BE3A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（1）维护时轻拿轻放，避免碰撞传感器，尤其是翻斗、感应部件，防止损坏影响测量准确性。</w:t>
      </w:r>
    </w:p>
    <w:p w14:paraId="144BAB2F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（2）传感器应远离强电磁干扰源，如高压线、大型电机等，避免电磁干扰导致测量数据异常。</w:t>
      </w:r>
    </w:p>
    <w:p w14:paraId="3756EDA7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（3）维护前务必切断电源，严禁带电插拔线缆、更换部件，防止触电和损坏设备。</w:t>
      </w:r>
    </w:p>
    <w:p w14:paraId="3849671F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（4）维护时检查防水胶圈、密封垫是否完好，如有老化、损坏及时更换，避免雨水、湿气进入内部损坏电路。</w:t>
      </w:r>
    </w:p>
    <w:p w14:paraId="2D9AC59D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（5）维护人员需熟悉设备说明书和操作规程，按要求操作，如校准、故障排查等，避免误操作损坏设备。 </w:t>
      </w:r>
    </w:p>
    <w:p w14:paraId="514234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风速/风向传感器</w:t>
      </w:r>
    </w:p>
    <w:p w14:paraId="27676DAC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（1）在维护过程中，要小心操作，避免传感器受到碰撞或剧烈震动，防止损坏风杯、风向标等敏感部件。</w:t>
      </w:r>
    </w:p>
    <w:p w14:paraId="6F9D0DFC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（2）风速风向传感器应远离强电磁干扰源，如高压线、大型电机等，以免影响测量数据的准确性。</w:t>
      </w:r>
    </w:p>
    <w:p w14:paraId="1061425D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（3）进行维护工作前，务必切断传感器的电源，严禁带电操作，防止发生触电事故和损坏设备。</w:t>
      </w:r>
    </w:p>
    <w:p w14:paraId="7CE8C142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（4）维护时检查传感器的防水密封性能，确保防水胶圈、密封垫等部件完好无损，如有损坏应及时更换，避免雨水或湿气进入传感器内部，损坏电路。</w:t>
      </w:r>
    </w:p>
    <w:p w14:paraId="46139B78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（5）维护人员需熟悉传感器的使用说明书和维护操作规程，严格按照要求进行操作，确保维护工作安全、有效。 </w:t>
      </w:r>
    </w:p>
    <w:p w14:paraId="1E0E8F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温湿度/温湿度照度/温湿度照度CO2/温湿度气压</w:t>
      </w:r>
      <w:r>
        <w:rPr>
          <w:rFonts w:hint="eastAsia" w:cs="宋体"/>
          <w:b/>
          <w:bCs/>
          <w:highlight w:val="none"/>
          <w:lang w:val="en-US" w:eastAsia="zh-CN"/>
        </w:rPr>
        <w:t>/</w:t>
      </w:r>
      <w:r>
        <w:rPr>
          <w:rFonts w:hint="eastAsia" w:ascii="宋体" w:hAnsi="宋体" w:eastAsia="宋体" w:cs="宋体"/>
          <w:b/>
          <w:bCs/>
          <w:highlight w:val="none"/>
        </w:rPr>
        <w:t>超声波一体传感器</w:t>
      </w:r>
    </w:p>
    <w:p w14:paraId="7A9A48B7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（1）维护时小心操作，避免传感器受到撞击或摔落，防止损坏内部敏感元件。</w:t>
      </w:r>
    </w:p>
    <w:p w14:paraId="077410E1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（2）避免传感器接触腐蚀性物质、化学试剂等，防止敏感元件被腐蚀，影响测量精度和使用寿命。</w:t>
      </w:r>
    </w:p>
    <w:p w14:paraId="31C8AFA9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（3）非专业人员不要自行拆解传感器，以免损坏内部精密部件或造成电气故障。若设备出现故障，应联系专业维修人员。</w:t>
      </w:r>
    </w:p>
    <w:p w14:paraId="7FF53B57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（4）部分传感器不具备防水功能，维护时避免水分进入传感器内部。若在潮湿环境中使用，需做好防水措施，如安装防水罩、使用密封胶等。</w:t>
      </w:r>
    </w:p>
    <w:p w14:paraId="5A02C16D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（5）维护人员需熟悉传感器的使用手册和维护规范，按照正确的步骤进行清洁、校准等操作，确保维护工作安全、有效。 </w:t>
      </w:r>
    </w:p>
    <w:p w14:paraId="005C15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便携式多参数分析仪</w:t>
      </w:r>
    </w:p>
    <w:p w14:paraId="326F4DC8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（1）仪器的维修需要专业人员操作，非专业人员请勿自行维修。维修或因其他原因拆卸外壳时必须切断电源。</w:t>
      </w:r>
    </w:p>
    <w:p w14:paraId="6EF5924D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（2）使用设备前做好防护措施，避免接触质量控制物、标准样本、废弃液体等可能有生物危害、腐蚀或有毒的物质。使用本仪器配套或推荐的试剂，禁止在强辐射源旁使用设备。</w:t>
      </w:r>
    </w:p>
    <w:p w14:paraId="0C99345A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仪器正常工作环境温度为5℃～40℃，相对湿度30%～80%，需远离强电磁场干扰源，工作场地防尘、防振，空气中无酸、盐等腐蚀性气体。运输时包装完好，防止剧烈冲击、雨淋和暴晒，中转时合理堆放。贮存时放置在阴凉干燥、防湿通风处，不能露天堆放，避免雨雪浸入，贮存运输环境温度 -20℃～ +55℃，相对湿度≤93%，无腐蚀性气体且通风良好。</w:t>
      </w:r>
    </w:p>
    <w:p w14:paraId="768C9BB9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（4）请勿让任何溶剂、油脂类、腐蚀性物质接触仪器。仪器使用期限为6年，效期结束后按规定处理或联系回收，避免污染环境。 </w:t>
      </w:r>
    </w:p>
    <w:p w14:paraId="536B31F0">
      <w:pPr>
        <w:pStyle w:val="2"/>
        <w:bidi w:val="0"/>
        <w:rPr>
          <w:rFonts w:hint="default"/>
          <w:color w:val="auto"/>
          <w:highlight w:val="none"/>
          <w:lang w:val="en-US" w:eastAsia="zh-CN"/>
        </w:rPr>
      </w:pPr>
      <w:bookmarkStart w:id="24" w:name="_Toc18219"/>
      <w:bookmarkStart w:id="25" w:name="_Toc1068"/>
      <w:r>
        <w:rPr>
          <w:rFonts w:hint="eastAsia"/>
          <w:color w:val="auto"/>
          <w:highlight w:val="none"/>
          <w:lang w:val="en-US" w:eastAsia="zh-CN"/>
        </w:rPr>
        <w:t>案例展示</w:t>
      </w:r>
      <w:bookmarkEnd w:id="24"/>
      <w:bookmarkEnd w:id="25"/>
    </w:p>
    <w:p w14:paraId="2E3B16A2">
      <w:pPr>
        <w:pStyle w:val="3"/>
        <w:bidi w:val="0"/>
        <w:rPr>
          <w:rFonts w:hint="default"/>
          <w:color w:val="auto"/>
          <w:highlight w:val="none"/>
          <w:lang w:val="en-US" w:eastAsia="zh-CN"/>
        </w:rPr>
      </w:pPr>
      <w:bookmarkStart w:id="26" w:name="_Toc26841"/>
      <w:r>
        <w:rPr>
          <w:rFonts w:hint="eastAsia"/>
          <w:color w:val="auto"/>
          <w:highlight w:val="none"/>
          <w:lang w:val="en-US" w:eastAsia="zh-CN"/>
        </w:rPr>
        <w:t>江苏常州西夏墅东南村稻田灌溉用水监测系统</w:t>
      </w:r>
      <w:bookmarkEnd w:id="26"/>
    </w:p>
    <w:p w14:paraId="09511CF1">
      <w:pPr>
        <w:bidi w:val="0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解决方案：两套微型岸边站</w:t>
      </w:r>
    </w:p>
    <w:p w14:paraId="5BB1E6DE">
      <w:pPr>
        <w:bidi w:val="0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监测指标：PH、COD、氨氮、总磷分析仪</w:t>
      </w:r>
    </w:p>
    <w:p w14:paraId="2ADF1A3E">
      <w:pPr>
        <w:bidi w:val="0"/>
        <w:jc w:val="center"/>
        <w:rPr>
          <w:rFonts w:hint="default"/>
          <w:color w:val="auto"/>
          <w:highlight w:val="none"/>
          <w:lang w:val="en-US" w:eastAsia="zh-CN"/>
        </w:rPr>
      </w:pPr>
      <w:r>
        <w:rPr>
          <w:rFonts w:ascii="Times New Roman" w:hAnsi="Times New Roman" w:cs="Times New Roman"/>
          <w:highlight w:val="none"/>
        </w:rPr>
        <w:drawing>
          <wp:inline distT="0" distB="0" distL="114300" distR="114300">
            <wp:extent cx="3564890" cy="2673985"/>
            <wp:effectExtent l="0" t="0" r="16510" b="12065"/>
            <wp:docPr id="1" name="图片 1" descr="lQDPDhr8d569lHLNC7jND6CwssvYGVSipq4ByuKZTUCeAA_4000_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QDPDhr8d569lHLNC7jND6CwssvYGVSipq4ByuKZTUCeAA_4000_300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3AFB2">
      <w:pPr>
        <w:pStyle w:val="3"/>
        <w:bidi w:val="0"/>
        <w:rPr>
          <w:rFonts w:hint="default"/>
          <w:color w:val="auto"/>
          <w:highlight w:val="none"/>
          <w:lang w:val="en-US" w:eastAsia="zh-CN"/>
        </w:rPr>
      </w:pPr>
      <w:bookmarkStart w:id="27" w:name="_Toc2952"/>
      <w:r>
        <w:rPr>
          <w:rFonts w:hint="eastAsia"/>
          <w:color w:val="auto"/>
          <w:highlight w:val="none"/>
          <w:lang w:val="en-US" w:eastAsia="zh-CN"/>
        </w:rPr>
        <w:t>浙江湖州农田灌溉项目</w:t>
      </w:r>
      <w:bookmarkEnd w:id="27"/>
    </w:p>
    <w:p w14:paraId="61B0164B">
      <w:pPr>
        <w:bidi w:val="0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解决方案：11套水质流量监测微站</w:t>
      </w:r>
    </w:p>
    <w:p w14:paraId="19127DF0">
      <w:pPr>
        <w:bidi w:val="0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监测指标：PH、溶解氧、电导率、浊度、流量</w:t>
      </w:r>
    </w:p>
    <w:p w14:paraId="341A7EFC">
      <w:pPr>
        <w:jc w:val="center"/>
        <w:rPr>
          <w:rFonts w:hint="default"/>
          <w:color w:val="auto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3451225" cy="2708910"/>
            <wp:effectExtent l="0" t="0" r="8255" b="38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575DEA">
    <w:pPr>
      <w:pStyle w:val="12"/>
      <w:rPr>
        <w:rFonts w:ascii="Times New Roman" w:hAnsi="Times New Roma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29083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83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93E04B">
                          <w:pPr>
                            <w:pStyle w:val="12"/>
                            <w:rPr>
                              <w:rFonts w:hint="default" w:eastAsia="宋体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/>
                            </w:rPr>
                            <w:t xml:space="preserve">         </w:t>
                          </w:r>
                          <w:r>
                            <w:rPr>
                              <w:rFonts w:hint="eastAsia" w:ascii="Times New Roman" w:hAnsi="Times New Roman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Times New Roman" w:hAnsi="Times New Roman"/>
                            </w:rPr>
                            <w:t xml:space="preserve">     </w:t>
                          </w:r>
                          <w:r>
                            <w:rPr>
                              <w:rFonts w:ascii="Times New Roman" w:hAnsi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</w:rPr>
                            <w:t xml:space="preserve"> /</w:t>
                          </w:r>
                          <w:r>
                            <w:rPr>
                              <w:rFonts w:hint="eastAsia" w:ascii="Times New Roman" w:hAnsi="Times New Roman"/>
                              <w:lang w:val="en-US" w:eastAsia="zh-CN"/>
                            </w:rPr>
                            <w:t>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229pt;mso-position-horizontal:left;mso-position-horizontal-relative:margin;z-index:251659264;mso-width-relative:page;mso-height-relative:page;" filled="f" stroked="f" coordsize="21600,21600" o:gfxdata="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B15uNMAAAAFAQAADwAAAAAAAAABACAAAAAiAAAAZHJzL2Rvd25yZXYu&#10;eG1sUEsBAhQAFAAAAAgAh07iQCvf8lM5AgAAYwQAAA4AAAAAAAAAAQAgAAAAI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793E04B">
                    <w:pPr>
                      <w:pStyle w:val="12"/>
                      <w:rPr>
                        <w:rFonts w:hint="default" w:eastAsia="宋体"/>
                        <w:lang w:val="en-US" w:eastAsia="zh-CN"/>
                      </w:rPr>
                    </w:pPr>
                    <w:r>
                      <w:rPr>
                        <w:rFonts w:hint="eastAsia" w:ascii="Times New Roman" w:hAnsi="Times New Roman"/>
                      </w:rPr>
                      <w:t xml:space="preserve">         </w:t>
                    </w:r>
                    <w:r>
                      <w:rPr>
                        <w:rFonts w:hint="eastAsia" w:ascii="Times New Roman" w:hAnsi="Times New Roman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Times New Roman" w:hAnsi="Times New Roman"/>
                      </w:rPr>
                      <w:t xml:space="preserve">     </w:t>
                    </w:r>
                    <w:r>
                      <w:rPr>
                        <w:rFonts w:ascii="Times New Roman" w:hAnsi="Times New Roman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</w:rPr>
                      <w:t>2</w:t>
                    </w:r>
                    <w:r>
                      <w:rPr>
                        <w:rFonts w:ascii="Times New Roman" w:hAnsi="Times New Roman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</w:rPr>
                      <w:t xml:space="preserve"> /</w:t>
                    </w:r>
                    <w:r>
                      <w:rPr>
                        <w:rFonts w:hint="eastAsia" w:ascii="Times New Roman" w:hAnsi="Times New Roman"/>
                        <w:lang w:val="en-US" w:eastAsia="zh-CN"/>
                      </w:rPr>
                      <w:t>20</w:t>
                    </w:r>
                  </w:p>
                </w:txbxContent>
              </v:textbox>
            </v:shape>
          </w:pict>
        </mc:Fallback>
      </mc:AlternateContent>
    </w:r>
  </w:p>
  <w:p w14:paraId="7BEF5B3B">
    <w:pPr>
      <w:pStyle w:val="12"/>
      <w:rPr>
        <w:rFonts w:hint="eastAsia"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30D0AF">
    <w:pPr>
      <w:pStyle w:val="13"/>
      <w:pBdr>
        <w:bottom w:val="single" w:color="auto" w:sz="4" w:space="0"/>
      </w:pBdr>
      <w:jc w:val="left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0F61EA">
    <w:pPr>
      <w:pStyle w:val="13"/>
      <w:pBdr>
        <w:bottom w:val="single" w:color="auto" w:sz="4" w:space="0"/>
      </w:pBdr>
      <w:jc w:val="left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54C0CB"/>
    <w:multiLevelType w:val="multilevel"/>
    <w:tmpl w:val="1E54C0CB"/>
    <w:lvl w:ilvl="0" w:tentative="0">
      <w:start w:val="1"/>
      <w:numFmt w:val="chineseCounting"/>
      <w:pStyle w:val="2"/>
      <w:suff w:val="nothing"/>
      <w:lvlText w:val="%1、"/>
      <w:lvlJc w:val="left"/>
      <w:pPr>
        <w:tabs>
          <w:tab w:val="left" w:pos="420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tabs>
          <w:tab w:val="left" w:pos="420"/>
        </w:tabs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74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3CB"/>
    <w:rsid w:val="0000331B"/>
    <w:rsid w:val="000E70C4"/>
    <w:rsid w:val="002438FD"/>
    <w:rsid w:val="003B326D"/>
    <w:rsid w:val="008753CB"/>
    <w:rsid w:val="008D7448"/>
    <w:rsid w:val="00A10114"/>
    <w:rsid w:val="00A30227"/>
    <w:rsid w:val="05976809"/>
    <w:rsid w:val="09DF435C"/>
    <w:rsid w:val="0CF05FA0"/>
    <w:rsid w:val="1082747C"/>
    <w:rsid w:val="12AE6653"/>
    <w:rsid w:val="1456008E"/>
    <w:rsid w:val="14A676C5"/>
    <w:rsid w:val="15FB79DC"/>
    <w:rsid w:val="1A49775A"/>
    <w:rsid w:val="1AA729DD"/>
    <w:rsid w:val="1FE35C4B"/>
    <w:rsid w:val="25E76B6C"/>
    <w:rsid w:val="2645040B"/>
    <w:rsid w:val="293D5629"/>
    <w:rsid w:val="32A21C83"/>
    <w:rsid w:val="357B59B9"/>
    <w:rsid w:val="378D4493"/>
    <w:rsid w:val="3C311B5D"/>
    <w:rsid w:val="3CAD2E9B"/>
    <w:rsid w:val="416830A7"/>
    <w:rsid w:val="41E23AAD"/>
    <w:rsid w:val="4283171C"/>
    <w:rsid w:val="4322192F"/>
    <w:rsid w:val="43AA0087"/>
    <w:rsid w:val="47ED662D"/>
    <w:rsid w:val="4DA8648A"/>
    <w:rsid w:val="4FDF2766"/>
    <w:rsid w:val="595047AC"/>
    <w:rsid w:val="5A9164F8"/>
    <w:rsid w:val="5C2514E6"/>
    <w:rsid w:val="62D358FF"/>
    <w:rsid w:val="636B69F0"/>
    <w:rsid w:val="67917192"/>
    <w:rsid w:val="6AF17D9D"/>
    <w:rsid w:val="700B402C"/>
    <w:rsid w:val="70D575F2"/>
    <w:rsid w:val="72B76BCC"/>
    <w:rsid w:val="767F6B1C"/>
    <w:rsid w:val="76BB721D"/>
    <w:rsid w:val="799F35BE"/>
    <w:rsid w:val="7B4F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宋体" w:hAnsi="宋体" w:eastAsia="宋体" w:cs="宋体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numPr>
        <w:ilvl w:val="0"/>
        <w:numId w:val="1"/>
      </w:numPr>
      <w:ind w:left="432" w:hanging="432" w:firstLineChars="0"/>
      <w:jc w:val="left"/>
      <w:outlineLvl w:val="0"/>
    </w:pPr>
    <w:rPr>
      <w:b/>
      <w:sz w:val="36"/>
      <w:szCs w:val="32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numPr>
        <w:ilvl w:val="1"/>
        <w:numId w:val="1"/>
      </w:numPr>
      <w:ind w:left="575" w:hanging="575" w:firstLineChars="0"/>
      <w:jc w:val="left"/>
      <w:outlineLvl w:val="1"/>
    </w:pPr>
    <w:rPr>
      <w:b/>
      <w:sz w:val="32"/>
      <w:szCs w:val="30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numPr>
        <w:ilvl w:val="2"/>
        <w:numId w:val="1"/>
      </w:numPr>
      <w:ind w:firstLineChars="0"/>
      <w:jc w:val="left"/>
      <w:outlineLvl w:val="2"/>
    </w:pPr>
    <w:rPr>
      <w:b/>
      <w:sz w:val="30"/>
      <w:szCs w:val="32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numPr>
        <w:ilvl w:val="3"/>
        <w:numId w:val="1"/>
      </w:numPr>
      <w:ind w:left="0" w:firstLine="720" w:firstLineChars="200"/>
      <w:outlineLvl w:val="3"/>
    </w:pPr>
    <w:rPr>
      <w:rFonts w:cstheme="majorBidi"/>
      <w:b/>
      <w:color w:val="auto"/>
      <w:sz w:val="28"/>
      <w:szCs w:val="28"/>
    </w:rPr>
  </w:style>
  <w:style w:type="paragraph" w:styleId="6">
    <w:name w:val="heading 5"/>
    <w:basedOn w:val="5"/>
    <w:next w:val="1"/>
    <w:link w:val="28"/>
    <w:semiHidden/>
    <w:unhideWhenUsed/>
    <w:qFormat/>
    <w:uiPriority w:val="9"/>
    <w:pPr>
      <w:keepNext/>
      <w:keepLines/>
      <w:numPr>
        <w:ilvl w:val="4"/>
        <w:numId w:val="1"/>
      </w:numPr>
      <w:spacing w:before="80" w:after="40"/>
      <w:ind w:left="1008" w:hanging="1008" w:firstLineChars="0"/>
      <w:outlineLvl w:val="4"/>
    </w:pPr>
    <w:rPr>
      <w:rFonts w:ascii="宋体" w:hAnsi="宋体" w:eastAsia="宋体"/>
      <w:color w:val="auto"/>
    </w:rPr>
  </w:style>
  <w:style w:type="paragraph" w:styleId="7">
    <w:name w:val="heading 6"/>
    <w:basedOn w:val="1"/>
    <w:next w:val="1"/>
    <w:link w:val="29"/>
    <w:semiHidden/>
    <w:unhideWhenUsed/>
    <w:qFormat/>
    <w:uiPriority w:val="9"/>
    <w:pPr>
      <w:keepNext/>
      <w:keepLines/>
      <w:numPr>
        <w:ilvl w:val="5"/>
        <w:numId w:val="1"/>
      </w:numPr>
      <w:spacing w:before="40"/>
      <w:ind w:left="1151" w:hanging="1151" w:firstLineChars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30"/>
    <w:semiHidden/>
    <w:unhideWhenUsed/>
    <w:qFormat/>
    <w:uiPriority w:val="9"/>
    <w:pPr>
      <w:keepNext/>
      <w:keepLines/>
      <w:numPr>
        <w:ilvl w:val="6"/>
        <w:numId w:val="1"/>
      </w:numPr>
      <w:spacing w:before="40"/>
      <w:ind w:left="1296" w:hanging="1296" w:firstLineChars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31"/>
    <w:semiHidden/>
    <w:unhideWhenUsed/>
    <w:qFormat/>
    <w:uiPriority w:val="9"/>
    <w:pPr>
      <w:keepNext/>
      <w:keepLines/>
      <w:numPr>
        <w:ilvl w:val="7"/>
        <w:numId w:val="1"/>
      </w:numPr>
      <w:ind w:left="1440" w:hanging="1440" w:firstLineChars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32"/>
    <w:semiHidden/>
    <w:unhideWhenUsed/>
    <w:qFormat/>
    <w:uiPriority w:val="9"/>
    <w:pPr>
      <w:keepNext/>
      <w:keepLines/>
      <w:numPr>
        <w:ilvl w:val="8"/>
        <w:numId w:val="1"/>
      </w:numPr>
      <w:ind w:left="1583" w:hanging="1583" w:firstLineChars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12">
    <w:name w:val="footer"/>
    <w:basedOn w:val="1"/>
    <w:link w:val="4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41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semiHidden/>
    <w:unhideWhenUsed/>
    <w:qFormat/>
    <w:uiPriority w:val="39"/>
  </w:style>
  <w:style w:type="paragraph" w:styleId="15">
    <w:name w:val="Subtitle"/>
    <w:basedOn w:val="1"/>
    <w:next w:val="1"/>
    <w:link w:val="34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6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7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8">
    <w:name w:val="Title"/>
    <w:basedOn w:val="1"/>
    <w:next w:val="1"/>
    <w:link w:val="33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20">
    <w:name w:val="Table Grid"/>
    <w:basedOn w:val="1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Strong"/>
    <w:basedOn w:val="21"/>
    <w:qFormat/>
    <w:uiPriority w:val="22"/>
    <w:rPr>
      <w:b/>
    </w:rPr>
  </w:style>
  <w:style w:type="character" w:styleId="23">
    <w:name w:val="Hyperlink"/>
    <w:basedOn w:val="21"/>
    <w:unhideWhenUsed/>
    <w:qFormat/>
    <w:uiPriority w:val="99"/>
    <w:rPr>
      <w:color w:val="0563C1"/>
      <w:u w:val="single"/>
    </w:rPr>
  </w:style>
  <w:style w:type="character" w:customStyle="1" w:styleId="24">
    <w:name w:val="标题 1 字符"/>
    <w:basedOn w:val="21"/>
    <w:link w:val="2"/>
    <w:qFormat/>
    <w:uiPriority w:val="9"/>
    <w:rPr>
      <w:rFonts w:ascii="宋体" w:hAnsi="宋体" w:eastAsia="宋体" w:cs="宋体"/>
      <w:b/>
      <w:sz w:val="36"/>
      <w:szCs w:val="32"/>
    </w:rPr>
  </w:style>
  <w:style w:type="character" w:customStyle="1" w:styleId="25">
    <w:name w:val="标题 2 字符"/>
    <w:basedOn w:val="21"/>
    <w:link w:val="3"/>
    <w:qFormat/>
    <w:uiPriority w:val="9"/>
    <w:rPr>
      <w:rFonts w:ascii="宋体" w:hAnsi="宋体" w:eastAsia="宋体" w:cs="宋体"/>
      <w:b/>
      <w:sz w:val="32"/>
      <w:szCs w:val="30"/>
    </w:rPr>
  </w:style>
  <w:style w:type="character" w:customStyle="1" w:styleId="26">
    <w:name w:val="标题 3 字符"/>
    <w:basedOn w:val="21"/>
    <w:link w:val="4"/>
    <w:qFormat/>
    <w:uiPriority w:val="9"/>
    <w:rPr>
      <w:rFonts w:ascii="宋体" w:hAnsi="宋体" w:eastAsia="宋体" w:cs="宋体"/>
      <w:b/>
      <w:sz w:val="30"/>
      <w:szCs w:val="32"/>
    </w:rPr>
  </w:style>
  <w:style w:type="character" w:customStyle="1" w:styleId="27">
    <w:name w:val="标题 4 字符"/>
    <w:basedOn w:val="21"/>
    <w:link w:val="5"/>
    <w:semiHidden/>
    <w:qFormat/>
    <w:uiPriority w:val="9"/>
    <w:rPr>
      <w:rFonts w:ascii="宋体" w:hAnsi="宋体" w:eastAsia="宋体" w:cstheme="majorBidi"/>
      <w:b/>
      <w:color w:val="auto"/>
      <w:sz w:val="28"/>
      <w:szCs w:val="28"/>
    </w:rPr>
  </w:style>
  <w:style w:type="character" w:customStyle="1" w:styleId="28">
    <w:name w:val="标题 5 字符"/>
    <w:basedOn w:val="21"/>
    <w:link w:val="6"/>
    <w:semiHidden/>
    <w:qFormat/>
    <w:uiPriority w:val="9"/>
    <w:rPr>
      <w:rFonts w:ascii="宋体" w:hAnsi="宋体" w:eastAsia="宋体" w:cstheme="majorBidi"/>
      <w:color w:val="auto"/>
      <w:sz w:val="24"/>
      <w:szCs w:val="24"/>
    </w:rPr>
  </w:style>
  <w:style w:type="character" w:customStyle="1" w:styleId="29">
    <w:name w:val="标题 6 字符"/>
    <w:basedOn w:val="21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30">
    <w:name w:val="标题 7 字符"/>
    <w:basedOn w:val="21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1">
    <w:name w:val="标题 8 字符"/>
    <w:basedOn w:val="21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2">
    <w:name w:val="标题 9 字符"/>
    <w:basedOn w:val="21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3">
    <w:name w:val="标题 字符"/>
    <w:basedOn w:val="21"/>
    <w:link w:val="18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4">
    <w:name w:val="副标题 字符"/>
    <w:basedOn w:val="21"/>
    <w:link w:val="15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5">
    <w:name w:val="Quote"/>
    <w:basedOn w:val="1"/>
    <w:next w:val="1"/>
    <w:link w:val="36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6">
    <w:name w:val="引用 字符"/>
    <w:basedOn w:val="21"/>
    <w:link w:val="35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7">
    <w:name w:val="List Paragraph"/>
    <w:basedOn w:val="1"/>
    <w:qFormat/>
    <w:uiPriority w:val="34"/>
    <w:pPr>
      <w:ind w:left="720"/>
      <w:contextualSpacing/>
    </w:pPr>
  </w:style>
  <w:style w:type="character" w:customStyle="1" w:styleId="38">
    <w:name w:val="Intense Emphasis"/>
    <w:basedOn w:val="21"/>
    <w:qFormat/>
    <w:uiPriority w:val="21"/>
    <w:rPr>
      <w:i/>
      <w:iCs/>
      <w:color w:val="104862" w:themeColor="accent1" w:themeShade="BF"/>
    </w:rPr>
  </w:style>
  <w:style w:type="paragraph" w:styleId="39">
    <w:name w:val="Intense Quote"/>
    <w:basedOn w:val="1"/>
    <w:next w:val="1"/>
    <w:link w:val="40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40">
    <w:name w:val="明显引用 字符"/>
    <w:basedOn w:val="21"/>
    <w:link w:val="39"/>
    <w:qFormat/>
    <w:uiPriority w:val="30"/>
    <w:rPr>
      <w:i/>
      <w:iCs/>
      <w:color w:val="104862" w:themeColor="accent1" w:themeShade="BF"/>
    </w:rPr>
  </w:style>
  <w:style w:type="character" w:customStyle="1" w:styleId="41">
    <w:name w:val="页眉 字符"/>
    <w:basedOn w:val="21"/>
    <w:link w:val="13"/>
    <w:qFormat/>
    <w:uiPriority w:val="99"/>
    <w:rPr>
      <w:sz w:val="18"/>
      <w:szCs w:val="18"/>
    </w:rPr>
  </w:style>
  <w:style w:type="character" w:customStyle="1" w:styleId="42">
    <w:name w:val="页脚 字符"/>
    <w:basedOn w:val="21"/>
    <w:link w:val="12"/>
    <w:qFormat/>
    <w:uiPriority w:val="99"/>
    <w:rPr>
      <w:sz w:val="18"/>
      <w:szCs w:val="18"/>
    </w:rPr>
  </w:style>
  <w:style w:type="paragraph" w:customStyle="1" w:styleId="43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44">
    <w:name w:val="列出段落1"/>
    <w:basedOn w:val="1"/>
    <w:qFormat/>
    <w:uiPriority w:val="34"/>
    <w:pPr>
      <w:suppressAutoHyphens/>
      <w:ind w:firstLine="420"/>
      <w:jc w:val="left"/>
    </w:pPr>
    <w:rPr>
      <w:rFonts w:ascii="Times" w:hAnsi="Times" w:cs="Times New Roman"/>
      <w:kern w:val="1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3.jpe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jpe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2664</Words>
  <Characters>2815</Characters>
  <Lines>1</Lines>
  <Paragraphs>1</Paragraphs>
  <TotalTime>5</TotalTime>
  <ScaleCrop>false</ScaleCrop>
  <LinksUpToDate>false</LinksUpToDate>
  <CharactersWithSpaces>2901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2025-02-07T05:17:00Z</dcterms:created>
  <dc:creator>闫鹏 李</dc:creator>
  <cp:lastModifiedBy>邹树虎</cp:lastModifiedBy>
  <dcterms:modified xsi:type="dcterms:W3CDTF">2025-07-25T07:39:11Z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eyJoZGlkIjoiZjk1Y2JmN2ViODY3ZDA2MjQ3ZGVkNzAyMTI3ZDBjOWUiLCJ1c2VySWQiOiIxNDQ5MjAxMDk2In0=</vt:lpwstr>
  </property>
  <property fmtid="{D5CDD505-2E9C-101B-9397-08002B2CF9AE}" pid="3" name="KSOProductBuildVer">
    <vt:lpwstr>2052-12.1.0.21915</vt:lpwstr>
  </property>
  <property fmtid="{D5CDD505-2E9C-101B-9397-08002B2CF9AE}" pid="4" name="ICV">
    <vt:lpwstr>DF6EBECCDCAF44EAB4F520543FCF2462_12</vt:lpwstr>
  </property>
</Properties>
</file>