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CCC34">
      <w:pPr>
        <w:rPr>
          <w:rFonts w:hint="eastAsia"/>
          <w:color w:val="auto"/>
          <w:highlight w:val="none"/>
        </w:rPr>
      </w:pPr>
    </w:p>
    <w:p w14:paraId="7C6688AF">
      <w:pPr>
        <w:rPr>
          <w:rFonts w:hint="eastAsia"/>
          <w:color w:val="auto"/>
          <w:highlight w:val="none"/>
        </w:rPr>
      </w:pPr>
    </w:p>
    <w:p w14:paraId="65B69CCC">
      <w:pPr>
        <w:rPr>
          <w:rFonts w:hint="eastAsia"/>
          <w:color w:val="auto"/>
          <w:highlight w:val="none"/>
        </w:rPr>
      </w:pPr>
    </w:p>
    <w:p w14:paraId="0E7AB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农业行业细分场景</w:t>
      </w:r>
    </w:p>
    <w:p w14:paraId="36EA5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right"/>
        <w:textAlignment w:val="auto"/>
        <w:rPr>
          <w:rFonts w:hint="default" w:eastAsia="宋体"/>
          <w:b/>
          <w:bCs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6"/>
          <w:szCs w:val="36"/>
          <w:highlight w:val="none"/>
          <w:lang w:val="en-US" w:eastAsia="zh-CN"/>
        </w:rPr>
        <w:t>—工厂化循环水养殖水质监测方案</w:t>
      </w:r>
    </w:p>
    <w:p w14:paraId="5F987076">
      <w:pPr>
        <w:rPr>
          <w:rFonts w:hint="eastAsia"/>
          <w:color w:val="auto"/>
          <w:highlight w:val="none"/>
        </w:rPr>
      </w:pPr>
    </w:p>
    <w:p w14:paraId="3401E6BD">
      <w:pPr>
        <w:rPr>
          <w:rFonts w:hint="eastAsia"/>
          <w:color w:val="auto"/>
          <w:highlight w:val="none"/>
        </w:rPr>
      </w:pPr>
    </w:p>
    <w:p w14:paraId="1C915416">
      <w:pPr>
        <w:rPr>
          <w:rFonts w:hint="eastAsia"/>
          <w:color w:val="auto"/>
          <w:highlight w:val="none"/>
        </w:rPr>
      </w:pPr>
    </w:p>
    <w:p w14:paraId="35B99434">
      <w:pPr>
        <w:rPr>
          <w:rFonts w:hint="eastAsia"/>
          <w:color w:val="auto"/>
          <w:highlight w:val="none"/>
        </w:rPr>
      </w:pPr>
    </w:p>
    <w:p w14:paraId="21E5C6ED">
      <w:pPr>
        <w:rPr>
          <w:rFonts w:hint="eastAsia"/>
          <w:color w:val="auto"/>
          <w:highlight w:val="none"/>
        </w:rPr>
      </w:pPr>
    </w:p>
    <w:p w14:paraId="37D95FEA">
      <w:pPr>
        <w:rPr>
          <w:rFonts w:hint="eastAsia"/>
          <w:color w:val="auto"/>
          <w:highlight w:val="none"/>
        </w:rPr>
      </w:pPr>
    </w:p>
    <w:p w14:paraId="5D093C07">
      <w:pPr>
        <w:rPr>
          <w:rFonts w:hint="eastAsia"/>
          <w:color w:val="auto"/>
          <w:highlight w:val="none"/>
        </w:rPr>
      </w:pPr>
    </w:p>
    <w:p w14:paraId="0C33701D">
      <w:pPr>
        <w:rPr>
          <w:rFonts w:hint="eastAsia"/>
          <w:color w:val="auto"/>
          <w:highlight w:val="none"/>
        </w:rPr>
      </w:pPr>
    </w:p>
    <w:p w14:paraId="19E303D8">
      <w:pPr>
        <w:rPr>
          <w:rFonts w:hint="eastAsia"/>
          <w:color w:val="auto"/>
          <w:highlight w:val="none"/>
        </w:rPr>
      </w:pPr>
    </w:p>
    <w:p w14:paraId="7A24F120">
      <w:pPr>
        <w:rPr>
          <w:rFonts w:hint="eastAsia"/>
          <w:color w:val="auto"/>
          <w:highlight w:val="none"/>
        </w:rPr>
      </w:pPr>
    </w:p>
    <w:p w14:paraId="05C0723D">
      <w:pPr>
        <w:rPr>
          <w:rFonts w:hint="eastAsia"/>
          <w:color w:val="auto"/>
          <w:highlight w:val="none"/>
        </w:rPr>
      </w:pPr>
    </w:p>
    <w:p w14:paraId="2C2C71A1">
      <w:pPr>
        <w:rPr>
          <w:rFonts w:hint="eastAsia"/>
          <w:color w:val="auto"/>
          <w:highlight w:val="none"/>
        </w:rPr>
      </w:pPr>
    </w:p>
    <w:p w14:paraId="2F2A290D">
      <w:pPr>
        <w:rPr>
          <w:rFonts w:hint="eastAsia"/>
          <w:color w:val="auto"/>
          <w:highlight w:val="none"/>
        </w:rPr>
      </w:pPr>
    </w:p>
    <w:p w14:paraId="19888132">
      <w:pPr>
        <w:rPr>
          <w:rFonts w:hint="eastAsia"/>
          <w:color w:val="auto"/>
          <w:highlight w:val="none"/>
        </w:rPr>
      </w:pPr>
    </w:p>
    <w:p w14:paraId="776B9B5F">
      <w:pPr>
        <w:rPr>
          <w:rFonts w:hint="eastAsia"/>
          <w:color w:val="auto"/>
          <w:highlight w:val="none"/>
        </w:rPr>
      </w:pPr>
    </w:p>
    <w:p w14:paraId="256D5A4B">
      <w:pPr>
        <w:rPr>
          <w:rFonts w:hint="eastAsia"/>
          <w:color w:val="auto"/>
          <w:highlight w:val="none"/>
        </w:rPr>
      </w:pPr>
    </w:p>
    <w:p w14:paraId="274A8AFE">
      <w:pPr>
        <w:rPr>
          <w:rFonts w:hint="eastAsia"/>
          <w:color w:val="auto"/>
          <w:highlight w:val="none"/>
        </w:rPr>
      </w:pPr>
    </w:p>
    <w:p w14:paraId="5DBBFBCE">
      <w:pPr>
        <w:rPr>
          <w:rFonts w:hint="eastAsia"/>
          <w:color w:val="auto"/>
          <w:highlight w:val="none"/>
        </w:rPr>
      </w:pPr>
    </w:p>
    <w:p w14:paraId="7D2B2984">
      <w:pPr>
        <w:rPr>
          <w:rFonts w:hint="eastAsia"/>
          <w:color w:val="auto"/>
          <w:highlight w:val="none"/>
        </w:rPr>
      </w:pPr>
    </w:p>
    <w:p w14:paraId="7E21D1EE">
      <w:pPr>
        <w:rPr>
          <w:rFonts w:hint="eastAsia"/>
          <w:color w:val="auto"/>
          <w:highlight w:val="none"/>
        </w:rPr>
      </w:pPr>
    </w:p>
    <w:p w14:paraId="27E7B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b/>
          <w:bCs/>
          <w:color w:val="auto"/>
          <w:sz w:val="40"/>
          <w:szCs w:val="40"/>
          <w:highlight w:val="none"/>
          <w:lang w:val="zh-CN"/>
        </w:rPr>
      </w:pPr>
      <w:r>
        <w:rPr>
          <w:b/>
          <w:bCs/>
          <w:color w:val="auto"/>
          <w:sz w:val="40"/>
          <w:szCs w:val="40"/>
          <w:highlight w:val="none"/>
        </w:rPr>
        <w:t>202</w:t>
      </w:r>
      <w:r>
        <w:rPr>
          <w:rFonts w:hint="eastAsia"/>
          <w:b/>
          <w:bCs/>
          <w:color w:val="auto"/>
          <w:sz w:val="40"/>
          <w:szCs w:val="40"/>
          <w:highlight w:val="none"/>
        </w:rPr>
        <w:t>5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年</w:t>
      </w:r>
      <w:r>
        <w:rPr>
          <w:rFonts w:hint="eastAsia"/>
          <w:b/>
          <w:bCs/>
          <w:color w:val="auto"/>
          <w:sz w:val="40"/>
          <w:szCs w:val="40"/>
          <w:highlight w:val="none"/>
          <w:lang w:val="en-US" w:eastAsia="zh-CN"/>
        </w:rPr>
        <w:t>2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月</w:t>
      </w:r>
    </w:p>
    <w:p w14:paraId="10808181">
      <w:pPr>
        <w:rPr>
          <w:rFonts w:hint="eastAsia"/>
          <w:color w:val="auto"/>
          <w:highlight w:val="none"/>
        </w:rPr>
      </w:pPr>
    </w:p>
    <w:p w14:paraId="360BE464">
      <w:pPr>
        <w:rPr>
          <w:rFonts w:hint="eastAsia"/>
          <w:color w:val="auto"/>
          <w:highlight w:val="none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D44955E">
      <w:pPr>
        <w:rPr>
          <w:rFonts w:hint="eastAsia"/>
          <w:color w:val="auto"/>
          <w:highlight w:val="none"/>
        </w:rPr>
      </w:pPr>
    </w:p>
    <w:sdt>
      <w:sdtPr>
        <w:rPr>
          <w:rFonts w:ascii="宋体" w:hAnsi="宋体" w:eastAsia="宋体" w:cs="宋体"/>
          <w:b/>
          <w:bCs/>
          <w:color w:val="auto"/>
          <w:kern w:val="2"/>
          <w:sz w:val="36"/>
          <w:szCs w:val="36"/>
          <w:highlight w:val="none"/>
          <w:lang w:val="en-US" w:eastAsia="zh-CN" w:bidi="ar-SA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sdtEndPr>
      <w:sdtContent>
        <w:p w14:paraId="6D3CA3C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36"/>
              <w:szCs w:val="36"/>
              <w:highlight w:val="none"/>
            </w:rPr>
          </w:pPr>
          <w:r>
            <w:rPr>
              <w:rFonts w:ascii="宋体" w:hAnsi="宋体" w:eastAsia="宋体"/>
              <w:b/>
              <w:bCs/>
              <w:color w:val="auto"/>
              <w:sz w:val="36"/>
              <w:szCs w:val="36"/>
              <w:highlight w:val="none"/>
            </w:rPr>
            <w:t>目录</w:t>
          </w:r>
        </w:p>
        <w:p w14:paraId="6EF854B3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_Toc12107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一、 </w:t>
          </w:r>
          <w:r>
            <w:rPr>
              <w:rFonts w:hint="eastAsia"/>
              <w:highlight w:val="none"/>
              <w:lang w:val="en-US" w:eastAsia="zh-CN"/>
            </w:rPr>
            <w:t>公司简介</w:t>
          </w:r>
          <w:r>
            <w:tab/>
          </w:r>
          <w:r>
            <w:fldChar w:fldCharType="begin"/>
          </w:r>
          <w:r>
            <w:instrText xml:space="preserve"> PAGEREF _Toc12107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925B878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_Toc1219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/>
              <w:highlight w:val="none"/>
              <w:lang w:val="en-US" w:eastAsia="zh-CN"/>
            </w:rPr>
            <w:t>工厂化循环水养殖水质监测概述</w:t>
          </w:r>
          <w:r>
            <w:tab/>
          </w:r>
          <w:r>
            <w:fldChar w:fldCharType="begin"/>
          </w:r>
          <w:r>
            <w:instrText xml:space="preserve"> PAGEREF _Toc1219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62EB456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2.1. </w:t>
          </w:r>
          <w:r>
            <w:rPr>
              <w:rFonts w:hint="eastAsia"/>
              <w:highlight w:val="none"/>
              <w:lang w:val="en-US" w:eastAsia="zh-CN"/>
            </w:rPr>
            <w:t>工厂化循环水养殖水质监测行业背景</w:t>
          </w:r>
          <w:r>
            <w:tab/>
          </w:r>
          <w:r>
            <w:fldChar w:fldCharType="begin"/>
          </w:r>
          <w:r>
            <w:instrText xml:space="preserve"> PAGEREF _Toc0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DAF18E3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_Toc10444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2.2. </w:t>
          </w:r>
          <w:r>
            <w:rPr>
              <w:rFonts w:hint="eastAsia"/>
              <w:highlight w:val="none"/>
              <w:lang w:val="en-US" w:eastAsia="zh-CN"/>
            </w:rPr>
            <w:t>工厂化循环水养殖水质监测特点</w:t>
          </w:r>
          <w:r>
            <w:tab/>
          </w:r>
          <w:r>
            <w:fldChar w:fldCharType="begin"/>
          </w:r>
          <w:r>
            <w:instrText xml:space="preserve"> PAGEREF _Toc10444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B5BF2E7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_Toc30352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  <w:highlight w:val="none"/>
              <w:lang w:val="en-US" w:eastAsia="zh-CN"/>
            </w:rPr>
            <w:t>建设方案设计</w:t>
          </w:r>
          <w:r>
            <w:tab/>
          </w:r>
          <w:r>
            <w:fldChar w:fldCharType="begin"/>
          </w:r>
          <w:r>
            <w:instrText xml:space="preserve"> PAGEREF _Toc30352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1574093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_Toc11705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3.1. </w:t>
          </w:r>
          <w:r>
            <w:rPr>
              <w:rFonts w:hint="eastAsia"/>
              <w:highlight w:val="none"/>
              <w:lang w:val="en-US" w:eastAsia="zh-CN"/>
            </w:rPr>
            <w:t>系统框架图</w:t>
          </w:r>
          <w:r>
            <w:tab/>
          </w:r>
          <w:r>
            <w:fldChar w:fldCharType="begin"/>
          </w:r>
          <w:r>
            <w:instrText xml:space="preserve"> PAGEREF _Toc11705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5B5276A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_Toc31764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3.2. </w:t>
          </w:r>
          <w:r>
            <w:rPr>
              <w:rFonts w:hint="eastAsia"/>
              <w:highlight w:val="none"/>
              <w:lang w:val="en-US" w:eastAsia="zh-CN"/>
            </w:rPr>
            <w:t>设备选型策略</w:t>
          </w:r>
          <w:r>
            <w:tab/>
          </w:r>
          <w:r>
            <w:fldChar w:fldCharType="begin"/>
          </w:r>
          <w:r>
            <w:instrText xml:space="preserve"> PAGEREF _Toc31764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DB4B3EA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_Toc30195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四、 </w:t>
          </w:r>
          <w:r>
            <w:rPr>
              <w:rFonts w:hint="eastAsia"/>
              <w:highlight w:val="none"/>
              <w:lang w:val="en-US" w:eastAsia="zh-CN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_Toc30195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24A7A40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_Toc22580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4.1. </w:t>
          </w:r>
          <w:r>
            <w:rPr>
              <w:rFonts w:hint="eastAsia"/>
              <w:highlight w:val="none"/>
              <w:lang w:val="en-US" w:eastAsia="zh-CN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_Toc22580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F998B99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_Toc1472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4.2. </w:t>
          </w:r>
          <w:r>
            <w:rPr>
              <w:rFonts w:hint="eastAsia"/>
              <w:highlight w:val="none"/>
              <w:lang w:val="en-US" w:eastAsia="zh-CN"/>
            </w:rPr>
            <w:t>场景适配性</w:t>
          </w:r>
          <w:r>
            <w:tab/>
          </w:r>
          <w:r>
            <w:fldChar w:fldCharType="begin"/>
          </w:r>
          <w:r>
            <w:instrText xml:space="preserve"> PAGEREF _Toc1472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9163A3A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_Toc29792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五、 </w:t>
          </w:r>
          <w:r>
            <w:rPr>
              <w:rFonts w:hint="eastAsia"/>
              <w:highlight w:val="none"/>
              <w:lang w:val="en-US" w:eastAsia="zh-CN"/>
            </w:rPr>
            <w:t>设备寿命及维护</w:t>
          </w:r>
          <w:r>
            <w:tab/>
          </w:r>
          <w:r>
            <w:fldChar w:fldCharType="begin"/>
          </w:r>
          <w:r>
            <w:instrText xml:space="preserve"> PAGEREF _Toc29792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645DB13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_Toc9769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5.1. </w:t>
          </w:r>
          <w:r>
            <w:rPr>
              <w:rFonts w:hint="eastAsia"/>
              <w:highlight w:val="none"/>
              <w:lang w:val="en-US" w:eastAsia="zh-CN"/>
            </w:rPr>
            <w:t>设备寿命周期与维护周期表</w:t>
          </w:r>
          <w:r>
            <w:tab/>
          </w:r>
          <w:r>
            <w:fldChar w:fldCharType="begin"/>
          </w:r>
          <w:r>
            <w:instrText xml:space="preserve"> PAGEREF _Toc9769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2E75BA3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_Toc11649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5.2.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日常维护</w:t>
          </w:r>
          <w:r>
            <w:tab/>
          </w:r>
          <w:r>
            <w:fldChar w:fldCharType="begin"/>
          </w:r>
          <w:r>
            <w:instrText xml:space="preserve"> PAGEREF _Toc11649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6BED1AE5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_Toc16466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5.3.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维护注意事项</w:t>
          </w:r>
          <w:r>
            <w:tab/>
          </w:r>
          <w:r>
            <w:fldChar w:fldCharType="begin"/>
          </w:r>
          <w:r>
            <w:instrText xml:space="preserve"> PAGEREF _Toc16466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4796C2E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_Toc20617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六、 </w:t>
          </w:r>
          <w:r>
            <w:rPr>
              <w:rFonts w:hint="eastAsia"/>
              <w:highlight w:val="none"/>
              <w:lang w:val="en-US" w:eastAsia="zh-CN"/>
            </w:rPr>
            <w:t>案例展示</w:t>
          </w:r>
          <w:r>
            <w:tab/>
          </w:r>
          <w:r>
            <w:fldChar w:fldCharType="begin"/>
          </w:r>
          <w:r>
            <w:instrText xml:space="preserve"> PAGEREF _Toc20617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3F28885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_Toc15442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6.1. </w:t>
          </w:r>
          <w:r>
            <w:rPr>
              <w:rFonts w:hint="eastAsia"/>
              <w:highlight w:val="none"/>
              <w:lang w:val="en-US" w:eastAsia="zh-CN"/>
            </w:rPr>
            <w:t>案例1：广西南宁某循环水养殖厂水质监测项目</w:t>
          </w:r>
          <w:r>
            <w:tab/>
          </w:r>
          <w:r>
            <w:fldChar w:fldCharType="begin"/>
          </w:r>
          <w:r>
            <w:instrText xml:space="preserve"> PAGEREF _Toc15442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A961F32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_Toc90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6.2. </w:t>
          </w:r>
          <w:r>
            <w:rPr>
              <w:rFonts w:hint="eastAsia"/>
              <w:highlight w:val="none"/>
              <w:lang w:val="en-US" w:eastAsia="zh-CN"/>
            </w:rPr>
            <w:t>案例2：海南某循环水养殖厂水质监测项目</w:t>
          </w:r>
          <w:r>
            <w:tab/>
          </w:r>
          <w:r>
            <w:fldChar w:fldCharType="begin"/>
          </w:r>
          <w:r>
            <w:instrText xml:space="preserve"> PAGEREF _Toc90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0F13162">
          <w:pP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</w:sdtContent>
    </w:sdt>
    <w:p w14:paraId="34DAA2F4">
      <w:pPr>
        <w:rPr>
          <w:rFonts w:hint="eastAsia"/>
          <w:color w:val="auto"/>
          <w:highlight w:val="none"/>
        </w:rPr>
      </w:pPr>
    </w:p>
    <w:p w14:paraId="004B449F">
      <w:pPr>
        <w:rPr>
          <w:rFonts w:hint="eastAsia"/>
          <w:color w:val="auto"/>
          <w:highlight w:val="none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2919CD">
      <w:pPr>
        <w:pStyle w:val="2"/>
        <w:bidi w:val="0"/>
        <w:ind w:left="672" w:leftChars="0" w:firstLineChars="0"/>
        <w:rPr>
          <w:rFonts w:hint="eastAsia"/>
          <w:color w:val="auto"/>
          <w:highlight w:val="none"/>
          <w:lang w:val="en-US" w:eastAsia="zh-CN"/>
        </w:rPr>
      </w:pPr>
      <w:bookmarkStart w:id="0" w:name="_Toc12107"/>
      <w:bookmarkStart w:id="1" w:name="_Toc3865"/>
      <w:r>
        <w:rPr>
          <w:rFonts w:hint="eastAsia"/>
          <w:color w:val="auto"/>
          <w:highlight w:val="none"/>
          <w:lang w:val="en-US" w:eastAsia="zh-CN"/>
        </w:rPr>
        <w:t>公司简介</w:t>
      </w:r>
      <w:bookmarkEnd w:id="0"/>
      <w:bookmarkEnd w:id="1"/>
    </w:p>
    <w:p w14:paraId="005BDF9F">
      <w:pPr>
        <w:rPr>
          <w:rFonts w:hint="eastAsia"/>
          <w:color w:val="auto"/>
          <w:highlight w:val="none"/>
          <w:lang w:val="en-US" w:eastAsia="zh-CN"/>
        </w:rPr>
      </w:pPr>
    </w:p>
    <w:p w14:paraId="73B18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E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color w:val="auto"/>
          <w:highlight w:val="none"/>
        </w:rPr>
      </w:pPr>
    </w:p>
    <w:p w14:paraId="05A25232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青岛精诚仪器仪表</w:t>
      </w:r>
      <w:r>
        <w:rPr>
          <w:rFonts w:hint="eastAsia"/>
          <w:highlight w:val="none"/>
        </w:rPr>
        <w:t>有限公司（简称</w:t>
      </w:r>
      <w:r>
        <w:rPr>
          <w:rFonts w:hint="eastAsia"/>
          <w:highlight w:val="none"/>
          <w:lang w:val="en-US" w:eastAsia="zh-CN"/>
        </w:rPr>
        <w:t>青岛精诚</w:t>
      </w:r>
      <w:r>
        <w:rPr>
          <w:rFonts w:hint="eastAsia"/>
          <w:highlight w:val="none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</w:t>
      </w:r>
      <w:bookmarkStart w:id="60" w:name="_GoBack"/>
      <w:bookmarkEnd w:id="60"/>
      <w:r>
        <w:rPr>
          <w:rFonts w:hint="eastAsia"/>
          <w:color w:val="auto"/>
          <w:highlight w:val="none"/>
          <w:lang w:val="en-US" w:eastAsia="zh-CN"/>
        </w:rPr>
        <w:t>案，并为客户提供环境监测设施的第三方运营服务。</w:t>
      </w:r>
    </w:p>
    <w:p w14:paraId="6D03DE0F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我公司拥有完善的研发、生产、销售和技术服务团队，是国内水质数字传感领导品牌，为国内近百个市、县（区）政府和生态环境部门提供水环境监测技术支撑。</w:t>
      </w:r>
    </w:p>
    <w:p w14:paraId="61776EF0">
      <w:pPr>
        <w:rPr>
          <w:rFonts w:hint="eastAsia"/>
          <w:color w:val="auto"/>
          <w:highlight w:val="none"/>
          <w:lang w:val="en-US" w:eastAsia="zh-CN"/>
        </w:rPr>
      </w:pPr>
    </w:p>
    <w:p w14:paraId="2F6F7128">
      <w:pPr>
        <w:rPr>
          <w:rFonts w:hint="eastAsia"/>
          <w:color w:val="auto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EAF1881">
      <w:pPr>
        <w:pStyle w:val="2"/>
        <w:bidi w:val="0"/>
        <w:ind w:left="672" w:leftChars="0" w:firstLineChars="0"/>
        <w:rPr>
          <w:rFonts w:hint="eastAsia"/>
          <w:color w:val="auto"/>
          <w:highlight w:val="none"/>
          <w:lang w:val="en-US" w:eastAsia="zh-CN"/>
        </w:rPr>
      </w:pPr>
      <w:bookmarkStart w:id="2" w:name="_Toc28553"/>
      <w:bookmarkStart w:id="3" w:name="_Toc1219"/>
      <w:r>
        <w:rPr>
          <w:rFonts w:hint="eastAsia"/>
          <w:color w:val="auto"/>
          <w:highlight w:val="none"/>
          <w:lang w:val="en-US" w:eastAsia="zh-CN"/>
        </w:rPr>
        <w:t>工厂化循环水养殖水质监测概述</w:t>
      </w:r>
      <w:bookmarkEnd w:id="2"/>
      <w:bookmarkEnd w:id="3"/>
    </w:p>
    <w:p w14:paraId="4148866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" w:name="_Toc0"/>
      <w:r>
        <w:rPr>
          <w:rFonts w:hint="eastAsia"/>
          <w:color w:val="auto"/>
          <w:highlight w:val="none"/>
          <w:lang w:val="en-US" w:eastAsia="zh-CN"/>
        </w:rPr>
        <w:t>工厂化循环水养殖水质监测行业背景</w:t>
      </w:r>
      <w:bookmarkEnd w:id="4"/>
    </w:p>
    <w:p w14:paraId="1AAB960C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5" w:name="_Toc15362"/>
      <w:bookmarkStart w:id="6" w:name="_Toc16844"/>
      <w:r>
        <w:rPr>
          <w:rFonts w:hint="eastAsia"/>
          <w:color w:val="auto"/>
          <w:highlight w:val="none"/>
          <w:lang w:val="en-US" w:eastAsia="zh-CN"/>
        </w:rPr>
        <w:t>工厂化循环水养殖是一种高效、环保的养殖模式，通过循环利用水资源，减少对外部环境的依赖和污染。水质监测在这一模式中扮演着至关重要的角色，确保养殖水体的质量稳定，从而保障养殖生物的健康和产量。以下是工厂化循环水养殖水质监测行业的背景分析：</w:t>
      </w:r>
      <w:bookmarkEnd w:id="5"/>
    </w:p>
    <w:p w14:paraId="430E70C6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7" w:name="_Toc24646"/>
      <w:r>
        <w:rPr>
          <w:rFonts w:hint="eastAsia"/>
          <w:color w:val="auto"/>
          <w:highlight w:val="none"/>
          <w:lang w:val="en-US" w:eastAsia="zh-CN"/>
        </w:rPr>
        <w:t>工厂化循环水养殖模式因其高效、节水和环保的特点，近年来在全球范围内得到广泛应用。随着水产养殖业的规模化发展，传统养殖模式面临水资源浪费、环境污染等问题，而循环水养殖通过水质监测与处理技术，能够有效解决这些问题：</w:t>
      </w:r>
      <w:bookmarkEnd w:id="7"/>
    </w:p>
    <w:p w14:paraId="7C13F514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8" w:name="_Toc17553"/>
      <w:r>
        <w:rPr>
          <w:rFonts w:hint="eastAsia"/>
          <w:color w:val="auto"/>
          <w:highlight w:val="none"/>
          <w:lang w:val="en-US" w:eastAsia="zh-CN"/>
        </w:rPr>
        <w:t>水资源短缺与环保压力：全球水资源短缺问题日益严峻，传统养殖模式对水资源的依赖和污染问题亟待解决。循环水养殖通过水质监测系统，能够实现水资源的循环利用，减少排放。</w:t>
      </w:r>
      <w:bookmarkEnd w:id="8"/>
    </w:p>
    <w:p w14:paraId="66700169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9" w:name="_Toc414"/>
      <w:r>
        <w:rPr>
          <w:rFonts w:hint="eastAsia"/>
          <w:color w:val="auto"/>
          <w:highlight w:val="none"/>
          <w:lang w:val="en-US" w:eastAsia="zh-CN"/>
        </w:rPr>
        <w:t>养殖效率与品质提升：水质是影响养殖生物生长和健康的关键因素。通过实时监测水质参数（如溶解氧、氨氮、pH值等），可以优化养殖环境，提高养殖效率和产品品质。</w:t>
      </w:r>
      <w:bookmarkEnd w:id="9"/>
    </w:p>
    <w:p w14:paraId="657D1CD7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10" w:name="_Toc13594"/>
      <w:r>
        <w:rPr>
          <w:rFonts w:hint="eastAsia"/>
          <w:color w:val="auto"/>
          <w:highlight w:val="none"/>
          <w:lang w:val="en-US" w:eastAsia="zh-CN"/>
        </w:rPr>
        <w:t>水质监测技术的不断创新，为工厂化循环水养殖提供了更高效、精准的解决方案。</w:t>
      </w:r>
      <w:bookmarkEnd w:id="10"/>
    </w:p>
    <w:p w14:paraId="00852EBD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11" w:name="_Toc10444"/>
      <w:r>
        <w:rPr>
          <w:rFonts w:hint="eastAsia"/>
          <w:highlight w:val="none"/>
          <w:lang w:val="en-US" w:eastAsia="zh-CN"/>
        </w:rPr>
        <w:t>工厂化循环水养殖水质监测特点</w:t>
      </w:r>
      <w:bookmarkEnd w:id="6"/>
      <w:bookmarkEnd w:id="11"/>
    </w:p>
    <w:p w14:paraId="4D964039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12" w:name="_Toc13313"/>
      <w:bookmarkStart w:id="13" w:name="_Toc15099"/>
      <w:r>
        <w:rPr>
          <w:rFonts w:hint="eastAsia"/>
          <w:color w:val="auto"/>
          <w:highlight w:val="none"/>
          <w:lang w:val="en-US" w:eastAsia="zh-CN"/>
        </w:rPr>
        <w:t>工厂化循环水养殖（Recirculating Aquaculture Systems, RAS）是一种现代化的水产养殖方式，通过循环利用水资源来实现高密度、可持续的养殖生产。水质监测是这一系统的核心环节之一，以下是工厂化循环水养殖水质监测行业的特点：</w:t>
      </w:r>
      <w:bookmarkEnd w:id="12"/>
    </w:p>
    <w:p w14:paraId="494EC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bookmarkStart w:id="14" w:name="_Toc29128"/>
      <w:r>
        <w:rPr>
          <w:rFonts w:hint="eastAsia"/>
          <w:b/>
          <w:bCs/>
          <w:color w:val="auto"/>
          <w:highlight w:val="none"/>
          <w:lang w:val="en-US" w:eastAsia="zh-CN"/>
        </w:rPr>
        <w:t>1.实时性要求高</w:t>
      </w:r>
      <w:bookmarkEnd w:id="14"/>
    </w:p>
    <w:p w14:paraId="2167135C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15" w:name="_Toc9070"/>
      <w:r>
        <w:rPr>
          <w:rFonts w:hint="eastAsia"/>
          <w:color w:val="auto"/>
          <w:highlight w:val="none"/>
          <w:lang w:val="en-US" w:eastAsia="zh-CN"/>
        </w:rPr>
        <w:t>工厂化循环水养殖对水质的要求非常严格，鱼类和虾类等水生生物对水质变化非常敏感。水质参数（如溶解氧、pH值、氨氮、亚硝酸盐等）需要实时监测，以确保养殖环境稳定，避免因水质恶化导致生物死亡。</w:t>
      </w:r>
      <w:bookmarkEnd w:id="15"/>
    </w:p>
    <w:p w14:paraId="49208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bookmarkStart w:id="16" w:name="_Toc11066"/>
      <w:r>
        <w:rPr>
          <w:rFonts w:hint="eastAsia"/>
          <w:b/>
          <w:bCs/>
          <w:color w:val="auto"/>
          <w:highlight w:val="none"/>
          <w:lang w:val="en-US" w:eastAsia="zh-CN"/>
        </w:rPr>
        <w:t>2.多参数监测</w:t>
      </w:r>
      <w:bookmarkEnd w:id="16"/>
    </w:p>
    <w:p w14:paraId="2BD857B9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17" w:name="_Toc25743"/>
      <w:r>
        <w:rPr>
          <w:rFonts w:hint="eastAsia"/>
          <w:color w:val="auto"/>
          <w:highlight w:val="none"/>
          <w:lang w:val="en-US" w:eastAsia="zh-CN"/>
        </w:rPr>
        <w:t>需要监测的水质参数种类繁多，包括但不限于：</w:t>
      </w:r>
      <w:bookmarkEnd w:id="17"/>
      <w:r>
        <w:rPr>
          <w:rFonts w:hint="eastAsia"/>
          <w:color w:val="auto"/>
          <w:highlight w:val="none"/>
          <w:lang w:val="en-US" w:eastAsia="zh-CN"/>
        </w:rPr>
        <w:t xml:space="preserve"> </w:t>
      </w:r>
    </w:p>
    <w:p w14:paraId="3BC76CD5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18" w:name="_Toc4500"/>
      <w:r>
        <w:rPr>
          <w:rFonts w:hint="eastAsia"/>
          <w:color w:val="auto"/>
          <w:highlight w:val="none"/>
          <w:lang w:val="en-US" w:eastAsia="zh-CN"/>
        </w:rPr>
        <w:t>溶解氧（DO）：影响鱼类呼吸和代谢活动。</w:t>
      </w:r>
      <w:bookmarkEnd w:id="18"/>
    </w:p>
    <w:p w14:paraId="37BA5D58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19" w:name="_Toc24039"/>
      <w:r>
        <w:rPr>
          <w:rFonts w:hint="eastAsia"/>
          <w:color w:val="auto"/>
          <w:highlight w:val="none"/>
          <w:lang w:val="en-US" w:eastAsia="zh-CN"/>
        </w:rPr>
        <w:t>pH值：维持适宜的酸碱度，过高或过低都会影响生物健康。</w:t>
      </w:r>
      <w:bookmarkEnd w:id="19"/>
    </w:p>
    <w:p w14:paraId="7D531597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0" w:name="_Toc9081"/>
      <w:r>
        <w:rPr>
          <w:rFonts w:hint="eastAsia"/>
          <w:color w:val="auto"/>
          <w:highlight w:val="none"/>
          <w:lang w:val="en-US" w:eastAsia="zh-CN"/>
        </w:rPr>
        <w:t>氨氮（NH₃-N）和亚硝酸盐（NO₂⁻）：反映水体中有机物分解的程度，超标会导致中毒。</w:t>
      </w:r>
      <w:bookmarkEnd w:id="20"/>
    </w:p>
    <w:p w14:paraId="1DDDFE2C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1" w:name="_Toc9489"/>
      <w:r>
        <w:rPr>
          <w:rFonts w:hint="eastAsia"/>
          <w:color w:val="auto"/>
          <w:highlight w:val="none"/>
          <w:lang w:val="en-US" w:eastAsia="zh-CN"/>
        </w:rPr>
        <w:t>温度：影响水生生物的新陈代谢和生长速度。</w:t>
      </w:r>
      <w:bookmarkEnd w:id="21"/>
    </w:p>
    <w:p w14:paraId="15D749E1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2" w:name="_Toc29587"/>
      <w:r>
        <w:rPr>
          <w:rFonts w:hint="eastAsia"/>
          <w:color w:val="auto"/>
          <w:highlight w:val="none"/>
          <w:lang w:val="en-US" w:eastAsia="zh-CN"/>
        </w:rPr>
        <w:t>电导率（EC）和盐度：适用于海水或咸淡水养殖。</w:t>
      </w:r>
      <w:bookmarkEnd w:id="22"/>
    </w:p>
    <w:p w14:paraId="13419774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3" w:name="_Toc28575"/>
      <w:r>
        <w:rPr>
          <w:rFonts w:hint="eastAsia"/>
          <w:color w:val="auto"/>
          <w:highlight w:val="none"/>
          <w:lang w:val="en-US" w:eastAsia="zh-CN"/>
        </w:rPr>
        <w:t>浊度和悬浮固体：影响水体透明度和生物健康。</w:t>
      </w:r>
      <w:bookmarkEnd w:id="23"/>
    </w:p>
    <w:p w14:paraId="28D899BA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4" w:name="_Toc24691"/>
      <w:r>
        <w:rPr>
          <w:rFonts w:hint="eastAsia"/>
          <w:color w:val="auto"/>
          <w:highlight w:val="none"/>
          <w:lang w:val="en-US" w:eastAsia="zh-CN"/>
        </w:rPr>
        <w:t>这些参数的综合监测有助于全面了解水体状况。</w:t>
      </w:r>
      <w:bookmarkEnd w:id="24"/>
    </w:p>
    <w:p w14:paraId="37F1D1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bookmarkStart w:id="25" w:name="_Toc19459"/>
      <w:r>
        <w:rPr>
          <w:rFonts w:hint="eastAsia"/>
          <w:b/>
          <w:bCs/>
          <w:color w:val="auto"/>
          <w:highlight w:val="none"/>
          <w:lang w:val="en-US" w:eastAsia="zh-CN"/>
        </w:rPr>
        <w:t>3.自动化程度高</w:t>
      </w:r>
      <w:bookmarkEnd w:id="25"/>
    </w:p>
    <w:p w14:paraId="57B9B042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6" w:name="_Toc18525"/>
      <w:r>
        <w:rPr>
          <w:rFonts w:hint="eastAsia"/>
          <w:color w:val="auto"/>
          <w:highlight w:val="none"/>
          <w:lang w:val="en-US" w:eastAsia="zh-CN"/>
        </w:rPr>
        <w:t>工厂化循环水养殖通常配备自动化监测设备，能够连续采集水质数据并进行分析。系统可以与控制系统联动，当水质参数超出设定范围时，自动启动增氧机、过滤器或其他处理设备，实现闭环控制。</w:t>
      </w:r>
      <w:bookmarkEnd w:id="26"/>
    </w:p>
    <w:p w14:paraId="723A2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bookmarkStart w:id="27" w:name="_Toc27296"/>
      <w:r>
        <w:rPr>
          <w:rFonts w:hint="eastAsia"/>
          <w:b/>
          <w:bCs/>
          <w:color w:val="auto"/>
          <w:highlight w:val="none"/>
          <w:lang w:val="en-US" w:eastAsia="zh-CN"/>
        </w:rPr>
        <w:t>4.高精度和稳定性要求</w:t>
      </w:r>
      <w:bookmarkEnd w:id="27"/>
    </w:p>
    <w:p w14:paraId="3ACB37BB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8" w:name="_Toc148"/>
      <w:r>
        <w:rPr>
          <w:rFonts w:hint="eastAsia"/>
          <w:color w:val="auto"/>
          <w:highlight w:val="none"/>
          <w:lang w:val="en-US" w:eastAsia="zh-CN"/>
        </w:rPr>
        <w:t>养殖环境中水质参数的变化可能非常微小，但对生物的影响却可能是显著的。</w:t>
      </w:r>
      <w:bookmarkEnd w:id="28"/>
    </w:p>
    <w:p w14:paraId="0B8EF8E9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29" w:name="_Toc16497"/>
      <w:r>
        <w:rPr>
          <w:rFonts w:hint="eastAsia"/>
          <w:color w:val="auto"/>
          <w:highlight w:val="none"/>
          <w:lang w:val="en-US" w:eastAsia="zh-CN"/>
        </w:rPr>
        <w:t>因此，水质监测设备需要具备高精度和良好的稳定性，能够在长时间运行中保持准确的测量结果。</w:t>
      </w:r>
      <w:bookmarkEnd w:id="29"/>
    </w:p>
    <w:p w14:paraId="09573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bookmarkStart w:id="30" w:name="_Toc21472"/>
      <w:r>
        <w:rPr>
          <w:rFonts w:hint="eastAsia"/>
          <w:b/>
          <w:bCs/>
          <w:color w:val="auto"/>
          <w:highlight w:val="none"/>
          <w:lang w:val="en-US" w:eastAsia="zh-CN"/>
        </w:rPr>
        <w:t>5.数据管理与分析</w:t>
      </w:r>
      <w:bookmarkEnd w:id="30"/>
    </w:p>
    <w:p w14:paraId="3DB8FDF9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31" w:name="_Toc22511"/>
      <w:r>
        <w:rPr>
          <w:rFonts w:hint="eastAsia"/>
          <w:color w:val="auto"/>
          <w:highlight w:val="none"/>
          <w:lang w:val="en-US" w:eastAsia="zh-CN"/>
        </w:rPr>
        <w:t>工厂化循环水养殖需要对大量水质数据进行记录、存储和分析。</w:t>
      </w:r>
      <w:bookmarkEnd w:id="31"/>
    </w:p>
    <w:p w14:paraId="7B87BB68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32" w:name="_Toc10850"/>
      <w:r>
        <w:rPr>
          <w:rFonts w:hint="eastAsia"/>
          <w:color w:val="auto"/>
          <w:highlight w:val="none"/>
          <w:lang w:val="en-US" w:eastAsia="zh-CN"/>
        </w:rPr>
        <w:t>数据管理平台可以通过云计算、物联网技术实现远程监控和数据分析，帮助养殖者优化管理策略。</w:t>
      </w:r>
      <w:bookmarkEnd w:id="32"/>
    </w:p>
    <w:p w14:paraId="42C34A4C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33" w:name="_Toc2584"/>
      <w:r>
        <w:rPr>
          <w:rFonts w:hint="eastAsia"/>
          <w:color w:val="auto"/>
          <w:highlight w:val="none"/>
          <w:lang w:val="en-US" w:eastAsia="zh-CN"/>
        </w:rPr>
        <w:t>历史数据的积累还可以用于预测水质变化趋势，提前采取措施防止问题发生。</w:t>
      </w:r>
      <w:bookmarkEnd w:id="33"/>
    </w:p>
    <w:p w14:paraId="50186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bookmarkStart w:id="34" w:name="_Toc19703"/>
      <w:r>
        <w:rPr>
          <w:rFonts w:hint="eastAsia"/>
          <w:b/>
          <w:bCs/>
          <w:color w:val="auto"/>
          <w:highlight w:val="none"/>
          <w:lang w:val="en-US" w:eastAsia="zh-CN"/>
        </w:rPr>
        <w:t>6.环保与资源节约</w:t>
      </w:r>
      <w:bookmarkEnd w:id="34"/>
    </w:p>
    <w:p w14:paraId="347ABE18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35" w:name="_Toc26825"/>
      <w:r>
        <w:rPr>
          <w:rFonts w:hint="eastAsia"/>
          <w:color w:val="auto"/>
          <w:highlight w:val="none"/>
          <w:lang w:val="en-US" w:eastAsia="zh-CN"/>
        </w:rPr>
        <w:t>工厂化循环水养殖强调水资源的循环利用，减少了对自然水源的依赖。</w:t>
      </w:r>
      <w:bookmarkEnd w:id="35"/>
    </w:p>
    <w:p w14:paraId="55F870EC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36" w:name="_Toc2227"/>
      <w:r>
        <w:rPr>
          <w:rFonts w:hint="eastAsia"/>
          <w:color w:val="auto"/>
          <w:highlight w:val="none"/>
          <w:lang w:val="en-US" w:eastAsia="zh-CN"/>
        </w:rPr>
        <w:t>水质监测在这一过程中起到关键作用，确保水体经过处理后达到再利用的标准，同时减少废弃物排放。</w:t>
      </w:r>
      <w:bookmarkEnd w:id="36"/>
    </w:p>
    <w:p w14:paraId="423AA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bookmarkStart w:id="37" w:name="_Toc11464"/>
      <w:r>
        <w:rPr>
          <w:rFonts w:hint="eastAsia"/>
          <w:b/>
          <w:bCs/>
          <w:color w:val="auto"/>
          <w:highlight w:val="none"/>
          <w:lang w:val="en-US" w:eastAsia="zh-CN"/>
        </w:rPr>
        <w:t>7.智能化与数字化趋势</w:t>
      </w:r>
      <w:bookmarkEnd w:id="37"/>
    </w:p>
    <w:p w14:paraId="0C75A346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38" w:name="_Toc23359"/>
      <w:r>
        <w:rPr>
          <w:rFonts w:hint="eastAsia"/>
          <w:color w:val="auto"/>
          <w:highlight w:val="none"/>
          <w:lang w:val="en-US" w:eastAsia="zh-CN"/>
        </w:rPr>
        <w:t>随着物联网（IoT）、人工智能（AI）和大数据技术的发展，工厂化循环水养殖水质监测正朝着智能化方向发展。</w:t>
      </w:r>
      <w:bookmarkEnd w:id="38"/>
    </w:p>
    <w:p w14:paraId="325560EF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39" w:name="_Toc19756"/>
      <w:r>
        <w:rPr>
          <w:rFonts w:hint="eastAsia"/>
          <w:color w:val="auto"/>
          <w:highlight w:val="none"/>
          <w:lang w:val="en-US" w:eastAsia="zh-CN"/>
        </w:rPr>
        <w:t>智能传感器、无线传输技术和数据分析模型的应用，使得水质监测更加高效、精准和便捷。</w:t>
      </w:r>
      <w:bookmarkEnd w:id="39"/>
    </w:p>
    <w:p w14:paraId="6FCC52C1">
      <w:pPr>
        <w:bidi w:val="0"/>
        <w:rPr>
          <w:rFonts w:hint="eastAsia"/>
          <w:color w:val="auto"/>
          <w:highlight w:val="none"/>
          <w:lang w:val="en-US" w:eastAsia="zh-CN"/>
        </w:rPr>
      </w:pPr>
      <w:bookmarkStart w:id="40" w:name="_Toc22301"/>
      <w:r>
        <w:rPr>
          <w:rFonts w:hint="eastAsia"/>
          <w:color w:val="auto"/>
          <w:highlight w:val="none"/>
          <w:lang w:val="en-US" w:eastAsia="zh-CN"/>
        </w:rPr>
        <w:t>工厂化循环水养殖水质监测行业具有高实时性、多参数监测、自动化程度高、高精度要求等特点。随着技术的进步，该行业正在向智能化、数字化方向发展，为水产养殖的可持续发展提供了重要支持。同时，行业也需要不断优化成本结构，推动标准化建设，以满足日益增长的市场需求。</w:t>
      </w:r>
      <w:bookmarkEnd w:id="40"/>
    </w:p>
    <w:p w14:paraId="35D2CF63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41" w:name="_Toc30352"/>
      <w:r>
        <w:rPr>
          <w:rFonts w:hint="eastAsia"/>
          <w:color w:val="auto"/>
          <w:highlight w:val="none"/>
          <w:lang w:val="en-US" w:eastAsia="zh-CN"/>
        </w:rPr>
        <w:t>建设方案设计</w:t>
      </w:r>
      <w:bookmarkEnd w:id="13"/>
      <w:bookmarkEnd w:id="41"/>
    </w:p>
    <w:p w14:paraId="5FB79E9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2" w:name="_Toc11705"/>
      <w:r>
        <w:rPr>
          <w:rFonts w:hint="eastAsia"/>
          <w:color w:val="auto"/>
          <w:highlight w:val="none"/>
          <w:lang w:val="en-US" w:eastAsia="zh-CN"/>
        </w:rPr>
        <w:t>系统框架图</w:t>
      </w:r>
      <w:bookmarkEnd w:id="42"/>
    </w:p>
    <w:p w14:paraId="77CDB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3712845" cy="3366135"/>
            <wp:effectExtent l="0" t="0" r="190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568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2283"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关键功能：实时监测、超标报警、实时联动等</w:t>
      </w:r>
    </w:p>
    <w:p w14:paraId="042B4D08">
      <w:pPr>
        <w:rPr>
          <w:rFonts w:hint="eastAsia"/>
          <w:color w:val="auto"/>
          <w:highlight w:val="none"/>
          <w:lang w:val="en-US" w:eastAsia="zh-CN"/>
        </w:rPr>
      </w:pPr>
    </w:p>
    <w:p w14:paraId="6D717F2C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3" w:name="_Toc31764"/>
      <w:r>
        <w:rPr>
          <w:rFonts w:hint="eastAsia"/>
          <w:color w:val="auto"/>
          <w:highlight w:val="none"/>
          <w:lang w:val="en-US" w:eastAsia="zh-CN"/>
        </w:rPr>
        <w:t>设备选型策略</w:t>
      </w:r>
      <w:bookmarkEnd w:id="43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4"/>
        <w:gridCol w:w="2839"/>
        <w:gridCol w:w="2856"/>
      </w:tblGrid>
      <w:tr w14:paraId="63A1CB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4E332A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核心监测参数</w:t>
            </w:r>
          </w:p>
        </w:tc>
        <w:tc>
          <w:tcPr>
            <w:tcW w:w="1666" w:type="pct"/>
            <w:vAlign w:val="center"/>
          </w:tcPr>
          <w:p w14:paraId="15C168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1675" w:type="pct"/>
            <w:vAlign w:val="center"/>
          </w:tcPr>
          <w:p w14:paraId="0B5855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设备原理</w:t>
            </w:r>
          </w:p>
        </w:tc>
      </w:tr>
      <w:tr w14:paraId="534C66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7ACD77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在线监测设备</w:t>
            </w:r>
          </w:p>
        </w:tc>
      </w:tr>
      <w:tr w14:paraId="5889A7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60AFE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PH</w:t>
            </w:r>
          </w:p>
        </w:tc>
        <w:tc>
          <w:tcPr>
            <w:tcW w:w="1666" w:type="pct"/>
            <w:vAlign w:val="center"/>
          </w:tcPr>
          <w:p w14:paraId="1FF9B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在线PH传感器</w:t>
            </w:r>
          </w:p>
        </w:tc>
        <w:tc>
          <w:tcPr>
            <w:tcW w:w="1675" w:type="pct"/>
            <w:vAlign w:val="center"/>
          </w:tcPr>
          <w:p w14:paraId="1A7C59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114BB7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21986FA1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溶解氧</w:t>
            </w:r>
          </w:p>
        </w:tc>
        <w:tc>
          <w:tcPr>
            <w:tcW w:w="1666" w:type="pct"/>
            <w:vAlign w:val="center"/>
          </w:tcPr>
          <w:p w14:paraId="2748ECF2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1675" w:type="pct"/>
            <w:vAlign w:val="center"/>
          </w:tcPr>
          <w:p w14:paraId="41B22862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</w:tc>
      </w:tr>
      <w:tr w14:paraId="66508D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3C829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电导率</w:t>
            </w:r>
          </w:p>
        </w:tc>
        <w:tc>
          <w:tcPr>
            <w:tcW w:w="1666" w:type="pct"/>
            <w:vAlign w:val="center"/>
          </w:tcPr>
          <w:p w14:paraId="623A4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在线电导率传感器</w:t>
            </w:r>
          </w:p>
        </w:tc>
        <w:tc>
          <w:tcPr>
            <w:tcW w:w="1675" w:type="pct"/>
            <w:vAlign w:val="center"/>
          </w:tcPr>
          <w:p w14:paraId="2BD0F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接触式电极法</w:t>
            </w:r>
          </w:p>
        </w:tc>
      </w:tr>
      <w:tr w14:paraId="34D0D4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4BF098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浊度</w:t>
            </w:r>
          </w:p>
        </w:tc>
        <w:tc>
          <w:tcPr>
            <w:tcW w:w="1666" w:type="pct"/>
            <w:vAlign w:val="center"/>
          </w:tcPr>
          <w:p w14:paraId="77BB3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在线浊度传感器</w:t>
            </w:r>
          </w:p>
        </w:tc>
        <w:tc>
          <w:tcPr>
            <w:tcW w:w="1675" w:type="pct"/>
            <w:vAlign w:val="center"/>
          </w:tcPr>
          <w:p w14:paraId="442AC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散射光法</w:t>
            </w:r>
          </w:p>
        </w:tc>
      </w:tr>
      <w:tr w14:paraId="52193C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3EFB8A0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盐度</w:t>
            </w:r>
          </w:p>
        </w:tc>
        <w:tc>
          <w:tcPr>
            <w:tcW w:w="1666" w:type="pct"/>
            <w:vAlign w:val="center"/>
          </w:tcPr>
          <w:p w14:paraId="6773C91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eastAsia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在线盐度传感器</w:t>
            </w:r>
          </w:p>
        </w:tc>
        <w:tc>
          <w:tcPr>
            <w:tcW w:w="1675" w:type="pct"/>
            <w:vAlign w:val="center"/>
          </w:tcPr>
          <w:p w14:paraId="39E447C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感应式电极法</w:t>
            </w:r>
          </w:p>
        </w:tc>
      </w:tr>
      <w:tr w14:paraId="295E6A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0914A83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氨氮</w:t>
            </w:r>
          </w:p>
        </w:tc>
        <w:tc>
          <w:tcPr>
            <w:tcW w:w="1666" w:type="pct"/>
            <w:vAlign w:val="center"/>
          </w:tcPr>
          <w:p w14:paraId="0CEBD6E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在线氨氮传感器/在线全光谱多参数传感器</w:t>
            </w:r>
          </w:p>
        </w:tc>
        <w:tc>
          <w:tcPr>
            <w:tcW w:w="1675" w:type="pct"/>
            <w:vAlign w:val="center"/>
          </w:tcPr>
          <w:p w14:paraId="092A277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离子选择法/全光谱法</w:t>
            </w:r>
          </w:p>
        </w:tc>
      </w:tr>
      <w:tr w14:paraId="1EBA07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5712AFC5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总磷</w:t>
            </w:r>
          </w:p>
        </w:tc>
        <w:tc>
          <w:tcPr>
            <w:tcW w:w="1666" w:type="pct"/>
            <w:vAlign w:val="center"/>
          </w:tcPr>
          <w:p w14:paraId="5B928C5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75" w:type="pct"/>
            <w:vAlign w:val="center"/>
          </w:tcPr>
          <w:p w14:paraId="52206FB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全光谱法</w:t>
            </w:r>
          </w:p>
        </w:tc>
      </w:tr>
      <w:tr w14:paraId="4F1414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39F6E8EF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总氮</w:t>
            </w:r>
          </w:p>
        </w:tc>
        <w:tc>
          <w:tcPr>
            <w:tcW w:w="1666" w:type="pct"/>
            <w:vAlign w:val="center"/>
          </w:tcPr>
          <w:p w14:paraId="2DFF394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75" w:type="pct"/>
            <w:vAlign w:val="center"/>
          </w:tcPr>
          <w:p w14:paraId="3137A8F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全光谱法</w:t>
            </w:r>
          </w:p>
        </w:tc>
      </w:tr>
      <w:tr w14:paraId="219AF7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18207E9D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硝酸盐</w:t>
            </w:r>
          </w:p>
        </w:tc>
        <w:tc>
          <w:tcPr>
            <w:tcW w:w="1666" w:type="pct"/>
            <w:vAlign w:val="center"/>
          </w:tcPr>
          <w:p w14:paraId="17064204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在线硝氮传感器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/在线全光谱多参数传感器</w:t>
            </w:r>
          </w:p>
        </w:tc>
        <w:tc>
          <w:tcPr>
            <w:tcW w:w="1675" w:type="pct"/>
            <w:vAlign w:val="center"/>
          </w:tcPr>
          <w:p w14:paraId="6E44457B">
            <w:pPr>
              <w:spacing w:line="240" w:lineRule="auto"/>
              <w:ind w:firstLine="0" w:firstLineChars="0"/>
              <w:jc w:val="center"/>
              <w:rPr>
                <w:rFonts w:hint="default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离子选择法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/全光谱法</w:t>
            </w:r>
          </w:p>
        </w:tc>
      </w:tr>
      <w:tr w14:paraId="47BA04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shd w:val="clear" w:color="auto" w:fill="auto"/>
            <w:vAlign w:val="center"/>
          </w:tcPr>
          <w:p w14:paraId="78024F9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亚硝酸盐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697524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在线亚硝酸盐传感器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/在线全光谱多参数传感器</w:t>
            </w:r>
          </w:p>
        </w:tc>
        <w:tc>
          <w:tcPr>
            <w:tcW w:w="1675" w:type="pct"/>
            <w:shd w:val="clear" w:color="auto" w:fill="auto"/>
            <w:vAlign w:val="center"/>
          </w:tcPr>
          <w:p w14:paraId="603947D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离子选择法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/全光谱法</w:t>
            </w:r>
          </w:p>
        </w:tc>
      </w:tr>
      <w:tr w14:paraId="3E2A90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4" w:type="dxa"/>
            <w:vAlign w:val="center"/>
          </w:tcPr>
          <w:p w14:paraId="637D3C2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照度</w:t>
            </w:r>
          </w:p>
        </w:tc>
        <w:tc>
          <w:tcPr>
            <w:tcW w:w="2839" w:type="dxa"/>
            <w:vAlign w:val="center"/>
          </w:tcPr>
          <w:p w14:paraId="3A4CC1C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温湿度照度一体传感器</w:t>
            </w:r>
          </w:p>
        </w:tc>
        <w:tc>
          <w:tcPr>
            <w:tcW w:w="2856" w:type="dxa"/>
            <w:vAlign w:val="center"/>
          </w:tcPr>
          <w:p w14:paraId="7A2DA2E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电容式+热敏电阻+光电效应</w:t>
            </w:r>
          </w:p>
        </w:tc>
      </w:tr>
      <w:tr w14:paraId="133D36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5F8A7A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流量</w:t>
            </w:r>
          </w:p>
        </w:tc>
        <w:tc>
          <w:tcPr>
            <w:tcW w:w="1666" w:type="pct"/>
            <w:vAlign w:val="center"/>
          </w:tcPr>
          <w:p w14:paraId="7F668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电磁流量计</w:t>
            </w:r>
          </w:p>
        </w:tc>
        <w:tc>
          <w:tcPr>
            <w:tcW w:w="1675" w:type="pct"/>
            <w:vAlign w:val="center"/>
          </w:tcPr>
          <w:p w14:paraId="05DB1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法拉第电磁感应</w:t>
            </w:r>
          </w:p>
        </w:tc>
      </w:tr>
      <w:tr w14:paraId="7D9C30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3909ED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便携式监测设备</w:t>
            </w:r>
          </w:p>
        </w:tc>
      </w:tr>
      <w:tr w14:paraId="31C2FF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8" w:type="pct"/>
            <w:vAlign w:val="center"/>
          </w:tcPr>
          <w:p w14:paraId="5ED3CD7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氨氮</w:t>
            </w:r>
          </w:p>
        </w:tc>
        <w:tc>
          <w:tcPr>
            <w:tcW w:w="1666" w:type="pct"/>
            <w:vMerge w:val="restart"/>
            <w:vAlign w:val="center"/>
          </w:tcPr>
          <w:p w14:paraId="2D96C83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便携式多参数分析仪</w:t>
            </w:r>
          </w:p>
        </w:tc>
        <w:tc>
          <w:tcPr>
            <w:tcW w:w="1675" w:type="pct"/>
            <w:vMerge w:val="restart"/>
            <w:vAlign w:val="center"/>
          </w:tcPr>
          <w:p w14:paraId="52855F3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bidi="ar"/>
              </w:rPr>
              <w:t>光电比色法</w:t>
            </w:r>
          </w:p>
        </w:tc>
      </w:tr>
      <w:tr w14:paraId="752B23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shd w:val="clear" w:color="auto" w:fill="auto"/>
            <w:vAlign w:val="center"/>
          </w:tcPr>
          <w:p w14:paraId="4729844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总磷</w:t>
            </w:r>
          </w:p>
        </w:tc>
        <w:tc>
          <w:tcPr>
            <w:tcW w:w="1666" w:type="pct"/>
            <w:vMerge w:val="continue"/>
            <w:vAlign w:val="center"/>
          </w:tcPr>
          <w:p w14:paraId="08B83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75" w:type="pct"/>
            <w:vMerge w:val="continue"/>
            <w:vAlign w:val="center"/>
          </w:tcPr>
          <w:p w14:paraId="5914F6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5D11482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shd w:val="clear" w:color="auto" w:fill="auto"/>
            <w:vAlign w:val="center"/>
          </w:tcPr>
          <w:p w14:paraId="470F78C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总氮</w:t>
            </w:r>
          </w:p>
        </w:tc>
        <w:tc>
          <w:tcPr>
            <w:tcW w:w="1666" w:type="pct"/>
            <w:vMerge w:val="continue"/>
            <w:vAlign w:val="center"/>
          </w:tcPr>
          <w:p w14:paraId="163915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75" w:type="pct"/>
            <w:vMerge w:val="continue"/>
            <w:vAlign w:val="center"/>
          </w:tcPr>
          <w:p w14:paraId="769250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5B94BB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shd w:val="clear" w:color="auto" w:fill="auto"/>
            <w:vAlign w:val="center"/>
          </w:tcPr>
          <w:p w14:paraId="62D755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硝酸盐</w:t>
            </w:r>
          </w:p>
        </w:tc>
        <w:tc>
          <w:tcPr>
            <w:tcW w:w="1666" w:type="pct"/>
            <w:vMerge w:val="continue"/>
            <w:vAlign w:val="center"/>
          </w:tcPr>
          <w:p w14:paraId="5AD8FB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75" w:type="pct"/>
            <w:vMerge w:val="continue"/>
            <w:vAlign w:val="center"/>
          </w:tcPr>
          <w:p w14:paraId="7A69C1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58AABD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181496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亚硝酸盐</w:t>
            </w:r>
          </w:p>
        </w:tc>
        <w:tc>
          <w:tcPr>
            <w:tcW w:w="1666" w:type="pct"/>
            <w:vMerge w:val="continue"/>
            <w:vAlign w:val="center"/>
          </w:tcPr>
          <w:p w14:paraId="486A5D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75" w:type="pct"/>
            <w:vMerge w:val="continue"/>
            <w:vAlign w:val="center"/>
          </w:tcPr>
          <w:p w14:paraId="52867E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3573BB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8" w:type="pct"/>
            <w:vAlign w:val="center"/>
          </w:tcPr>
          <w:p w14:paraId="4FB05C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重金属（铜镍锌锰）</w:t>
            </w:r>
          </w:p>
        </w:tc>
        <w:tc>
          <w:tcPr>
            <w:tcW w:w="1666" w:type="pct"/>
            <w:vMerge w:val="continue"/>
            <w:vAlign w:val="center"/>
          </w:tcPr>
          <w:p w14:paraId="2BB2C3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75" w:type="pct"/>
            <w:vMerge w:val="continue"/>
            <w:vAlign w:val="center"/>
          </w:tcPr>
          <w:p w14:paraId="2955C2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6F8D17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4" w:type="dxa"/>
            <w:vAlign w:val="center"/>
          </w:tcPr>
          <w:p w14:paraId="759A36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PH</w:t>
            </w:r>
          </w:p>
        </w:tc>
        <w:tc>
          <w:tcPr>
            <w:tcW w:w="2839" w:type="dxa"/>
            <w:vAlign w:val="center"/>
          </w:tcPr>
          <w:p w14:paraId="0E70CD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笔式PH计</w:t>
            </w:r>
          </w:p>
        </w:tc>
        <w:tc>
          <w:tcPr>
            <w:tcW w:w="1675" w:type="pct"/>
            <w:vAlign w:val="center"/>
          </w:tcPr>
          <w:p w14:paraId="2B6D02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0DD9EA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4" w:type="dxa"/>
            <w:vAlign w:val="center"/>
          </w:tcPr>
          <w:p w14:paraId="766602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电导率</w:t>
            </w:r>
          </w:p>
        </w:tc>
        <w:tc>
          <w:tcPr>
            <w:tcW w:w="2839" w:type="dxa"/>
            <w:vAlign w:val="center"/>
          </w:tcPr>
          <w:p w14:paraId="108178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笔式电导率计</w:t>
            </w:r>
          </w:p>
        </w:tc>
        <w:tc>
          <w:tcPr>
            <w:tcW w:w="1675" w:type="pct"/>
            <w:vAlign w:val="center"/>
          </w:tcPr>
          <w:p w14:paraId="7D35DF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接触式电极法</w:t>
            </w:r>
          </w:p>
        </w:tc>
      </w:tr>
      <w:tr w14:paraId="1791939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4" w:type="dxa"/>
            <w:vAlign w:val="center"/>
          </w:tcPr>
          <w:p w14:paraId="6E8145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全系传感器式设备</w:t>
            </w:r>
          </w:p>
        </w:tc>
        <w:tc>
          <w:tcPr>
            <w:tcW w:w="2839" w:type="dxa"/>
            <w:vAlign w:val="center"/>
          </w:tcPr>
          <w:p w14:paraId="2D5A79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蓝精灵</w:t>
            </w:r>
          </w:p>
        </w:tc>
        <w:tc>
          <w:tcPr>
            <w:tcW w:w="1675" w:type="pct"/>
            <w:vAlign w:val="center"/>
          </w:tcPr>
          <w:p w14:paraId="30DF11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蓝牙</w:t>
            </w:r>
          </w:p>
        </w:tc>
      </w:tr>
    </w:tbl>
    <w:p w14:paraId="3EC5979A">
      <w:pPr>
        <w:bidi w:val="0"/>
        <w:rPr>
          <w:rFonts w:hint="eastAsia"/>
          <w:color w:val="auto"/>
          <w:highlight w:val="none"/>
          <w:lang w:val="en-US" w:eastAsia="zh-CN"/>
        </w:rPr>
      </w:pPr>
    </w:p>
    <w:p w14:paraId="7FAC930D">
      <w:pPr>
        <w:pStyle w:val="2"/>
        <w:bidi w:val="0"/>
        <w:ind w:left="672" w:leftChars="0" w:firstLineChars="0"/>
        <w:rPr>
          <w:rFonts w:hint="eastAsia"/>
          <w:color w:val="auto"/>
          <w:highlight w:val="none"/>
          <w:lang w:val="en-US" w:eastAsia="zh-CN"/>
        </w:rPr>
      </w:pPr>
      <w:bookmarkStart w:id="44" w:name="_Toc24440"/>
      <w:bookmarkStart w:id="45" w:name="_Toc30195"/>
      <w:r>
        <w:rPr>
          <w:rFonts w:hint="eastAsia"/>
          <w:color w:val="auto"/>
          <w:highlight w:val="none"/>
          <w:lang w:val="en-US" w:eastAsia="zh-CN"/>
        </w:rPr>
        <w:t>产品介绍</w:t>
      </w:r>
      <w:bookmarkEnd w:id="44"/>
      <w:bookmarkEnd w:id="45"/>
    </w:p>
    <w:p w14:paraId="5630B0FF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6" w:name="_Toc22580"/>
      <w:r>
        <w:rPr>
          <w:rFonts w:hint="eastAsia"/>
          <w:color w:val="auto"/>
          <w:highlight w:val="none"/>
          <w:lang w:val="en-US" w:eastAsia="zh-CN"/>
        </w:rPr>
        <w:t>技术参数</w:t>
      </w:r>
      <w:bookmarkEnd w:id="46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73F711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14C5F2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9EBB5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8AC45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图片示例</w:t>
            </w:r>
          </w:p>
        </w:tc>
      </w:tr>
      <w:tr w14:paraId="11AD0C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7A9EC9F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单通道智能控制器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94D06C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显示：2.8 寸单色液晶显示屏</w:t>
            </w:r>
          </w:p>
          <w:p w14:paraId="320919F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外形尺寸：101 mm×105 mm×128 mm</w:t>
            </w:r>
          </w:p>
          <w:p w14:paraId="0088C40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电流输出：4 ~20 mA 可设定对应参数和温度测量范围</w:t>
            </w:r>
          </w:p>
          <w:p w14:paraId="2EFEAC9D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报警功能：2 路，容量AC 250V/3A</w:t>
            </w:r>
          </w:p>
        </w:tc>
        <w:tc>
          <w:tcPr>
            <w:tcW w:w="1616" w:type="pct"/>
            <w:vAlign w:val="center"/>
          </w:tcPr>
          <w:p w14:paraId="4D8F52DB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drawing>
                <wp:inline distT="0" distB="0" distL="114300" distR="114300">
                  <wp:extent cx="953135" cy="773430"/>
                  <wp:effectExtent l="0" t="0" r="18415" b="7620"/>
                  <wp:docPr id="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338" t="19858" r="12997" b="15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FB730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927" w:type="pct"/>
            <w:shd w:val="clear" w:color="auto" w:fill="auto"/>
            <w:vAlign w:val="center"/>
          </w:tcPr>
          <w:p w14:paraId="00383E9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多通道智能控制器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5C42A0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显示：7寸彩色电容触摸屏</w:t>
            </w:r>
          </w:p>
          <w:p w14:paraId="31E98A4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外形尺寸：204 mm×145 mm×42.5 mm</w:t>
            </w:r>
          </w:p>
          <w:p w14:paraId="382D76E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安装方式：两孔壁挂式安装，孔间距100 mm</w:t>
            </w:r>
          </w:p>
          <w:p w14:paraId="1827E77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功耗：10 W</w:t>
            </w:r>
          </w:p>
          <w:p w14:paraId="421A5D60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测量变量：根据传感器定义</w:t>
            </w:r>
          </w:p>
        </w:tc>
        <w:tc>
          <w:tcPr>
            <w:tcW w:w="1616" w:type="pct"/>
            <w:vAlign w:val="center"/>
          </w:tcPr>
          <w:p w14:paraId="796FB995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90295" cy="853440"/>
                  <wp:effectExtent l="0" t="0" r="14605" b="3810"/>
                  <wp:docPr id="64" name="图片 2" descr="lQDPJxa1cYhUlULNBjLNB-qw8RS7M3keprgDKlfi58DOAA_2026_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" descr="lQDPJxa1cYhUlULNBjLNB-qw8RS7M3keprgDKlfi58DOAA_2026_15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C29F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927" w:type="pct"/>
            <w:shd w:val="clear" w:color="auto" w:fill="auto"/>
            <w:vAlign w:val="center"/>
          </w:tcPr>
          <w:p w14:paraId="48EA31A2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2023810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：全光谱吸收法</w:t>
            </w:r>
          </w:p>
          <w:p w14:paraId="1204FC7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38E0C24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4D04E330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：±5%F.S.</w:t>
            </w:r>
          </w:p>
        </w:tc>
        <w:tc>
          <w:tcPr>
            <w:tcW w:w="1616" w:type="pct"/>
            <w:vAlign w:val="center"/>
          </w:tcPr>
          <w:p w14:paraId="3D0ED3D0">
            <w:pPr>
              <w:autoSpaceDE w:val="0"/>
              <w:spacing w:beforeAutospacing="1" w:afterAutospacing="1"/>
              <w:ind w:firstLine="0" w:firstLineChars="0"/>
              <w:jc w:val="center"/>
              <w:rPr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17" name="图片 1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018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927" w:type="pct"/>
            <w:shd w:val="clear" w:color="auto" w:fill="auto"/>
            <w:vAlign w:val="center"/>
          </w:tcPr>
          <w:p w14:paraId="6C6041C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BF6544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原理：玻璃电极法</w:t>
            </w:r>
          </w:p>
          <w:p w14:paraId="319D6EE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量程：0-14 pH</w:t>
            </w:r>
          </w:p>
          <w:p w14:paraId="53DDF003">
            <w:pPr>
              <w:spacing w:line="240" w:lineRule="auto"/>
              <w:ind w:firstLine="0" w:firstLineChars="0"/>
              <w:rPr>
                <w:rFonts w:hint="default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精度：±0.1 pH</w:t>
            </w:r>
          </w:p>
        </w:tc>
        <w:tc>
          <w:tcPr>
            <w:tcW w:w="1616" w:type="pct"/>
            <w:vAlign w:val="center"/>
          </w:tcPr>
          <w:p w14:paraId="288895CC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0" distR="0">
                  <wp:extent cx="225425" cy="1291590"/>
                  <wp:effectExtent l="0" t="263525" r="0" b="30353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2" t="5693" r="42466" b="8031"/>
                          <a:stretch>
                            <a:fillRect/>
                          </a:stretch>
                        </pic:blipFill>
                        <pic:spPr>
                          <a:xfrm rot="3480000">
                            <a:off x="0" y="0"/>
                            <a:ext cx="22542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F5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27" w:type="pct"/>
            <w:vAlign w:val="center"/>
          </w:tcPr>
          <w:p w14:paraId="1A59AAE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2456" w:type="pct"/>
            <w:vAlign w:val="center"/>
          </w:tcPr>
          <w:p w14:paraId="74257A7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原理：荧光法</w:t>
            </w:r>
          </w:p>
          <w:p w14:paraId="5CD8234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量程：0～20.00 mg/L</w:t>
            </w:r>
          </w:p>
          <w:p w14:paraId="5DB23124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精度：±2</w:t>
            </w:r>
          </w:p>
        </w:tc>
        <w:tc>
          <w:tcPr>
            <w:tcW w:w="1616" w:type="pct"/>
            <w:vAlign w:val="center"/>
          </w:tcPr>
          <w:p w14:paraId="629DA346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07645" cy="1303655"/>
                  <wp:effectExtent l="0" t="320675" r="0" b="325120"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793" t="4709" r="38342" b="6442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20764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F61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927" w:type="pct"/>
            <w:shd w:val="clear" w:color="auto" w:fill="auto"/>
            <w:vAlign w:val="center"/>
          </w:tcPr>
          <w:p w14:paraId="1D83F98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228931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：接触式电极法</w:t>
            </w:r>
          </w:p>
          <w:p w14:paraId="7A97FF3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：0～5000 μS/cm</w:t>
            </w:r>
          </w:p>
          <w:p w14:paraId="52F2AF92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：读数的±1%</w:t>
            </w:r>
          </w:p>
        </w:tc>
        <w:tc>
          <w:tcPr>
            <w:tcW w:w="1616" w:type="pct"/>
            <w:vAlign w:val="center"/>
          </w:tcPr>
          <w:p w14:paraId="246AB82F">
            <w:pPr>
              <w:spacing w:line="240" w:lineRule="auto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</w:rPr>
            </w:pPr>
            <w:r>
              <w:rPr>
                <w:rFonts w:hint="eastAsia"/>
                <w:sz w:val="28"/>
                <w:szCs w:val="28"/>
                <w:highlight w:val="none"/>
              </w:rPr>
              <w:drawing>
                <wp:inline distT="0" distB="0" distL="114300" distR="114300">
                  <wp:extent cx="213995" cy="1263650"/>
                  <wp:effectExtent l="0" t="196215" r="0" b="245110"/>
                  <wp:docPr id="41" name="图片 41" descr="/tmp/webword_3698093873/upload_post_object_v2_181889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tmp/webword_3698093873/upload_post_object_v2_18188983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5077" t="3022" r="44981" b="9115"/>
                          <a:stretch>
                            <a:fillRect/>
                          </a:stretch>
                        </pic:blipFill>
                        <pic:spPr>
                          <a:xfrm rot="3900000">
                            <a:off x="0" y="0"/>
                            <a:ext cx="21399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7E8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927" w:type="pct"/>
            <w:vAlign w:val="center"/>
          </w:tcPr>
          <w:p w14:paraId="6EB11DE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在线浊度传感器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57C668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散射光法</w:t>
            </w:r>
          </w:p>
          <w:p w14:paraId="20769AB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0~1000.0 NTU</w:t>
            </w:r>
          </w:p>
          <w:p w14:paraId="41EA2595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±5%或±3 NTU以大者为准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1194BB6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b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none"/>
              </w:rPr>
              <w:drawing>
                <wp:inline distT="0" distB="0" distL="0" distR="0">
                  <wp:extent cx="222885" cy="1285240"/>
                  <wp:effectExtent l="0" t="194310" r="0" b="283845"/>
                  <wp:docPr id="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6" t="5451" r="42408" b="10358"/>
                          <a:stretch>
                            <a:fillRect/>
                          </a:stretch>
                        </pic:blipFill>
                        <pic:spPr>
                          <a:xfrm rot="3840000">
                            <a:off x="0" y="0"/>
                            <a:ext cx="22288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AA3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927" w:type="pct"/>
            <w:vAlign w:val="center"/>
          </w:tcPr>
          <w:p w14:paraId="5B8FF44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在线盐度传感器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B88855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电极法</w:t>
            </w:r>
          </w:p>
          <w:p w14:paraId="5696FD3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0～70.0PSU</w:t>
            </w:r>
          </w:p>
          <w:p w14:paraId="594CFB4E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读数的±1.5%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BA71203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sz w:val="52"/>
                <w:szCs w:val="52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sz w:val="52"/>
                <w:szCs w:val="52"/>
                <w:highlight w:val="none"/>
              </w:rPr>
              <w:drawing>
                <wp:inline distT="0" distB="0" distL="0" distR="0">
                  <wp:extent cx="188595" cy="1266190"/>
                  <wp:effectExtent l="0" t="277495" r="0" b="280670"/>
                  <wp:docPr id="10" name="图片 10" descr="D:\QQ文件\43B5050B0C9FE04D2A08D09BD017DCC2_750_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QQ文件\43B5050B0C9FE04D2A08D09BD017DCC2_750_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4" t="2118" r="40402" b="2942"/>
                          <a:stretch>
                            <a:fillRect/>
                          </a:stretch>
                        </pic:blipFill>
                        <pic:spPr>
                          <a:xfrm rot="3780000">
                            <a:off x="0" y="0"/>
                            <a:ext cx="18859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1EF8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27" w:type="pct"/>
            <w:shd w:val="clear" w:color="auto" w:fill="auto"/>
            <w:vAlign w:val="center"/>
          </w:tcPr>
          <w:p w14:paraId="73780CEA">
            <w:pPr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356209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05E850B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：0～100.00 mg/L</w:t>
            </w:r>
          </w:p>
          <w:p w14:paraId="65E388CF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：读数的±10%或±1 mg/L 以大者为准</w:t>
            </w:r>
          </w:p>
        </w:tc>
        <w:tc>
          <w:tcPr>
            <w:tcW w:w="1616" w:type="pct"/>
            <w:vAlign w:val="center"/>
          </w:tcPr>
          <w:p w14:paraId="2BC408C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71145" cy="1261745"/>
                  <wp:effectExtent l="635" t="245110" r="2540" b="245745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3960000">
                            <a:off x="0" y="0"/>
                            <a:ext cx="2711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7C54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927" w:type="pct"/>
            <w:vAlign w:val="center"/>
          </w:tcPr>
          <w:p w14:paraId="681B4BA6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在线硝氮传感器</w:t>
            </w:r>
          </w:p>
        </w:tc>
        <w:tc>
          <w:tcPr>
            <w:tcW w:w="2456" w:type="pct"/>
            <w:vAlign w:val="center"/>
          </w:tcPr>
          <w:p w14:paraId="41617E9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63D5C6E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：0~100.0 mg/L</w:t>
            </w:r>
          </w:p>
          <w:p w14:paraId="28C650A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：读数的±5%或±2 mg/L以大者为准</w:t>
            </w:r>
          </w:p>
        </w:tc>
        <w:tc>
          <w:tcPr>
            <w:tcW w:w="1616" w:type="pct"/>
            <w:vAlign w:val="center"/>
          </w:tcPr>
          <w:p w14:paraId="6524B68E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eastAsiaTheme="minorEastAsia"/>
                <w:highlight w:val="none"/>
                <w:lang w:eastAsia="zh-CN"/>
              </w:rPr>
              <w:drawing>
                <wp:inline distT="0" distB="0" distL="114300" distR="114300">
                  <wp:extent cx="212090" cy="1281430"/>
                  <wp:effectExtent l="0" t="251460" r="0" b="252730"/>
                  <wp:docPr id="23" name="图片 23" descr="NON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NON-206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7139" t="3385" r="43157" b="7701"/>
                          <a:stretch>
                            <a:fillRect/>
                          </a:stretch>
                        </pic:blipFill>
                        <pic:spPr>
                          <a:xfrm rot="3960000">
                            <a:off x="0" y="0"/>
                            <a:ext cx="21209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0C2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27" w:type="pct"/>
            <w:vAlign w:val="center"/>
          </w:tcPr>
          <w:p w14:paraId="44FE783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在线亚硝酸盐传感器</w:t>
            </w:r>
          </w:p>
        </w:tc>
        <w:tc>
          <w:tcPr>
            <w:tcW w:w="2456" w:type="pct"/>
            <w:vAlign w:val="center"/>
          </w:tcPr>
          <w:p w14:paraId="397C024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444E08B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：0~0.200 mg/L</w:t>
            </w:r>
          </w:p>
          <w:p w14:paraId="4EFFE01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</w:t>
            </w:r>
          </w:p>
        </w:tc>
        <w:tc>
          <w:tcPr>
            <w:tcW w:w="1616" w:type="pct"/>
            <w:vAlign w:val="center"/>
          </w:tcPr>
          <w:p w14:paraId="194DF092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eastAsiaTheme="minorEastAsia"/>
                <w:highlight w:val="none"/>
                <w:lang w:eastAsia="zh-CN"/>
              </w:rPr>
              <w:drawing>
                <wp:inline distT="0" distB="0" distL="114300" distR="114300">
                  <wp:extent cx="207645" cy="1256030"/>
                  <wp:effectExtent l="0" t="237490" r="2540" b="240665"/>
                  <wp:docPr id="22" name="图片 22" descr="NON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NON-206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7139" t="3385" r="43157" b="7701"/>
                          <a:stretch>
                            <a:fillRect/>
                          </a:stretch>
                        </pic:blipFill>
                        <pic:spPr>
                          <a:xfrm rot="4020000">
                            <a:off x="0" y="0"/>
                            <a:ext cx="20764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375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927" w:type="pct"/>
            <w:shd w:val="clear" w:color="auto" w:fill="auto"/>
            <w:vAlign w:val="center"/>
          </w:tcPr>
          <w:p w14:paraId="0661EFF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温湿度照度一体传感器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D67B58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：电容式+热敏电阻+光电效应</w:t>
            </w:r>
          </w:p>
          <w:p w14:paraId="75AB90B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0FF455F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温度：-50～100℃；湿度：0～100%RH；照度：0-200000Lux；</w:t>
            </w:r>
          </w:p>
          <w:p w14:paraId="1CE7761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07242CF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温度：±0.1℃；湿度：±2%RH；照度：±7%；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360DB22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744220" cy="893445"/>
                  <wp:effectExtent l="0" t="0" r="2540" b="571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9A04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927" w:type="pct"/>
            <w:shd w:val="clear" w:color="auto" w:fill="auto"/>
            <w:vAlign w:val="center"/>
          </w:tcPr>
          <w:p w14:paraId="669A0C0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电磁流量计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B91AE4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口径：DN15-DN300</w:t>
            </w:r>
          </w:p>
          <w:p w14:paraId="0812231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内衬：四氟</w:t>
            </w:r>
          </w:p>
          <w:p w14:paraId="3EF4FAB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压力：1.6Mpa</w:t>
            </w:r>
          </w:p>
          <w:p w14:paraId="1B403069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电极：316L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E456D5C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highlight w:val="none"/>
              </w:rPr>
            </w:pPr>
            <w:r>
              <w:rPr>
                <w:rFonts w:hint="eastAsia" w:ascii="Times New Roman" w:hAnsi="Times New Roman"/>
                <w:highlight w:val="none"/>
              </w:rPr>
              <w:drawing>
                <wp:inline distT="0" distB="0" distL="114300" distR="114300">
                  <wp:extent cx="726440" cy="846455"/>
                  <wp:effectExtent l="0" t="0" r="5080" b="6985"/>
                  <wp:docPr id="7" name="图片 1" descr="1724057082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17240570825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4A6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4FA3F031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蓝精灵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0117A9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输出方式：ASCII码蓝牙传输</w:t>
            </w:r>
          </w:p>
          <w:p w14:paraId="5940978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输入方式：十六进制蓝牙传输</w:t>
            </w:r>
          </w:p>
          <w:p w14:paraId="604EF9D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传输距离：空旷无阻隔地带，约50米</w:t>
            </w:r>
          </w:p>
          <w:p w14:paraId="615E552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存储容量：4M字节</w:t>
            </w:r>
          </w:p>
          <w:p w14:paraId="57DF72C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工作时长：定时读取 约7天</w:t>
            </w:r>
          </w:p>
          <w:p w14:paraId="4901447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电源：3.7V/3000mAh 聚合物锂电池 5V充电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4951A8B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ascii="Times New Roman" w:hAnsi="Times New Roman"/>
                <w:highlight w:val="none"/>
              </w:rPr>
              <w:drawing>
                <wp:inline distT="0" distB="0" distL="114300" distR="114300">
                  <wp:extent cx="227965" cy="906780"/>
                  <wp:effectExtent l="0" t="0" r="635" b="7620"/>
                  <wp:docPr id="1" name="图片 1" descr="lALPDgQ9y9q9fTbNCNjNBNo_1242_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ALPDgQ9y9q9fTbNCNjNBNo_1242_22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9852" t="5162" r="29593" b="6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AA37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17876806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手持</w:t>
            </w:r>
            <w:r>
              <w:rPr>
                <w:rFonts w:hint="eastAsia"/>
                <w:sz w:val="21"/>
                <w:szCs w:val="21"/>
                <w:highlight w:val="none"/>
              </w:rPr>
              <w:t>式多参数检测仪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4D4E3D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显示：3.3 英寸单色液晶显示屏</w:t>
            </w:r>
          </w:p>
          <w:p w14:paraId="040ACAC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外形尺寸：200mm*101mm*36mm</w:t>
            </w:r>
          </w:p>
          <w:p w14:paraId="6E96CB7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防护等级：IP67</w:t>
            </w:r>
          </w:p>
          <w:p w14:paraId="5158FA3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连接设备：全系传感器式设备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2C891CC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613410" cy="1115695"/>
                  <wp:effectExtent l="0" t="0" r="8890" b="1905"/>
                  <wp:docPr id="28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B63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097529F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59CABD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5CD1B6C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工作波长范围：420nm 520nm，580nm，610nm；波长半宽度：5±2（nm）；</w:t>
            </w:r>
          </w:p>
          <w:p w14:paraId="3B9BDA2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仪器的检测范围：吸光度值0.000-3.000；</w:t>
            </w:r>
          </w:p>
          <w:p w14:paraId="7C932D3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光源灯：冷光源；</w:t>
            </w:r>
          </w:p>
          <w:p w14:paraId="12F2508F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分辨率：0.001；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2DB3209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668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2EE308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笔式PH计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08C93C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测量范围：0.1～14.0PH</w:t>
            </w:r>
          </w:p>
          <w:p w14:paraId="456BDC24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分辨率：0.1PH</w:t>
            </w:r>
          </w:p>
          <w:p w14:paraId="37C5ECA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精度：±0.2PH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ADD534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17170" cy="1073785"/>
                  <wp:effectExtent l="0" t="258445" r="0" b="271145"/>
                  <wp:docPr id="14" name="图片 14" descr="9b2692f9f002b75de3ccdc4b6e73a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b2692f9f002b75de3ccdc4b6e73a2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6124" t="14414" r="42873" b="7946"/>
                          <a:stretch>
                            <a:fillRect/>
                          </a:stretch>
                        </pic:blipFill>
                        <pic:spPr>
                          <a:xfrm rot="3300000">
                            <a:off x="0" y="0"/>
                            <a:ext cx="21717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FE6A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2FC78B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笔式电导率计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40A348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测量范围：0-2000uS/cm</w:t>
            </w:r>
          </w:p>
          <w:p w14:paraId="0C5780C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分辨率：1uS/cm</w:t>
            </w:r>
          </w:p>
          <w:p w14:paraId="331E19A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 2%F.S.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0F3777F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73685" cy="1205230"/>
                  <wp:effectExtent l="0" t="328295" r="0" b="32766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7183" t="4256" r="34772" b="4103"/>
                          <a:stretch>
                            <a:fillRect/>
                          </a:stretch>
                        </pic:blipFill>
                        <pic:spPr>
                          <a:xfrm rot="3240000">
                            <a:off x="0" y="0"/>
                            <a:ext cx="27368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03D1B">
      <w:pPr>
        <w:rPr>
          <w:rFonts w:hint="eastAsia"/>
          <w:highlight w:val="none"/>
          <w:lang w:val="en-US" w:eastAsia="zh-CN"/>
        </w:rPr>
      </w:pPr>
    </w:p>
    <w:p w14:paraId="31AD675E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7" w:name="_Toc1472"/>
      <w:r>
        <w:rPr>
          <w:rFonts w:hint="eastAsia"/>
          <w:color w:val="auto"/>
          <w:highlight w:val="none"/>
          <w:lang w:val="en-US" w:eastAsia="zh-CN"/>
        </w:rPr>
        <w:t>场景适配性</w:t>
      </w:r>
      <w:bookmarkEnd w:id="47"/>
    </w:p>
    <w:p w14:paraId="0FD2E7A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工厂化循环水养殖（RAS）具有高密度、闭环运行、水质敏感性强等特点，对监测设备的实时性、稳定性及智能化水平要求严苛。</w:t>
      </w:r>
    </w:p>
    <w:p w14:paraId="671F59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 高密度养殖适配性</w:t>
      </w:r>
    </w:p>
    <w:p w14:paraId="2BD80BD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精准监测与风险预警</w:t>
      </w:r>
    </w:p>
    <w:p w14:paraId="73CEBCB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用荧光法溶解氧传感器（精度±2%）、全光谱多参数传感器（氨氮/总磷等综合监测）等高精度设备，可捕捉0.1mg/L级水质波动，满足高密度养殖对溶解氧、氨氮等关键参数的微变化监测需求。系统支持超标自动报警（如氨氮&gt;0.02mg/L触发阈值），联动增氧机或水处理设备，避免生物应激反应。</w:t>
      </w:r>
    </w:p>
    <w:p w14:paraId="425F139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抗干扰设计</w:t>
      </w:r>
    </w:p>
    <w:p w14:paraId="4BCD191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在线浊度传感器（散射光法，±5%精度）配备自清洁刷，有效应对高投喂量导致的悬浮物干扰；盐度传感器（电极法，±1.5%精度）采用耐腐蚀材质，适配海水/咸淡水混合养殖场景。</w:t>
      </w:r>
    </w:p>
    <w:p w14:paraId="448E8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 多参数集成化监测</w:t>
      </w:r>
    </w:p>
    <w:p w14:paraId="545F956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关键参数全覆盖</w:t>
      </w:r>
    </w:p>
    <w:p w14:paraId="2E65ACF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配置"PH+溶解氧+电导率+氨氮+亚硝酸盐"核心参数组合监测，同时支持总磷、总氮等扩展参数检测，覆盖RAS系统生物代谢、硝化反应全周期水质指标。</w:t>
      </w:r>
    </w:p>
    <w:p w14:paraId="135A38C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模块化灵活扩展</w:t>
      </w:r>
    </w:p>
    <w:p w14:paraId="2916CF2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多通道智能控制器可兼容全系传感器，用户可根据养殖品种（如对虾、鲑鱼）差异灵活增减监测模块，避免资源冗余。</w:t>
      </w:r>
    </w:p>
    <w:p w14:paraId="33DE71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 自动化与智能化控制</w:t>
      </w:r>
    </w:p>
    <w:p w14:paraId="784080F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闭环联动系统</w:t>
      </w:r>
    </w:p>
    <w:p w14:paraId="7E5CD26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传感器数据通过RS485信号实时传输至控制终端，触发电磁流量计、增氧泵等设备自动调节水体循环速率（如溶解氧&lt;5mg/L时启动增氧），减少人工干预。</w:t>
      </w:r>
    </w:p>
    <w:p w14:paraId="491C8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 严苛环境耐受性</w:t>
      </w:r>
    </w:p>
    <w:p w14:paraId="4DD3684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长效稳定运行</w:t>
      </w:r>
    </w:p>
    <w:p w14:paraId="520DBFA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核心传感器采用IP68防护等级，耐受高温高湿环境；荧光法溶解氧传感器无膜结构设计，避免传统电极的膜片污染问题，使用寿命达2-3年。</w:t>
      </w:r>
    </w:p>
    <w:p w14:paraId="4F77DA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 成本适配方案</w:t>
      </w:r>
    </w:p>
    <w:p w14:paraId="7BDAAFB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分级配置策略</w:t>
      </w:r>
    </w:p>
    <w:p w14:paraId="3C5692C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针对中小型养殖场，推荐"基础四参数（PH/DO/氨氮/浊度）+便携式分析仪"组合，初期投入降低40%；大型集约化基地采用"全光谱传感器+AI控制中枢"方案，通过精准调控降低饵料系数，综合效益提升15%以上。</w:t>
      </w:r>
    </w:p>
    <w:p w14:paraId="7A6B9756">
      <w:pPr>
        <w:pStyle w:val="2"/>
        <w:bidi w:val="0"/>
        <w:ind w:left="672" w:leftChars="0" w:firstLineChars="0"/>
        <w:rPr>
          <w:rFonts w:hint="eastAsia"/>
          <w:color w:val="auto"/>
          <w:highlight w:val="none"/>
          <w:lang w:val="en-US" w:eastAsia="zh-CN"/>
        </w:rPr>
      </w:pPr>
      <w:bookmarkStart w:id="48" w:name="_Toc27010"/>
      <w:bookmarkStart w:id="49" w:name="_Toc29792"/>
      <w:r>
        <w:rPr>
          <w:rFonts w:hint="eastAsia"/>
          <w:color w:val="auto"/>
          <w:highlight w:val="none"/>
          <w:lang w:val="en-US" w:eastAsia="zh-CN"/>
        </w:rPr>
        <w:t>设备寿命及维护</w:t>
      </w:r>
      <w:bookmarkEnd w:id="48"/>
      <w:bookmarkEnd w:id="49"/>
    </w:p>
    <w:p w14:paraId="2E7C10E9">
      <w:pPr>
        <w:pStyle w:val="3"/>
        <w:bidi w:val="0"/>
        <w:rPr>
          <w:rFonts w:hint="default"/>
          <w:color w:val="auto"/>
          <w:highlight w:val="none"/>
          <w:lang w:val="en-US" w:eastAsia="zh-CN"/>
        </w:rPr>
      </w:pPr>
      <w:bookmarkStart w:id="50" w:name="_Toc21468"/>
      <w:bookmarkStart w:id="51" w:name="_Toc9769"/>
      <w:r>
        <w:rPr>
          <w:rFonts w:hint="eastAsia"/>
          <w:color w:val="auto"/>
          <w:highlight w:val="none"/>
          <w:lang w:val="en-US" w:eastAsia="zh-CN"/>
        </w:rPr>
        <w:t>设备寿命周期与维护周期表</w:t>
      </w:r>
      <w:bookmarkEnd w:id="50"/>
      <w:bookmarkEnd w:id="51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56A89A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23FA885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0F30D85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5FE7B21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使用寿命</w:t>
            </w:r>
          </w:p>
        </w:tc>
      </w:tr>
      <w:tr w14:paraId="5A5581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094AF37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B7FB73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F6A799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3D55AC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1D36B27C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66A0A9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D2486D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1年</w:t>
            </w:r>
          </w:p>
        </w:tc>
      </w:tr>
      <w:tr w14:paraId="3A4211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58F85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在线溶解氧传感器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8748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AAF73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3B76BED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E3A6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4992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A1E2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053F0E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D43B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在线浊度传感器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48E3C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E725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6A62DF5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FD297FB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在线盐度传感器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E721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5D92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7E7F0A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67125D52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A9E57E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AD0486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6D95BE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8E3E65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cs="宋体"/>
                <w:sz w:val="22"/>
                <w:szCs w:val="22"/>
                <w:highlight w:val="none"/>
                <w:lang w:eastAsia="zh-CN"/>
              </w:rPr>
              <w:t>在线硝氮传感器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CBBB45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91631C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56042AE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B4DF9E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在线亚硝酸盐传感器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458370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8282F4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1A3873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9" w:type="dxa"/>
            <w:shd w:val="clear" w:color="auto" w:fill="auto"/>
            <w:vAlign w:val="center"/>
          </w:tcPr>
          <w:p w14:paraId="75943B6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温湿度照度一体传感器</w:t>
            </w:r>
          </w:p>
        </w:tc>
        <w:tc>
          <w:tcPr>
            <w:tcW w:w="2839" w:type="dxa"/>
            <w:shd w:val="clear" w:color="auto" w:fill="auto"/>
            <w:vAlign w:val="center"/>
          </w:tcPr>
          <w:p w14:paraId="58B1D2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6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-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  <w:t>8</w:t>
            </w: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个月/次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49173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7DFAC6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050FB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电磁流量计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1C25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C285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047CFEF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75A9ED6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便携式多参数分析仪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43CCEF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D5CABB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</w:tbl>
    <w:p w14:paraId="39BDC9FE">
      <w:pPr>
        <w:rPr>
          <w:rFonts w:hint="default"/>
          <w:color w:val="auto"/>
          <w:highlight w:val="none"/>
          <w:lang w:val="en-US" w:eastAsia="zh-CN"/>
        </w:rPr>
      </w:pPr>
    </w:p>
    <w:p w14:paraId="1BABF46B">
      <w:pPr>
        <w:pStyle w:val="3"/>
        <w:rPr>
          <w:rFonts w:hint="eastAsia"/>
          <w:color w:val="auto"/>
          <w:highlight w:val="none"/>
        </w:rPr>
      </w:pPr>
      <w:bookmarkStart w:id="52" w:name="_Toc16803"/>
      <w:bookmarkStart w:id="53" w:name="_Toc11649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日常维护</w:t>
      </w:r>
      <w:bookmarkEnd w:id="52"/>
      <w:bookmarkEnd w:id="53"/>
    </w:p>
    <w:p w14:paraId="266FB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在线全光谱多参数传感器</w:t>
      </w:r>
    </w:p>
    <w:p w14:paraId="609D8B4C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（1）定期用自来水清洗外表面，若有碎屑残留，用湿润软布擦拭；顽固污垢可加家用洗涤液清洗。</w:t>
      </w:r>
    </w:p>
    <w:p w14:paraId="64949C5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（2）查看线缆是否绷紧、测量窗口有无脏污、清洁刷是否正常及有无损坏。</w:t>
      </w:r>
    </w:p>
    <w:p w14:paraId="03D22A1C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（3）校准传感器，在使用前将传感器置入去离子水，保证光路浸没且无气泡，发送光谱校准指令完成校准。</w:t>
      </w:r>
    </w:p>
    <w:p w14:paraId="35ED9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在线PH传感器</w:t>
      </w:r>
    </w:p>
    <w:p w14:paraId="2516CE0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（1）测量前用蒸馏水洗净并擦干传感器，插入被测液1/3深度，防杂质污染。</w:t>
      </w:r>
    </w:p>
    <w:p w14:paraId="28A2072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（2）闲置保养，洗净后浸泡于3mol/L氯化钾溶液中（保护套或容器），维持电极性能。</w:t>
      </w:r>
    </w:p>
    <w:p w14:paraId="15DFA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1B76831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（1）使用后及时安装电极保护套，保证套内海绵湿润；新传感器需在自来水中活化24小时，确保测试准确性。</w:t>
      </w:r>
    </w:p>
    <w:p w14:paraId="65200647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（2）测试时将传感器置于水中，避免长时间测试空气；测量和校准时，防止荧光膜表面附着气泡；测试中避免荧光膜头受摩擦刮伤，野外测试时膜头离水底30公分以上。</w:t>
      </w:r>
    </w:p>
    <w:p w14:paraId="162EC12B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（3）检查线缆是否绷紧或与硬物摩擦，确保正常安装时线缆处于合适状态，防止内部电线断裂或表皮破损进水。</w:t>
      </w:r>
    </w:p>
    <w:p w14:paraId="0C46A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/盐度</w:t>
      </w:r>
      <w:r>
        <w:rPr>
          <w:rFonts w:hint="eastAsia" w:ascii="宋体" w:hAnsi="宋体" w:eastAsia="宋体" w:cs="宋体"/>
          <w:b/>
          <w:bCs/>
          <w:highlight w:val="none"/>
        </w:rPr>
        <w:t>传感器</w:t>
      </w:r>
    </w:p>
    <w:p w14:paraId="123065F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（1）用软毛刷清除附着物（防划伤），蒸馏水洗净后校准。  </w:t>
      </w:r>
    </w:p>
    <w:p w14:paraId="12EF5C8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（2）根据工况调整校准频率，确保测量准确性。</w:t>
      </w:r>
    </w:p>
    <w:p w14:paraId="7B32E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在线浊度传感器</w:t>
      </w:r>
    </w:p>
    <w:p w14:paraId="6E542AF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（1）外表面清洁自来水冲洗表面，软布擦拭残留碎屑，顽固污垢可用稀释家用洗涤液清洗。  </w:t>
      </w:r>
    </w:p>
    <w:p w14:paraId="398D667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（2）线缆检查确保线缆松弛无绷紧，避免内部断裂导致故障。  </w:t>
      </w:r>
    </w:p>
    <w:p w14:paraId="087CDDC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（3）测量窗口维护检查测量窗口是否脏污，清洁刷是否正常工作。  </w:t>
      </w:r>
    </w:p>
    <w:p w14:paraId="1A4D51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4C95726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（1）摘掉电极保护套，在清水中浸泡2小时活化，去离子水洗净后测试，初次用需在清水中泡30分钟以上、12小时以内。</w:t>
      </w:r>
    </w:p>
    <w:p w14:paraId="7223691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（2）长期（超两周）不用干燥储存，套上保护帽；短期不用放清水中浸泡；几天不用用含保护液外壳保存，下次用前清水泡30分钟以上。</w:t>
      </w:r>
    </w:p>
    <w:p w14:paraId="705A9D4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（3）检查接线端子干燥情况，沾污时用无水酒精擦拭吹干。</w:t>
      </w:r>
    </w:p>
    <w:p w14:paraId="5E3C8F2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（4）PVC膜半透明或有沉积物，用蒸馏水（或去离子水）冲洗。</w:t>
      </w:r>
    </w:p>
    <w:p w14:paraId="7CD3206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（5）电极使用久出现测量误差，须进行校正。</w:t>
      </w:r>
    </w:p>
    <w:p w14:paraId="7C68B26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（6）校准时放校准液中轻晃、静置，待读数稳定（约5分钟）再校准。</w:t>
      </w:r>
    </w:p>
    <w:p w14:paraId="06BB3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在线硝酸盐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亚硝酸盐传感器</w:t>
      </w:r>
    </w:p>
    <w:p w14:paraId="781455B6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1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在蒸馏水（或去离子水）中清洗电极，吸干，不要擦干。把电极放到电极支架上。使用前，将电极前端浸在自来水中24小时。</w:t>
      </w:r>
    </w:p>
    <w:p w14:paraId="3F2911E4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2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电极使用前要保持干燥，电极的感应元件应该套入保护瓶中。在测试前，电极应在自来水中浸泡24小时，通电浸泡效果更好。如果储存过夜或更长，则应用去离子水清洗电极头部，并擦干，然后放进原来的包装内。</w:t>
      </w:r>
    </w:p>
    <w:p w14:paraId="25A02B86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3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检查接线端子处是否干燥，如有沾污，请用无水酒精擦拭，吹干后使用。应避免长期浸泡在蒸馏水或蛋白质溶液中，并防止与有机硅油脂接触。使用时间较长的电极，它的PVC膜可能变成半透明或附有沉积物，此时可用蒸馏水（或去离子水）冲洗。电极使用时间较长，出现测量误差时，须进行校正。</w:t>
      </w:r>
    </w:p>
    <w:p w14:paraId="39068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温湿度照度一体传感器</w:t>
      </w:r>
    </w:p>
    <w:p w14:paraId="15978AF3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（1）使用柔软干净的湿布擦拭传感器外壳，去除灰尘、污渍，避免影响光学部件（如照度传感器的采光面光学窗口）的性能。对于难以清除的污渍，可使用温和清洁剂，但避免清洁剂进入设备内部。</w:t>
      </w:r>
    </w:p>
    <w:p w14:paraId="189A6C05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（2）检查传感器与设备之间的连接线缆，查看是否有破损、老化、松动等情况，发现问题及时更换或紧固。检查传感器的安装支架，确保安装牢固，无晃动。</w:t>
      </w:r>
    </w:p>
    <w:p w14:paraId="08F6B6EA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（3）定期检查传感器所处环境，避免周围有发热、散热设备影响温湿度测量。远离强光源直射照度传感器，防止测量值异常。</w:t>
      </w:r>
    </w:p>
    <w:p w14:paraId="0BEDB124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（4）日常监测传感器数据，观察数据变化趋势。若出现数据异常波动或明显偏离正常范围，及时排查传感器故障，可对比附近其他同类传感器数据辅助判断。</w:t>
      </w:r>
    </w:p>
    <w:p w14:paraId="6D0EE9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电磁流量计</w:t>
      </w:r>
    </w:p>
    <w:p w14:paraId="2A58B2C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（1）定期清理电磁流量计转换器和传感器表面，去除灰尘、污垢和杂物，避免其进入设备内部影响正常运行。清理时应使用干净、柔软的布，避免刮伤设备外壳。</w:t>
      </w:r>
    </w:p>
    <w:p w14:paraId="4743DB7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经常检查连接电线电缆，查看是否有破损、老化、松动等情况。对于信号线、励磁电流线、输出与电源线等，若发现问题及时更换或修复，确保线路连接可靠，减少信号传输干扰和电气故障风险。如流量信号传输电缆若有破损，可能导致测量数据不准确 。</w:t>
      </w:r>
    </w:p>
    <w:p w14:paraId="3530DDAE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定期查看仪表参数设置，确保其与实际测量需求相符。根据使用情况和相关标准，对仪表进行校准，如模拟量输出校准，包括电流“0”点修正、满度修正和线性度检查等，保证测量精度。若测量环境或工艺发生变化，及时调整测量管道口径、流量单位、仪表量程等参数 。</w:t>
      </w:r>
    </w:p>
    <w:p w14:paraId="1D744683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定期进行仪表功能测试，如检查数字量输出（频率输出和脉冲输出）、模拟量输出、报警输出等功能是否正常。测试时可通过连接相应设备，观察输出信号是否符合预期。例如，模拟量输出可使用电流表或电压表进行测量，检查输出电流是否在规定范围内 。</w:t>
      </w:r>
    </w:p>
    <w:p w14:paraId="1812C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便携式多参数分析仪</w:t>
      </w:r>
    </w:p>
    <w:p w14:paraId="580D7483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（1）平常不用时拔掉电源插头。若有反应液体溅到载物台或仪器外壁，及时用湿抹布擦去，必要时消毒。每次使用完毕用湿抹布擦拭保持洁净。</w:t>
      </w:r>
    </w:p>
    <w:p w14:paraId="15DC193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仪器有开机自检功能，出现故障时，依据故障提示或常见故障排查方法处理。如水质检测仪不能启动，检查电源；自检不正常，查看光源灯、重新设置波长值或更换滤光片；检测结果不正确，根据具体原因更换光源灯、滤光片、试剂，排除干扰源，重新校准标定或处理样本；</w:t>
      </w:r>
    </w:p>
    <w:p w14:paraId="49E3E05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本仪器属于计量类仪器，出现检测结果超出规定范围、实验条件改变、用标准溶液检验出现误差等情形时，需使用标准溶液重新进行校准和标定，标液可选用国家标物中心发行的质控品、从厂家购买或用户自行配置（配置应严格按照对应检测项目最新版本的环境标准），以保证测定结果的准确性。</w:t>
      </w:r>
    </w:p>
    <w:p w14:paraId="6FD0F9CB">
      <w:pPr>
        <w:bidi w:val="0"/>
        <w:rPr>
          <w:rFonts w:hint="eastAsia" w:ascii="宋体" w:hAnsi="宋体" w:eastAsia="宋体" w:cs="宋体"/>
          <w:b/>
          <w:bCs/>
          <w:highlight w:val="none"/>
        </w:rPr>
      </w:pPr>
    </w:p>
    <w:p w14:paraId="448D0CBF">
      <w:pPr>
        <w:pStyle w:val="3"/>
        <w:rPr>
          <w:rFonts w:hint="eastAsia"/>
          <w:color w:val="auto"/>
          <w:highlight w:val="none"/>
        </w:rPr>
      </w:pPr>
      <w:bookmarkStart w:id="54" w:name="_Toc8070"/>
      <w:bookmarkStart w:id="55" w:name="_Toc16466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维护注意事项</w:t>
      </w:r>
      <w:bookmarkEnd w:id="54"/>
      <w:bookmarkEnd w:id="55"/>
    </w:p>
    <w:p w14:paraId="5BD99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在线全光谱多参数传感器</w:t>
      </w:r>
    </w:p>
    <w:p w14:paraId="06DD585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（1）防止传感器受到剧烈机械撞击，使用中避免对其直接施加机械应力（压力、划痕等）。</w:t>
      </w:r>
    </w:p>
    <w:p w14:paraId="3F13FC6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（2）避免传感器被阳光暴晒，不要用手触摸传感器。</w:t>
      </w:r>
    </w:p>
    <w:p w14:paraId="366CCAC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（3）测量和校准时，确保传感器表面无气泡附着。</w:t>
      </w:r>
    </w:p>
    <w:p w14:paraId="0F570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在线PH传感器</w:t>
      </w:r>
    </w:p>
    <w:p w14:paraId="5D04BD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（3）玻璃膜老化/沉积时，用稀盐酸清洗后水洗，必要时重新标定。</w:t>
      </w:r>
    </w:p>
    <w:p w14:paraId="424EC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7809251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（1）传感器含有敏感部件，安装和测量时避免其受到剧烈机械撞击。</w:t>
      </w:r>
    </w:p>
    <w:p w14:paraId="11E1ECF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（2）防止荧光帽内表面被阳光暴晒，不要用手触摸荧光膜；未做防水处理的接线端子不能没入水中，避免线缆进水影响设备正常工作。 </w:t>
      </w:r>
    </w:p>
    <w:p w14:paraId="5EDAC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/盐度</w:t>
      </w:r>
      <w:r>
        <w:rPr>
          <w:rFonts w:hint="eastAsia" w:ascii="宋体" w:hAnsi="宋体" w:eastAsia="宋体" w:cs="宋体"/>
          <w:b/>
          <w:bCs/>
          <w:highlight w:val="none"/>
        </w:rPr>
        <w:t>传感器</w:t>
      </w:r>
    </w:p>
    <w:p w14:paraId="19016FE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（1）校准与测试时电极需完全浸入标准液（无气泡），距容器底/壁≥2cm。  </w:t>
      </w:r>
    </w:p>
    <w:p w14:paraId="3C7EECC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</w:t>
      </w:r>
      <w:r>
        <w:rPr>
          <w:rFonts w:hint="eastAsia"/>
          <w:b w:val="0"/>
          <w:bCs w:val="0"/>
          <w:highlight w:val="none"/>
          <w:lang w:val="en-US" w:eastAsia="zh-CN"/>
        </w:rPr>
        <w:t>2</w:t>
      </w:r>
      <w:r>
        <w:rPr>
          <w:rFonts w:hint="eastAsia"/>
          <w:b w:val="0"/>
          <w:bCs w:val="0"/>
          <w:highlight w:val="none"/>
          <w:lang w:eastAsia="zh-CN"/>
        </w:rPr>
        <w:t xml:space="preserve">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</w:t>
      </w:r>
      <w:r>
        <w:rPr>
          <w:rFonts w:hint="eastAsia"/>
          <w:b w:val="0"/>
          <w:bCs w:val="0"/>
          <w:highlight w:val="none"/>
          <w:lang w:val="en-US" w:eastAsia="zh-CN"/>
        </w:rPr>
        <w:t>3</w:t>
      </w:r>
      <w:r>
        <w:rPr>
          <w:rFonts w:hint="eastAsia"/>
          <w:b w:val="0"/>
          <w:bCs w:val="0"/>
          <w:highlight w:val="none"/>
          <w:lang w:eastAsia="zh-CN"/>
        </w:rPr>
        <w:t xml:space="preserve">）避免与有机硅油脂接触。  </w:t>
      </w:r>
    </w:p>
    <w:p w14:paraId="21A74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在线浊度传感器</w:t>
      </w:r>
    </w:p>
    <w:p w14:paraId="0F34520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（1）使用时取下保护套，闲置时及时安装，防止探头划伤。  </w:t>
      </w:r>
    </w:p>
    <w:p w14:paraId="02E4551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（2）避免探头附着气泡，保持探头离容器底/壁≥100mm。  </w:t>
      </w:r>
    </w:p>
    <w:p w14:paraId="1ABBE5D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（3）避免剧烈撞击，防止光学/电子部件损坏。  </w:t>
      </w:r>
    </w:p>
    <w:p w14:paraId="3BAABB0E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（4）禁止在含荧光物质的容器中测试，防止干扰。  </w:t>
      </w:r>
    </w:p>
    <w:p w14:paraId="2428B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507B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（1）膜头用去离子水清洗，勿碰伤，测量时距底部至少2cm，敏感膜内无气泡，可轻敲除泡。</w:t>
      </w:r>
    </w:p>
    <w:p w14:paraId="4A92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3BB1A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（3）检查通讯时，两电极须浸泡在溶液中。</w:t>
      </w:r>
    </w:p>
    <w:p w14:paraId="0777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（4）标液有使用次数限制，1mg/L的2次/瓶、10mg/L的4次/瓶、100mg/L的6次/瓶。</w:t>
      </w:r>
    </w:p>
    <w:p w14:paraId="73B04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（5）注意保护参比电极外漏白色布条，勿揪出损坏。 </w:t>
      </w:r>
    </w:p>
    <w:p w14:paraId="6A762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（6）防止电极长期浸泡在蒸馏水或蛋白质溶液中，避免与有机硅油脂接触。</w:t>
      </w:r>
    </w:p>
    <w:p w14:paraId="37F55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在线硝酸盐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亚硝酸盐传感器</w:t>
      </w:r>
    </w:p>
    <w:p w14:paraId="53E3428D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（1）初次使用请在自来水中浸泡24小时,使电极敏感膜充分活化。</w:t>
      </w:r>
    </w:p>
    <w:p w14:paraId="507CEB9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（2）电极测量膜头清洗使用去离子水，不要用硬物触碰测量膜头，避免划伤；测量时膜头距离底部保持至少2cm；使用时敏感膜内不能有气泡，可用手轻敲传感器外壳，消除气泡。</w:t>
      </w:r>
    </w:p>
    <w:p w14:paraId="636808C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（3）校准时请将传感器放入校准液中轻轻晃动，静置，待读数稳定（大约5分钟）方可进行校准。</w:t>
      </w:r>
    </w:p>
    <w:p w14:paraId="2925A83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（4）电极短期不用请放入自来水中浸泡保存。</w:t>
      </w:r>
    </w:p>
    <w:p w14:paraId="24B30B5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（5）电极几天不用请使用内置保护液的外壳保存，下次使用前进行24小时在自来水中浸泡活化；勿长期浸泡在纯水中。</w:t>
      </w:r>
    </w:p>
    <w:p w14:paraId="03C7D04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6）避免将传感器放置于有腐蚀性的液体中或能腐蚀PVC的溶液中。例如强酸。不要将传感器放置于酮类有机物，饱和有机物的溶液中。例如四氢呋喃、蛋白质溶液。不要将传感器放置于有强烈的电磁辐射，核辐射的环境中。</w:t>
      </w:r>
    </w:p>
    <w:p w14:paraId="238DA69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（7）除非电极前端的pvc膜变成半透明或附有沉积物，否则不要用蒸馏水浸泡电极膜头。</w:t>
      </w:r>
    </w:p>
    <w:p w14:paraId="0C3D635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（8）一些成分比较复杂的液体中也不建议长期放置。例如海水、电镀废水等。</w:t>
      </w:r>
    </w:p>
    <w:p w14:paraId="1E0E8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温湿度照度CO2/一体传感器</w:t>
      </w:r>
    </w:p>
    <w:p w14:paraId="7A9A48B7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（1）维护时小心操作，避免传感器受到撞击或摔落，防止损坏内部敏感元件。</w:t>
      </w:r>
    </w:p>
    <w:p w14:paraId="077410E1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（2）避免传感器接触腐蚀性物质、化学试剂等，防止敏感元件被腐蚀，影响测量精度和使用寿命。</w:t>
      </w:r>
    </w:p>
    <w:p w14:paraId="31C8AFA9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（3）非专业人员不要自行拆解传感器，以免损坏内部精密部件或造成电气故障。若设备出现故障，应联系专业维修人员。</w:t>
      </w:r>
    </w:p>
    <w:p w14:paraId="7FF53B57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（4）部分传感器不具备防水功能，维护时避免水分进入传感器内部。若在潮湿环境中使用，需做好防水措施，如安装防水罩、使用密封胶等。</w:t>
      </w:r>
    </w:p>
    <w:p w14:paraId="5A02C16D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（5）维护人员需熟悉传感器的使用手册和维护规范，按照正确的步骤进行清洁、校准等操作，确保维护工作安全、有效。 </w:t>
      </w:r>
    </w:p>
    <w:p w14:paraId="2E609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电磁流量计</w:t>
      </w:r>
    </w:p>
    <w:p w14:paraId="149BB5B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应由专业人员进行设备操作和维护，操作前需熟悉设备说明书和操作规程。进行参数设置、密码修改、故障处理等操作时，严格按照规定步骤进行，避免误操作导致设备损坏或测量不准确。如修改密码时要牢记新密码，丢失密码可能影响设备正常使用 。</w:t>
      </w:r>
    </w:p>
    <w:p w14:paraId="3FF6EB63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（2）电磁流量计应在规定的环境条件下使用和存放。环境温度应控制在一体型 -10～+60℃，相对湿度在5%～90% 。避免设备在强电磁场干扰源附近使用，防止干扰测量信号。存放时要选择防雨、防潮、机械振动小且避免冲击的室内环境，温度范围 -20～+60℃，湿度不大于80% 。</w:t>
      </w:r>
    </w:p>
    <w:p w14:paraId="47EE80C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（3）电磁流量转换器的印刷电路板采用表面焊接技术，用户不能打开转换器壳体，以免损坏内部电路或影响设备性能。若设备出现故障，应联系专业维修人员进行检修 。</w:t>
      </w:r>
    </w:p>
    <w:p w14:paraId="255300F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设备出现故障时，如仪表无显示、励磁报警、空管报警、测量流量不准确等，应根据故障提示和说明书进行排查。例如，仪表无显示时，检查电源是否接通、保险丝是否完好、供电电压是否符合要求；励磁报警时，检查励磁接线、传感器励磁线圈电阻等。对于无法自行解决的故障，及时联系厂家售后或专业维修机构，不得擅自拆解修理 。 </w:t>
      </w:r>
    </w:p>
    <w:p w14:paraId="456E1CB3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5）安装电磁流量计时，要保证进出口有足够的直管段距离，一般上游为10倍管道内径，下游为5倍管道内径。水平安装时电极轴线近似水平，避免安装在水泵进口处、管道最高点或可能出现不满管的位置。安装位置应方便读数和操作，防止暴晒、过大温差和滴漏，合理支撑流量计，避免其作为负重支撑点 。 </w:t>
      </w:r>
    </w:p>
    <w:p w14:paraId="005C15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便携式多参数分析仪</w:t>
      </w:r>
    </w:p>
    <w:p w14:paraId="326F4DC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（1）仪器的维修需要专业人员操作，非专业人员请勿自行维修。维修或因其他原因拆卸外壳时必须切断电源。</w:t>
      </w:r>
    </w:p>
    <w:p w14:paraId="6EF5924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0C99345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768C9BB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（4）请勿让任何溶剂、油脂类、腐蚀性物质接触仪器。仪器使用期限为6年，效期结束后按规定处理或联系回收，避免污染环境。 </w:t>
      </w:r>
    </w:p>
    <w:p w14:paraId="57923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color w:val="auto"/>
          <w:highlight w:val="none"/>
          <w:lang w:val="en-US" w:eastAsia="zh-CN"/>
        </w:rPr>
      </w:pPr>
    </w:p>
    <w:p w14:paraId="6BF7C3AC">
      <w:pPr>
        <w:pStyle w:val="2"/>
        <w:bidi w:val="0"/>
        <w:ind w:left="672" w:leftChars="0" w:firstLineChars="0"/>
        <w:rPr>
          <w:rFonts w:hint="default"/>
          <w:color w:val="auto"/>
          <w:highlight w:val="none"/>
          <w:lang w:val="en-US" w:eastAsia="zh-CN"/>
        </w:rPr>
      </w:pPr>
      <w:bookmarkStart w:id="56" w:name="_Toc18219"/>
      <w:bookmarkStart w:id="57" w:name="_Toc20617"/>
      <w:r>
        <w:rPr>
          <w:rFonts w:hint="eastAsia"/>
          <w:color w:val="auto"/>
          <w:highlight w:val="none"/>
          <w:lang w:val="en-US" w:eastAsia="zh-CN"/>
        </w:rPr>
        <w:t>案例展示</w:t>
      </w:r>
      <w:bookmarkEnd w:id="56"/>
      <w:bookmarkEnd w:id="57"/>
    </w:p>
    <w:p w14:paraId="2CEB0EF8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58" w:name="_Toc15442"/>
      <w:r>
        <w:rPr>
          <w:rFonts w:hint="eastAsia"/>
          <w:highlight w:val="none"/>
          <w:lang w:val="en-US" w:eastAsia="zh-CN"/>
        </w:rPr>
        <w:t>案例1：广西南宁某循环水养殖厂水质监测项目</w:t>
      </w:r>
      <w:bookmarkEnd w:id="58"/>
    </w:p>
    <w:p w14:paraId="09511CF1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解决方案：23套多参数水质监测模块</w:t>
      </w:r>
    </w:p>
    <w:p w14:paraId="5FC55292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监测指标：PH、溶解氧、电导率和氨氮</w:t>
      </w:r>
    </w:p>
    <w:p w14:paraId="7AEEAC63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2329815" cy="3103880"/>
            <wp:effectExtent l="0" t="0" r="13335" b="1270"/>
            <wp:docPr id="12" name="图片 12" descr="806ebcc8237277f975214bf3a568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6ebcc8237277f975214bf3a568e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2322830" cy="3095625"/>
            <wp:effectExtent l="0" t="0" r="8890" b="13335"/>
            <wp:docPr id="13" name="图片 13" descr="b04230758bc5e9010b3d9f876f8e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04230758bc5e9010b3d9f876f8e41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DD23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59" w:name="_Toc90"/>
      <w:r>
        <w:rPr>
          <w:rFonts w:hint="eastAsia"/>
          <w:highlight w:val="none"/>
          <w:lang w:val="en-US" w:eastAsia="zh-CN"/>
        </w:rPr>
        <w:t>案例2：海南某循环水养殖厂水质监测项目</w:t>
      </w:r>
      <w:bookmarkEnd w:id="59"/>
    </w:p>
    <w:p w14:paraId="5E6B3954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解决方案：16套水质监测传感器</w:t>
      </w:r>
    </w:p>
    <w:p w14:paraId="32AA9178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监测指标：PH、溶解氧、电导率、浊度、氨氮、硝酸盐</w:t>
      </w:r>
    </w:p>
    <w:p w14:paraId="66FFFAF5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2254250" cy="1625600"/>
            <wp:effectExtent l="0" t="0" r="1270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2182495" cy="1623695"/>
            <wp:effectExtent l="0" t="0" r="12065" b="698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F5B3B">
    <w:pPr>
      <w:pStyle w:val="12"/>
      <w:rPr>
        <w:rFonts w:hint="eastAsia"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0D0AF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61EA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67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E70C4"/>
    <w:rsid w:val="002438FD"/>
    <w:rsid w:val="003B326D"/>
    <w:rsid w:val="008753CB"/>
    <w:rsid w:val="008D7448"/>
    <w:rsid w:val="00A10114"/>
    <w:rsid w:val="00A30227"/>
    <w:rsid w:val="02471C19"/>
    <w:rsid w:val="042230D0"/>
    <w:rsid w:val="09DF435C"/>
    <w:rsid w:val="0CEE4FE7"/>
    <w:rsid w:val="0CF05FA0"/>
    <w:rsid w:val="10F90898"/>
    <w:rsid w:val="12AE6653"/>
    <w:rsid w:val="1456008E"/>
    <w:rsid w:val="15F8304F"/>
    <w:rsid w:val="15FB79DC"/>
    <w:rsid w:val="194F0133"/>
    <w:rsid w:val="1FC12670"/>
    <w:rsid w:val="1FE35C4B"/>
    <w:rsid w:val="23697AD1"/>
    <w:rsid w:val="25E76B6C"/>
    <w:rsid w:val="2D5A4622"/>
    <w:rsid w:val="2DFB0CBC"/>
    <w:rsid w:val="2E0A78C1"/>
    <w:rsid w:val="30971051"/>
    <w:rsid w:val="31CC72D6"/>
    <w:rsid w:val="39224C24"/>
    <w:rsid w:val="3B4D1978"/>
    <w:rsid w:val="3CAD2E9B"/>
    <w:rsid w:val="416830A7"/>
    <w:rsid w:val="41E23AAD"/>
    <w:rsid w:val="4283171C"/>
    <w:rsid w:val="45AD3DC6"/>
    <w:rsid w:val="47456875"/>
    <w:rsid w:val="4C1226FC"/>
    <w:rsid w:val="4C3A2DA8"/>
    <w:rsid w:val="4DA8648A"/>
    <w:rsid w:val="4F4F1584"/>
    <w:rsid w:val="583E1918"/>
    <w:rsid w:val="5A9164F8"/>
    <w:rsid w:val="5C2514E6"/>
    <w:rsid w:val="5D015BB7"/>
    <w:rsid w:val="635A3649"/>
    <w:rsid w:val="636B69F0"/>
    <w:rsid w:val="63AE3C76"/>
    <w:rsid w:val="64065861"/>
    <w:rsid w:val="67917192"/>
    <w:rsid w:val="67F154D3"/>
    <w:rsid w:val="741C56E9"/>
    <w:rsid w:val="752B5C1E"/>
    <w:rsid w:val="799F35BE"/>
    <w:rsid w:val="79D160D3"/>
    <w:rsid w:val="7C20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ind w:left="432" w:hanging="432"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1"/>
        <w:numId w:val="1"/>
      </w:numPr>
      <w:ind w:left="575" w:hanging="575"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1"/>
      </w:numPr>
      <w:ind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numPr>
        <w:ilvl w:val="3"/>
        <w:numId w:val="1"/>
      </w:numPr>
      <w:ind w:left="0" w:firstLine="720" w:firstLineChars="200"/>
      <w:outlineLvl w:val="3"/>
    </w:pPr>
    <w:rPr>
      <w:rFonts w:cstheme="majorBidi"/>
      <w:b/>
      <w:color w:val="auto"/>
      <w:sz w:val="28"/>
      <w:szCs w:val="28"/>
    </w:rPr>
  </w:style>
  <w:style w:type="paragraph" w:styleId="6">
    <w:name w:val="heading 5"/>
    <w:basedOn w:val="5"/>
    <w:next w:val="1"/>
    <w:link w:val="26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 w:firstLineChars="0"/>
      <w:outlineLvl w:val="4"/>
    </w:pPr>
    <w:rPr>
      <w:rFonts w:ascii="宋体" w:hAnsi="宋体" w:eastAsia="宋体"/>
      <w:color w:val="auto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left="1151" w:hanging="1151"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left="1296" w:hanging="1296"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numPr>
        <w:ilvl w:val="7"/>
        <w:numId w:val="1"/>
      </w:numPr>
      <w:ind w:left="1440" w:hanging="1440"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numPr>
        <w:ilvl w:val="8"/>
        <w:numId w:val="1"/>
      </w:numPr>
      <w:ind w:left="1583" w:hanging="1583"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/>
      <w:u w:val="single"/>
    </w:rPr>
  </w:style>
  <w:style w:type="character" w:customStyle="1" w:styleId="22">
    <w:name w:val="标题 1 字符"/>
    <w:basedOn w:val="20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3">
    <w:name w:val="标题 2 字符"/>
    <w:basedOn w:val="20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4">
    <w:name w:val="标题 3 字符"/>
    <w:basedOn w:val="20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0">
    <w:name w:val="页脚 字符"/>
    <w:basedOn w:val="20"/>
    <w:link w:val="12"/>
    <w:qFormat/>
    <w:uiPriority w:val="99"/>
    <w:rPr>
      <w:sz w:val="18"/>
      <w:szCs w:val="18"/>
    </w:rPr>
  </w:style>
  <w:style w:type="paragraph" w:customStyle="1" w:styleId="4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2">
    <w:name w:val="列出段落1"/>
    <w:basedOn w:val="1"/>
    <w:qFormat/>
    <w:uiPriority w:val="34"/>
    <w:pPr>
      <w:suppressAutoHyphens/>
      <w:ind w:firstLine="420"/>
      <w:jc w:val="left"/>
    </w:pPr>
    <w:rPr>
      <w:rFonts w:ascii="Times" w:hAnsi="Times" w:cs="Times New Roman"/>
      <w:kern w:val="1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3917</Words>
  <Characters>4434</Characters>
  <Lines>1</Lines>
  <Paragraphs>1</Paragraphs>
  <TotalTime>1</TotalTime>
  <ScaleCrop>false</ScaleCrop>
  <LinksUpToDate>false</LinksUpToDate>
  <CharactersWithSpaces>4513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2025-07-25T03:26:54Z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