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3C4C8F">
      <w:pPr>
        <w:ind w:firstLine="480"/>
        <w:rPr>
          <w:rFonts w:hint="eastAsia"/>
        </w:rPr>
      </w:pPr>
    </w:p>
    <w:p w14:paraId="4151E091">
      <w:pPr>
        <w:ind w:firstLine="480"/>
        <w:rPr>
          <w:rFonts w:hint="eastAsia"/>
        </w:rPr>
      </w:pPr>
    </w:p>
    <w:p w14:paraId="7D20F39D">
      <w:pPr>
        <w:ind w:firstLine="480"/>
        <w:rPr>
          <w:rFonts w:hint="eastAsia"/>
        </w:rPr>
      </w:pPr>
    </w:p>
    <w:p w14:paraId="742EBF2D">
      <w:pPr>
        <w:ind w:firstLine="0" w:firstLineChars="0"/>
        <w:jc w:val="center"/>
        <w:rPr>
          <w:rFonts w:hint="eastAsia"/>
          <w:b/>
          <w:bCs/>
          <w:sz w:val="52"/>
          <w:szCs w:val="52"/>
        </w:rPr>
      </w:pPr>
      <w:r>
        <w:rPr>
          <w:rFonts w:hint="eastAsia"/>
          <w:b/>
          <w:bCs/>
          <w:sz w:val="52"/>
          <w:szCs w:val="52"/>
        </w:rPr>
        <w:t>管网和污水行业细分场景</w:t>
      </w:r>
    </w:p>
    <w:p w14:paraId="406905FA">
      <w:pPr>
        <w:ind w:firstLine="0" w:firstLineChars="0"/>
        <w:jc w:val="right"/>
        <w:rPr>
          <w:rFonts w:hint="eastAsia"/>
          <w:b/>
          <w:bCs/>
          <w:sz w:val="52"/>
          <w:szCs w:val="52"/>
        </w:rPr>
      </w:pPr>
      <w:r>
        <w:rPr>
          <w:rFonts w:hint="eastAsia"/>
          <w:b/>
          <w:bCs/>
          <w:sz w:val="52"/>
          <w:szCs w:val="52"/>
        </w:rPr>
        <w:t>——智慧排水管网末梢监测方案</w:t>
      </w:r>
    </w:p>
    <w:p w14:paraId="18171F90">
      <w:pPr>
        <w:ind w:firstLine="480"/>
        <w:rPr>
          <w:rFonts w:hint="eastAsia"/>
        </w:rPr>
      </w:pPr>
    </w:p>
    <w:p w14:paraId="4A22A5B0">
      <w:pPr>
        <w:ind w:firstLine="480"/>
        <w:rPr>
          <w:rFonts w:hint="eastAsia"/>
        </w:rPr>
      </w:pPr>
    </w:p>
    <w:p w14:paraId="2E3B2AA1">
      <w:pPr>
        <w:ind w:firstLine="480"/>
        <w:rPr>
          <w:rFonts w:hint="eastAsia"/>
        </w:rPr>
      </w:pPr>
    </w:p>
    <w:p w14:paraId="2EDF263A">
      <w:pPr>
        <w:ind w:firstLine="480"/>
        <w:rPr>
          <w:rFonts w:hint="eastAsia"/>
        </w:rPr>
      </w:pPr>
    </w:p>
    <w:p w14:paraId="41CA3A57">
      <w:pPr>
        <w:ind w:firstLine="480"/>
        <w:rPr>
          <w:rFonts w:hint="eastAsia"/>
        </w:rPr>
      </w:pPr>
    </w:p>
    <w:p w14:paraId="062CE916">
      <w:pPr>
        <w:ind w:firstLine="480"/>
        <w:rPr>
          <w:rFonts w:hint="eastAsia"/>
        </w:rPr>
      </w:pPr>
    </w:p>
    <w:p w14:paraId="03F69D6E">
      <w:pPr>
        <w:ind w:firstLine="480"/>
        <w:rPr>
          <w:rFonts w:hint="eastAsia"/>
        </w:rPr>
      </w:pPr>
    </w:p>
    <w:p w14:paraId="27022D6D">
      <w:pPr>
        <w:ind w:firstLine="480"/>
        <w:rPr>
          <w:rFonts w:hint="eastAsia"/>
        </w:rPr>
      </w:pPr>
    </w:p>
    <w:p w14:paraId="1995655F">
      <w:pPr>
        <w:ind w:firstLine="480"/>
        <w:rPr>
          <w:rFonts w:hint="eastAsia"/>
        </w:rPr>
      </w:pPr>
    </w:p>
    <w:p w14:paraId="135EBEE3">
      <w:pPr>
        <w:ind w:firstLine="480"/>
        <w:rPr>
          <w:rFonts w:hint="eastAsia"/>
        </w:rPr>
      </w:pPr>
    </w:p>
    <w:p w14:paraId="34CDC7FB">
      <w:pPr>
        <w:ind w:firstLine="480"/>
        <w:rPr>
          <w:rFonts w:hint="eastAsia"/>
        </w:rPr>
      </w:pPr>
    </w:p>
    <w:p w14:paraId="557DC6E4">
      <w:pPr>
        <w:ind w:firstLine="480"/>
        <w:rPr>
          <w:rFonts w:hint="eastAsia"/>
        </w:rPr>
      </w:pPr>
    </w:p>
    <w:p w14:paraId="55440972">
      <w:pPr>
        <w:ind w:firstLine="480"/>
        <w:rPr>
          <w:rFonts w:hint="eastAsia"/>
        </w:rPr>
      </w:pPr>
    </w:p>
    <w:p w14:paraId="2E2B347B">
      <w:pPr>
        <w:ind w:firstLine="480"/>
        <w:rPr>
          <w:rFonts w:hint="eastAsia"/>
        </w:rPr>
      </w:pPr>
    </w:p>
    <w:p w14:paraId="4A8912E6">
      <w:pPr>
        <w:ind w:firstLine="480"/>
        <w:rPr>
          <w:rFonts w:hint="eastAsia"/>
        </w:rPr>
      </w:pPr>
    </w:p>
    <w:p w14:paraId="07A6CE96">
      <w:pPr>
        <w:ind w:firstLine="480"/>
        <w:rPr>
          <w:rFonts w:hint="eastAsia"/>
        </w:rPr>
      </w:pPr>
    </w:p>
    <w:p w14:paraId="254FF97B">
      <w:pPr>
        <w:ind w:firstLine="480"/>
        <w:rPr>
          <w:rFonts w:hint="eastAsia"/>
        </w:rPr>
      </w:pPr>
    </w:p>
    <w:p w14:paraId="0822A4E0">
      <w:pPr>
        <w:ind w:firstLine="480"/>
        <w:rPr>
          <w:rFonts w:hint="eastAsia"/>
        </w:rPr>
      </w:pPr>
    </w:p>
    <w:p w14:paraId="341BD9E7">
      <w:pPr>
        <w:ind w:firstLine="480"/>
        <w:rPr>
          <w:rFonts w:hint="eastAsia"/>
        </w:rPr>
      </w:pPr>
    </w:p>
    <w:p w14:paraId="2B83330F">
      <w:pPr>
        <w:ind w:firstLine="480"/>
        <w:rPr>
          <w:rFonts w:hint="eastAsia"/>
        </w:rPr>
      </w:pPr>
    </w:p>
    <w:p w14:paraId="634A8C81">
      <w:pPr>
        <w:ind w:firstLine="0" w:firstLineChars="0"/>
        <w:jc w:val="center"/>
        <w:rPr>
          <w:rFonts w:hint="eastAsia"/>
          <w:b/>
          <w:bCs/>
          <w:sz w:val="40"/>
          <w:szCs w:val="40"/>
          <w:lang w:val="zh-CN"/>
        </w:rPr>
      </w:pPr>
      <w:r>
        <w:rPr>
          <w:b/>
          <w:bCs/>
          <w:sz w:val="40"/>
          <w:szCs w:val="40"/>
        </w:rPr>
        <w:t>202</w:t>
      </w:r>
      <w:r>
        <w:rPr>
          <w:rFonts w:hint="eastAsia"/>
          <w:b/>
          <w:bCs/>
          <w:sz w:val="40"/>
          <w:szCs w:val="40"/>
        </w:rPr>
        <w:t>5</w:t>
      </w:r>
      <w:r>
        <w:rPr>
          <w:b/>
          <w:bCs/>
          <w:sz w:val="40"/>
          <w:szCs w:val="40"/>
          <w:lang w:val="zh-CN"/>
        </w:rPr>
        <w:t>年</w:t>
      </w:r>
      <w:r>
        <w:rPr>
          <w:rFonts w:hint="eastAsia"/>
          <w:b/>
          <w:bCs/>
          <w:sz w:val="40"/>
          <w:szCs w:val="40"/>
        </w:rPr>
        <w:t>2</w:t>
      </w:r>
      <w:r>
        <w:rPr>
          <w:b/>
          <w:bCs/>
          <w:sz w:val="40"/>
          <w:szCs w:val="40"/>
          <w:lang w:val="zh-CN"/>
        </w:rPr>
        <w:t>月</w:t>
      </w:r>
    </w:p>
    <w:p w14:paraId="3DFD2AB2">
      <w:pPr>
        <w:ind w:firstLine="480"/>
        <w:rPr>
          <w:rFonts w:hint="eastAsia"/>
        </w:rPr>
      </w:pPr>
    </w:p>
    <w:p w14:paraId="345BD5D7">
      <w:pPr>
        <w:ind w:firstLine="480"/>
        <w:rPr>
          <w:rFonts w:hint="eastAsia"/>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docGrid w:type="lines" w:linePitch="312" w:charSpace="0"/>
        </w:sectPr>
      </w:pPr>
    </w:p>
    <w:p w14:paraId="42277784">
      <w:pPr>
        <w:ind w:firstLine="480"/>
        <w:rPr>
          <w:rFonts w:hint="eastAsia"/>
        </w:rPr>
      </w:pPr>
    </w:p>
    <w:sdt>
      <w:sdtPr>
        <w:rPr>
          <w:b/>
          <w:bCs/>
          <w:sz w:val="36"/>
          <w:szCs w:val="36"/>
        </w:rPr>
        <w:id w:val="147462421"/>
        <w15:color w:val="DBDBDB"/>
        <w:docPartObj>
          <w:docPartGallery w:val="Table of Contents"/>
          <w:docPartUnique/>
        </w:docPartObj>
      </w:sdtPr>
      <w:sdtEndPr>
        <w:rPr>
          <w:rFonts w:hint="eastAsia"/>
          <w:b/>
          <w:bCs/>
          <w:sz w:val="24"/>
          <w:szCs w:val="24"/>
        </w:rPr>
      </w:sdtEndPr>
      <w:sdtContent>
        <w:p w14:paraId="7F20D7B2">
          <w:pPr>
            <w:spacing w:line="240" w:lineRule="auto"/>
            <w:ind w:firstLine="0" w:firstLineChars="0"/>
            <w:jc w:val="center"/>
            <w:rPr>
              <w:rFonts w:hint="eastAsia"/>
              <w:b/>
              <w:bCs/>
              <w:sz w:val="36"/>
              <w:szCs w:val="36"/>
            </w:rPr>
          </w:pPr>
          <w:r>
            <w:rPr>
              <w:b/>
              <w:bCs/>
              <w:sz w:val="36"/>
              <w:szCs w:val="36"/>
            </w:rPr>
            <w:t>目录</w:t>
          </w:r>
        </w:p>
        <w:p w14:paraId="29FFB237">
          <w:pPr>
            <w:pStyle w:val="14"/>
            <w:tabs>
              <w:tab w:val="right" w:leader="dot" w:pos="8306"/>
            </w:tabs>
            <w:ind w:firstLine="480"/>
            <w:rPr>
              <w:rFonts w:hint="eastAsia"/>
            </w:rPr>
          </w:pPr>
          <w:r>
            <w:rPr>
              <w:rFonts w:hint="eastAsia"/>
            </w:rPr>
            <w:fldChar w:fldCharType="begin"/>
          </w:r>
          <w:r>
            <w:rPr>
              <w:rFonts w:hint="eastAsia"/>
            </w:rPr>
            <w:instrText xml:space="preserve">TOC \o "1-3" \h \u </w:instrText>
          </w:r>
          <w:r>
            <w:rPr>
              <w:rFonts w:hint="eastAsia"/>
            </w:rPr>
            <w:fldChar w:fldCharType="separate"/>
          </w:r>
          <w:r>
            <w:fldChar w:fldCharType="begin"/>
          </w:r>
          <w:r>
            <w:instrText xml:space="preserve"> HYPERLINK \l "_Toc23144" </w:instrText>
          </w:r>
          <w:r>
            <w:fldChar w:fldCharType="separate"/>
          </w:r>
          <w:r>
            <w:rPr>
              <w:rFonts w:hint="eastAsia"/>
            </w:rPr>
            <w:t>一、 公司简介</w:t>
          </w:r>
          <w:r>
            <w:tab/>
          </w:r>
          <w:r>
            <w:fldChar w:fldCharType="begin"/>
          </w:r>
          <w:r>
            <w:instrText xml:space="preserve"> PAGEREF _Toc23144 \h </w:instrText>
          </w:r>
          <w:r>
            <w:fldChar w:fldCharType="separate"/>
          </w:r>
          <w:r>
            <w:t>2</w:t>
          </w:r>
          <w:r>
            <w:fldChar w:fldCharType="end"/>
          </w:r>
          <w:r>
            <w:fldChar w:fldCharType="end"/>
          </w:r>
        </w:p>
        <w:p w14:paraId="5164A6D8">
          <w:pPr>
            <w:pStyle w:val="14"/>
            <w:tabs>
              <w:tab w:val="right" w:leader="dot" w:pos="8306"/>
            </w:tabs>
            <w:ind w:firstLine="480"/>
            <w:rPr>
              <w:rFonts w:hint="eastAsia"/>
            </w:rPr>
          </w:pPr>
          <w:r>
            <w:fldChar w:fldCharType="begin"/>
          </w:r>
          <w:r>
            <w:instrText xml:space="preserve"> HYPERLINK \l "_Toc20425" </w:instrText>
          </w:r>
          <w:r>
            <w:fldChar w:fldCharType="separate"/>
          </w:r>
          <w:r>
            <w:rPr>
              <w:rFonts w:hint="eastAsia"/>
            </w:rPr>
            <w:t>二、 智慧排水管网末梢监测概述</w:t>
          </w:r>
          <w:r>
            <w:tab/>
          </w:r>
          <w:r>
            <w:fldChar w:fldCharType="begin"/>
          </w:r>
          <w:r>
            <w:instrText xml:space="preserve"> PAGEREF _Toc20425 \h </w:instrText>
          </w:r>
          <w:r>
            <w:fldChar w:fldCharType="separate"/>
          </w:r>
          <w:r>
            <w:t>3</w:t>
          </w:r>
          <w:r>
            <w:fldChar w:fldCharType="end"/>
          </w:r>
          <w:r>
            <w:fldChar w:fldCharType="end"/>
          </w:r>
        </w:p>
        <w:p w14:paraId="1D619585">
          <w:pPr>
            <w:pStyle w:val="16"/>
            <w:tabs>
              <w:tab w:val="right" w:leader="dot" w:pos="8306"/>
            </w:tabs>
            <w:ind w:left="480" w:firstLine="480"/>
            <w:rPr>
              <w:rFonts w:hint="eastAsia"/>
            </w:rPr>
          </w:pPr>
          <w:r>
            <w:fldChar w:fldCharType="begin"/>
          </w:r>
          <w:r>
            <w:instrText xml:space="preserve"> HYPERLINK \l "_Toc3381" </w:instrText>
          </w:r>
          <w:r>
            <w:fldChar w:fldCharType="separate"/>
          </w:r>
          <w:r>
            <w:rPr>
              <w:rFonts w:hint="eastAsia"/>
            </w:rPr>
            <w:t>2.1. 管网和污水行业背景</w:t>
          </w:r>
          <w:r>
            <w:tab/>
          </w:r>
          <w:r>
            <w:fldChar w:fldCharType="begin"/>
          </w:r>
          <w:r>
            <w:instrText xml:space="preserve"> PAGEREF _Toc3381 \h </w:instrText>
          </w:r>
          <w:r>
            <w:fldChar w:fldCharType="separate"/>
          </w:r>
          <w:r>
            <w:t>3</w:t>
          </w:r>
          <w:r>
            <w:fldChar w:fldCharType="end"/>
          </w:r>
          <w:r>
            <w:fldChar w:fldCharType="end"/>
          </w:r>
        </w:p>
        <w:p w14:paraId="43B1DC1E">
          <w:pPr>
            <w:pStyle w:val="16"/>
            <w:tabs>
              <w:tab w:val="right" w:leader="dot" w:pos="8306"/>
            </w:tabs>
            <w:ind w:left="480" w:firstLine="480"/>
            <w:rPr>
              <w:rFonts w:hint="eastAsia"/>
            </w:rPr>
          </w:pPr>
          <w:r>
            <w:fldChar w:fldCharType="begin"/>
          </w:r>
          <w:r>
            <w:instrText xml:space="preserve"> HYPERLINK \l "_Toc15413" </w:instrText>
          </w:r>
          <w:r>
            <w:fldChar w:fldCharType="separate"/>
          </w:r>
          <w:r>
            <w:rPr>
              <w:rFonts w:hint="eastAsia"/>
            </w:rPr>
            <w:t>2.2. 智慧排水管网末梢监测特点</w:t>
          </w:r>
          <w:r>
            <w:tab/>
          </w:r>
          <w:r>
            <w:fldChar w:fldCharType="begin"/>
          </w:r>
          <w:r>
            <w:instrText xml:space="preserve"> PAGEREF _Toc15413 \h </w:instrText>
          </w:r>
          <w:r>
            <w:fldChar w:fldCharType="separate"/>
          </w:r>
          <w:r>
            <w:t>4</w:t>
          </w:r>
          <w:r>
            <w:fldChar w:fldCharType="end"/>
          </w:r>
          <w:r>
            <w:fldChar w:fldCharType="end"/>
          </w:r>
        </w:p>
        <w:p w14:paraId="19564BB5">
          <w:pPr>
            <w:pStyle w:val="14"/>
            <w:tabs>
              <w:tab w:val="right" w:leader="dot" w:pos="8306"/>
            </w:tabs>
            <w:ind w:firstLine="480"/>
            <w:rPr>
              <w:rFonts w:hint="eastAsia"/>
            </w:rPr>
          </w:pPr>
          <w:r>
            <w:fldChar w:fldCharType="begin"/>
          </w:r>
          <w:r>
            <w:instrText xml:space="preserve"> HYPERLINK \l "_Toc31134" </w:instrText>
          </w:r>
          <w:r>
            <w:fldChar w:fldCharType="separate"/>
          </w:r>
          <w:r>
            <w:rPr>
              <w:rFonts w:hint="eastAsia"/>
            </w:rPr>
            <w:t>三、 建设方案设计</w:t>
          </w:r>
          <w:r>
            <w:tab/>
          </w:r>
          <w:r>
            <w:fldChar w:fldCharType="begin"/>
          </w:r>
          <w:r>
            <w:instrText xml:space="preserve"> PAGEREF _Toc31134 \h </w:instrText>
          </w:r>
          <w:r>
            <w:fldChar w:fldCharType="separate"/>
          </w:r>
          <w:r>
            <w:t>6</w:t>
          </w:r>
          <w:r>
            <w:fldChar w:fldCharType="end"/>
          </w:r>
          <w:r>
            <w:fldChar w:fldCharType="end"/>
          </w:r>
        </w:p>
        <w:p w14:paraId="1EA32C4F">
          <w:pPr>
            <w:pStyle w:val="16"/>
            <w:tabs>
              <w:tab w:val="right" w:leader="dot" w:pos="8306"/>
            </w:tabs>
            <w:ind w:left="480" w:firstLine="480"/>
            <w:rPr>
              <w:rFonts w:hint="eastAsia"/>
            </w:rPr>
          </w:pPr>
          <w:r>
            <w:fldChar w:fldCharType="begin"/>
          </w:r>
          <w:r>
            <w:instrText xml:space="preserve"> HYPERLINK \l "_Toc8599" </w:instrText>
          </w:r>
          <w:r>
            <w:fldChar w:fldCharType="separate"/>
          </w:r>
          <w:r>
            <w:rPr>
              <w:rFonts w:hint="eastAsia"/>
            </w:rPr>
            <w:t>3.1. 系统框架图</w:t>
          </w:r>
          <w:r>
            <w:tab/>
          </w:r>
          <w:r>
            <w:fldChar w:fldCharType="begin"/>
          </w:r>
          <w:r>
            <w:instrText xml:space="preserve"> PAGEREF _Toc8599 \h </w:instrText>
          </w:r>
          <w:r>
            <w:fldChar w:fldCharType="separate"/>
          </w:r>
          <w:r>
            <w:t>6</w:t>
          </w:r>
          <w:r>
            <w:fldChar w:fldCharType="end"/>
          </w:r>
          <w:r>
            <w:fldChar w:fldCharType="end"/>
          </w:r>
        </w:p>
        <w:p w14:paraId="74E78619">
          <w:pPr>
            <w:pStyle w:val="16"/>
            <w:tabs>
              <w:tab w:val="right" w:leader="dot" w:pos="8306"/>
            </w:tabs>
            <w:ind w:left="480" w:firstLine="480"/>
            <w:rPr>
              <w:rFonts w:hint="eastAsia"/>
            </w:rPr>
          </w:pPr>
          <w:r>
            <w:fldChar w:fldCharType="begin"/>
          </w:r>
          <w:r>
            <w:instrText xml:space="preserve"> HYPERLINK \l "_Toc2751" </w:instrText>
          </w:r>
          <w:r>
            <w:fldChar w:fldCharType="separate"/>
          </w:r>
          <w:r>
            <w:rPr>
              <w:rFonts w:hint="eastAsia"/>
            </w:rPr>
            <w:t>3.2. 设备选型策略</w:t>
          </w:r>
          <w:r>
            <w:tab/>
          </w:r>
          <w:r>
            <w:fldChar w:fldCharType="begin"/>
          </w:r>
          <w:r>
            <w:instrText xml:space="preserve"> PAGEREF _Toc2751 \h </w:instrText>
          </w:r>
          <w:r>
            <w:fldChar w:fldCharType="separate"/>
          </w:r>
          <w:r>
            <w:t>6</w:t>
          </w:r>
          <w:r>
            <w:fldChar w:fldCharType="end"/>
          </w:r>
          <w:r>
            <w:fldChar w:fldCharType="end"/>
          </w:r>
        </w:p>
        <w:p w14:paraId="71105E25">
          <w:pPr>
            <w:pStyle w:val="14"/>
            <w:tabs>
              <w:tab w:val="right" w:leader="dot" w:pos="8306"/>
            </w:tabs>
            <w:ind w:firstLine="480"/>
            <w:rPr>
              <w:rFonts w:hint="eastAsia"/>
            </w:rPr>
          </w:pPr>
          <w:r>
            <w:fldChar w:fldCharType="begin"/>
          </w:r>
          <w:r>
            <w:instrText xml:space="preserve"> HYPERLINK \l "_Toc26370" </w:instrText>
          </w:r>
          <w:r>
            <w:fldChar w:fldCharType="separate"/>
          </w:r>
          <w:r>
            <w:rPr>
              <w:rFonts w:hint="eastAsia"/>
            </w:rPr>
            <w:t>四、 产品介绍</w:t>
          </w:r>
          <w:r>
            <w:tab/>
          </w:r>
          <w:r>
            <w:fldChar w:fldCharType="begin"/>
          </w:r>
          <w:r>
            <w:instrText xml:space="preserve"> PAGEREF _Toc26370 \h </w:instrText>
          </w:r>
          <w:r>
            <w:fldChar w:fldCharType="separate"/>
          </w:r>
          <w:r>
            <w:t>7</w:t>
          </w:r>
          <w:r>
            <w:fldChar w:fldCharType="end"/>
          </w:r>
          <w:r>
            <w:fldChar w:fldCharType="end"/>
          </w:r>
        </w:p>
        <w:p w14:paraId="1BF8B565">
          <w:pPr>
            <w:pStyle w:val="16"/>
            <w:tabs>
              <w:tab w:val="right" w:leader="dot" w:pos="8306"/>
            </w:tabs>
            <w:ind w:left="480" w:firstLine="480"/>
            <w:rPr>
              <w:rFonts w:hint="eastAsia"/>
            </w:rPr>
          </w:pPr>
          <w:r>
            <w:fldChar w:fldCharType="begin"/>
          </w:r>
          <w:r>
            <w:instrText xml:space="preserve"> HYPERLINK \l "_Toc6714" </w:instrText>
          </w:r>
          <w:r>
            <w:fldChar w:fldCharType="separate"/>
          </w:r>
          <w:r>
            <w:rPr>
              <w:rFonts w:hint="eastAsia"/>
            </w:rPr>
            <w:t>4.1. 技术参数</w:t>
          </w:r>
          <w:r>
            <w:tab/>
          </w:r>
          <w:r>
            <w:fldChar w:fldCharType="begin"/>
          </w:r>
          <w:r>
            <w:instrText xml:space="preserve"> PAGEREF _Toc6714 \h </w:instrText>
          </w:r>
          <w:r>
            <w:fldChar w:fldCharType="separate"/>
          </w:r>
          <w:r>
            <w:t>8</w:t>
          </w:r>
          <w:r>
            <w:fldChar w:fldCharType="end"/>
          </w:r>
          <w:r>
            <w:fldChar w:fldCharType="end"/>
          </w:r>
        </w:p>
        <w:p w14:paraId="2F539239">
          <w:pPr>
            <w:pStyle w:val="16"/>
            <w:tabs>
              <w:tab w:val="right" w:leader="dot" w:pos="8306"/>
            </w:tabs>
            <w:ind w:left="480" w:firstLine="480"/>
            <w:rPr>
              <w:rFonts w:hint="eastAsia"/>
            </w:rPr>
          </w:pPr>
          <w:r>
            <w:fldChar w:fldCharType="begin"/>
          </w:r>
          <w:r>
            <w:instrText xml:space="preserve"> HYPERLINK \l "_Toc15098" </w:instrText>
          </w:r>
          <w:r>
            <w:fldChar w:fldCharType="separate"/>
          </w:r>
          <w:r>
            <w:rPr>
              <w:rFonts w:hint="eastAsia"/>
            </w:rPr>
            <w:t>4.2. 场景适应性</w:t>
          </w:r>
          <w:r>
            <w:tab/>
          </w:r>
          <w:r>
            <w:fldChar w:fldCharType="begin"/>
          </w:r>
          <w:r>
            <w:instrText xml:space="preserve"> PAGEREF _Toc15098 \h </w:instrText>
          </w:r>
          <w:r>
            <w:fldChar w:fldCharType="separate"/>
          </w:r>
          <w:r>
            <w:t>10</w:t>
          </w:r>
          <w:r>
            <w:fldChar w:fldCharType="end"/>
          </w:r>
          <w:r>
            <w:fldChar w:fldCharType="end"/>
          </w:r>
        </w:p>
        <w:p w14:paraId="341D66D4">
          <w:pPr>
            <w:pStyle w:val="14"/>
            <w:tabs>
              <w:tab w:val="right" w:leader="dot" w:pos="8306"/>
            </w:tabs>
            <w:ind w:firstLine="480"/>
            <w:rPr>
              <w:rFonts w:hint="eastAsia"/>
            </w:rPr>
          </w:pPr>
          <w:r>
            <w:fldChar w:fldCharType="begin"/>
          </w:r>
          <w:r>
            <w:instrText xml:space="preserve"> HYPERLINK \l "_Toc12844" </w:instrText>
          </w:r>
          <w:r>
            <w:fldChar w:fldCharType="separate"/>
          </w:r>
          <w:r>
            <w:rPr>
              <w:rFonts w:hint="eastAsia"/>
            </w:rPr>
            <w:t>五、 设备寿命及维护</w:t>
          </w:r>
          <w:r>
            <w:tab/>
          </w:r>
          <w:r>
            <w:fldChar w:fldCharType="begin"/>
          </w:r>
          <w:r>
            <w:instrText xml:space="preserve"> PAGEREF _Toc12844 \h </w:instrText>
          </w:r>
          <w:r>
            <w:fldChar w:fldCharType="separate"/>
          </w:r>
          <w:r>
            <w:t>12</w:t>
          </w:r>
          <w:r>
            <w:fldChar w:fldCharType="end"/>
          </w:r>
          <w:r>
            <w:fldChar w:fldCharType="end"/>
          </w:r>
        </w:p>
        <w:p w14:paraId="66FEAFDA">
          <w:pPr>
            <w:pStyle w:val="16"/>
            <w:tabs>
              <w:tab w:val="right" w:leader="dot" w:pos="8306"/>
            </w:tabs>
            <w:ind w:left="480" w:firstLine="480"/>
            <w:rPr>
              <w:rFonts w:hint="eastAsia"/>
            </w:rPr>
          </w:pPr>
          <w:r>
            <w:fldChar w:fldCharType="begin"/>
          </w:r>
          <w:r>
            <w:instrText xml:space="preserve"> HYPERLINK \l "_Toc26165" </w:instrText>
          </w:r>
          <w:r>
            <w:fldChar w:fldCharType="separate"/>
          </w:r>
          <w:r>
            <w:rPr>
              <w:rFonts w:hint="eastAsia"/>
            </w:rPr>
            <w:t>5.1. 设备寿命周期与维护周期表</w:t>
          </w:r>
          <w:r>
            <w:tab/>
          </w:r>
          <w:r>
            <w:fldChar w:fldCharType="begin"/>
          </w:r>
          <w:r>
            <w:instrText xml:space="preserve"> PAGEREF _Toc26165 \h </w:instrText>
          </w:r>
          <w:r>
            <w:fldChar w:fldCharType="separate"/>
          </w:r>
          <w:r>
            <w:t>12</w:t>
          </w:r>
          <w:r>
            <w:fldChar w:fldCharType="end"/>
          </w:r>
          <w:r>
            <w:fldChar w:fldCharType="end"/>
          </w:r>
        </w:p>
        <w:p w14:paraId="53AD1A0E">
          <w:pPr>
            <w:pStyle w:val="16"/>
            <w:tabs>
              <w:tab w:val="right" w:leader="dot" w:pos="8306"/>
            </w:tabs>
            <w:ind w:left="480" w:firstLine="480"/>
            <w:rPr>
              <w:rFonts w:hint="eastAsia"/>
            </w:rPr>
          </w:pPr>
          <w:r>
            <w:fldChar w:fldCharType="begin"/>
          </w:r>
          <w:r>
            <w:instrText xml:space="preserve"> HYPERLINK \l "_Toc19311" </w:instrText>
          </w:r>
          <w:r>
            <w:fldChar w:fldCharType="separate"/>
          </w:r>
          <w:r>
            <w:rPr>
              <w:rFonts w:hint="eastAsia"/>
            </w:rPr>
            <w:t>5.2. 设备日常维护</w:t>
          </w:r>
          <w:r>
            <w:tab/>
          </w:r>
          <w:r>
            <w:fldChar w:fldCharType="begin"/>
          </w:r>
          <w:r>
            <w:instrText xml:space="preserve"> PAGEREF _Toc19311 \h </w:instrText>
          </w:r>
          <w:r>
            <w:fldChar w:fldCharType="separate"/>
          </w:r>
          <w:r>
            <w:t>12</w:t>
          </w:r>
          <w:r>
            <w:fldChar w:fldCharType="end"/>
          </w:r>
          <w:r>
            <w:fldChar w:fldCharType="end"/>
          </w:r>
        </w:p>
        <w:p w14:paraId="32CD7F73">
          <w:pPr>
            <w:pStyle w:val="16"/>
            <w:tabs>
              <w:tab w:val="right" w:leader="dot" w:pos="8306"/>
            </w:tabs>
            <w:ind w:left="480" w:firstLine="480"/>
            <w:rPr>
              <w:rFonts w:hint="eastAsia"/>
            </w:rPr>
          </w:pPr>
          <w:r>
            <w:fldChar w:fldCharType="begin"/>
          </w:r>
          <w:r>
            <w:instrText xml:space="preserve"> HYPERLINK \l "_Toc27951" </w:instrText>
          </w:r>
          <w:r>
            <w:fldChar w:fldCharType="separate"/>
          </w:r>
          <w:r>
            <w:rPr>
              <w:rFonts w:hint="eastAsia"/>
            </w:rPr>
            <w:t>5.3. 设备维护注意事项</w:t>
          </w:r>
          <w:r>
            <w:tab/>
          </w:r>
          <w:r>
            <w:fldChar w:fldCharType="begin"/>
          </w:r>
          <w:r>
            <w:instrText xml:space="preserve"> PAGEREF _Toc27951 \h </w:instrText>
          </w:r>
          <w:r>
            <w:fldChar w:fldCharType="separate"/>
          </w:r>
          <w:r>
            <w:t>15</w:t>
          </w:r>
          <w:r>
            <w:fldChar w:fldCharType="end"/>
          </w:r>
          <w:r>
            <w:fldChar w:fldCharType="end"/>
          </w:r>
        </w:p>
        <w:p w14:paraId="109F3BFE">
          <w:pPr>
            <w:pStyle w:val="14"/>
            <w:tabs>
              <w:tab w:val="right" w:leader="dot" w:pos="8306"/>
            </w:tabs>
            <w:ind w:firstLine="480"/>
            <w:rPr>
              <w:rFonts w:hint="eastAsia"/>
            </w:rPr>
          </w:pPr>
          <w:r>
            <w:fldChar w:fldCharType="begin"/>
          </w:r>
          <w:r>
            <w:instrText xml:space="preserve"> HYPERLINK \l "_Toc21337" </w:instrText>
          </w:r>
          <w:r>
            <w:fldChar w:fldCharType="separate"/>
          </w:r>
          <w:r>
            <w:rPr>
              <w:rFonts w:hint="eastAsia"/>
            </w:rPr>
            <w:t>六、 案例展示</w:t>
          </w:r>
          <w:r>
            <w:tab/>
          </w:r>
          <w:r>
            <w:fldChar w:fldCharType="begin"/>
          </w:r>
          <w:r>
            <w:instrText xml:space="preserve"> PAGEREF _Toc21337 \h </w:instrText>
          </w:r>
          <w:r>
            <w:fldChar w:fldCharType="separate"/>
          </w:r>
          <w:r>
            <w:t>19</w:t>
          </w:r>
          <w:r>
            <w:fldChar w:fldCharType="end"/>
          </w:r>
          <w:r>
            <w:fldChar w:fldCharType="end"/>
          </w:r>
        </w:p>
        <w:p w14:paraId="47CD3140">
          <w:pPr>
            <w:ind w:firstLine="480"/>
            <w:rPr>
              <w:rFonts w:hint="eastAsia"/>
            </w:rPr>
          </w:pPr>
          <w:r>
            <w:rPr>
              <w:rFonts w:hint="eastAsia"/>
            </w:rPr>
            <w:fldChar w:fldCharType="end"/>
          </w:r>
        </w:p>
      </w:sdtContent>
    </w:sdt>
    <w:p w14:paraId="25E74403">
      <w:pPr>
        <w:ind w:firstLine="480"/>
        <w:rPr>
          <w:rFonts w:hint="eastAsia"/>
        </w:rPr>
      </w:pPr>
    </w:p>
    <w:p w14:paraId="3428DFD0">
      <w:pPr>
        <w:ind w:firstLine="480"/>
        <w:rPr>
          <w:rFonts w:hint="eastAsia"/>
        </w:rPr>
        <w:sectPr>
          <w:headerReference r:id="rId11" w:type="default"/>
          <w:footerReference r:id="rId12" w:type="default"/>
          <w:pgSz w:w="11906" w:h="16838"/>
          <w:pgMar w:top="1440" w:right="1800" w:bottom="1440" w:left="1800" w:header="851" w:footer="992" w:gutter="0"/>
          <w:pgNumType w:start="1"/>
          <w:cols w:space="425" w:num="1"/>
          <w:docGrid w:type="lines" w:linePitch="312" w:charSpace="0"/>
        </w:sectPr>
      </w:pPr>
    </w:p>
    <w:p w14:paraId="1F1EF54C">
      <w:pPr>
        <w:pStyle w:val="2"/>
        <w:rPr>
          <w:rFonts w:hint="eastAsia"/>
        </w:rPr>
      </w:pPr>
      <w:bookmarkStart w:id="0" w:name="_Toc3865"/>
      <w:bookmarkStart w:id="1" w:name="_Toc23144"/>
      <w:r>
        <w:rPr>
          <w:rFonts w:hint="eastAsia"/>
        </w:rPr>
        <w:t>公司简介</w:t>
      </w:r>
      <w:bookmarkEnd w:id="0"/>
      <w:bookmarkEnd w:id="1"/>
    </w:p>
    <w:p w14:paraId="01B52A12">
      <w:pPr>
        <w:ind w:firstLine="480"/>
        <w:rPr>
          <w:rFonts w:hint="eastAsia"/>
        </w:rPr>
      </w:pPr>
    </w:p>
    <w:p w14:paraId="1E1BB6A1">
      <w:pPr>
        <w:ind w:firstLine="0" w:firstLineChars="0"/>
        <w:jc w:val="center"/>
        <w:rPr>
          <w:rFonts w:hint="eastAsia"/>
        </w:rPr>
      </w:pPr>
      <w:r>
        <w:drawing>
          <wp:inline distT="0" distB="0" distL="0" distR="0">
            <wp:extent cx="4585970" cy="3395980"/>
            <wp:effectExtent l="0" t="0" r="1270"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cstate="print"/>
                    <a:stretch>
                      <a:fillRect/>
                    </a:stretch>
                  </pic:blipFill>
                  <pic:spPr>
                    <a:xfrm>
                      <a:off x="0" y="0"/>
                      <a:ext cx="4585970" cy="3395980"/>
                    </a:xfrm>
                    <a:prstGeom prst="rect">
                      <a:avLst/>
                    </a:prstGeom>
                  </pic:spPr>
                </pic:pic>
              </a:graphicData>
            </a:graphic>
          </wp:inline>
        </w:drawing>
      </w:r>
    </w:p>
    <w:p w14:paraId="2839F9E9">
      <w:pPr>
        <w:ind w:firstLine="0" w:firstLineChars="0"/>
        <w:jc w:val="left"/>
        <w:rPr>
          <w:rFonts w:hint="eastAsia"/>
        </w:rPr>
      </w:pPr>
    </w:p>
    <w:p w14:paraId="53352BB2">
      <w:pPr>
        <w:ind w:firstLine="480"/>
        <w:rPr>
          <w:rFonts w:hint="eastAsia"/>
        </w:rPr>
      </w:pPr>
      <w:r>
        <w:rPr>
          <w:rFonts w:hint="eastAsia"/>
          <w:highlight w:val="none"/>
          <w:lang w:val="en-US" w:eastAsia="zh-CN"/>
        </w:rPr>
        <w:t>青岛精诚仪器仪表</w:t>
      </w:r>
      <w:r>
        <w:rPr>
          <w:rFonts w:hint="eastAsia"/>
          <w:highlight w:val="none"/>
        </w:rPr>
        <w:t>有限公司（简称</w:t>
      </w:r>
      <w:r>
        <w:rPr>
          <w:rFonts w:hint="eastAsia"/>
          <w:highlight w:val="none"/>
          <w:lang w:val="en-US" w:eastAsia="zh-CN"/>
        </w:rPr>
        <w:t>青岛精诚</w:t>
      </w:r>
      <w:r>
        <w:rPr>
          <w:rFonts w:hint="eastAsia"/>
          <w:highlight w:val="none"/>
        </w:rPr>
        <w:t>）</w:t>
      </w:r>
      <w:r>
        <w:rPr>
          <w:rFonts w:hint="eastAsia"/>
        </w:rPr>
        <w:t>，是一家专业从事生态环境、水利水务、工业过程控制、智慧农业、海洋监测等应用的水质分析仪器研发制造商，以自主研发生产的水质自动监测仪器为核心，应用自动化控制与系统集成技术，为客户提供自动化、智能化的环境监测系统解决方案，并为客户提供环境监测设施的第三方运营服务。</w:t>
      </w:r>
    </w:p>
    <w:p w14:paraId="39DA3384">
      <w:pPr>
        <w:ind w:firstLine="480"/>
        <w:rPr>
          <w:rFonts w:hint="eastAsia"/>
        </w:rPr>
      </w:pPr>
      <w:r>
        <w:rPr>
          <w:rFonts w:hint="eastAsia"/>
          <w:lang w:val="en-US" w:eastAsia="zh-CN"/>
        </w:rPr>
        <w:t>我公司</w:t>
      </w:r>
      <w:r>
        <w:rPr>
          <w:rFonts w:hint="eastAsia"/>
        </w:rPr>
        <w:t>拥有完善的研发、生产、销售和技术服务团队，是国内水质数字传感领导品牌，为国内近百个市、县（区）政府和生态环境部门提供水环境监测技术支撑。</w:t>
      </w:r>
    </w:p>
    <w:p w14:paraId="02F71F5B">
      <w:pPr>
        <w:ind w:firstLine="480"/>
        <w:rPr>
          <w:rFonts w:hint="eastAsia"/>
        </w:rPr>
      </w:pPr>
    </w:p>
    <w:p w14:paraId="5D7A95B6">
      <w:pPr>
        <w:ind w:firstLine="480"/>
        <w:rPr>
          <w:rFonts w:hint="eastAsia"/>
        </w:rPr>
        <w:sectPr>
          <w:pgSz w:w="11906" w:h="16838"/>
          <w:pgMar w:top="1440" w:right="1800" w:bottom="1440" w:left="1800" w:header="851" w:footer="992" w:gutter="0"/>
          <w:cols w:space="425" w:num="1"/>
          <w:docGrid w:type="lines" w:linePitch="312" w:charSpace="0"/>
        </w:sectPr>
      </w:pPr>
    </w:p>
    <w:p w14:paraId="42CE550A">
      <w:pPr>
        <w:pStyle w:val="2"/>
        <w:rPr>
          <w:rFonts w:hint="eastAsia"/>
        </w:rPr>
      </w:pPr>
      <w:bookmarkStart w:id="2" w:name="_Toc20425"/>
      <w:bookmarkStart w:id="3" w:name="_Toc28553"/>
      <w:r>
        <w:rPr>
          <w:rFonts w:hint="eastAsia"/>
        </w:rPr>
        <w:t>智慧排水管网末梢监测概述</w:t>
      </w:r>
      <w:bookmarkEnd w:id="2"/>
      <w:bookmarkEnd w:id="3"/>
    </w:p>
    <w:p w14:paraId="00A13D06">
      <w:pPr>
        <w:pStyle w:val="3"/>
        <w:rPr>
          <w:rFonts w:hint="eastAsia"/>
        </w:rPr>
      </w:pPr>
      <w:bookmarkStart w:id="4" w:name="_Toc3381"/>
      <w:r>
        <w:rPr>
          <w:rFonts w:hint="eastAsia"/>
        </w:rPr>
        <w:t>智慧排水管网末梢监测背景</w:t>
      </w:r>
      <w:bookmarkEnd w:id="4"/>
    </w:p>
    <w:p w14:paraId="44AEC13B">
      <w:pPr>
        <w:pStyle w:val="5"/>
        <w:keepNext w:val="0"/>
        <w:keepLines w:val="0"/>
        <w:widowControl/>
        <w:numPr>
          <w:ilvl w:val="3"/>
          <w:numId w:val="0"/>
        </w:numPr>
        <w:rPr>
          <w:rFonts w:hint="eastAsia"/>
          <w:sz w:val="24"/>
          <w:szCs w:val="24"/>
        </w:rPr>
      </w:pPr>
      <w:r>
        <w:rPr>
          <w:rFonts w:hint="eastAsia"/>
          <w:sz w:val="24"/>
          <w:szCs w:val="24"/>
        </w:rPr>
        <w:t>1.</w:t>
      </w:r>
      <w:r>
        <w:rPr>
          <w:rStyle w:val="22"/>
          <w:b/>
          <w:sz w:val="24"/>
          <w:szCs w:val="24"/>
        </w:rPr>
        <w:t>政策支持背景</w:t>
      </w:r>
    </w:p>
    <w:p w14:paraId="1CDF9A53">
      <w:pPr>
        <w:widowControl/>
        <w:ind w:firstLine="480"/>
        <w:jc w:val="left"/>
        <w:rPr>
          <w:rFonts w:hint="eastAsia"/>
        </w:rPr>
      </w:pPr>
      <w:r>
        <w:rPr>
          <w:kern w:val="0"/>
          <w:lang w:bidi="ar"/>
        </w:rPr>
        <w:t>我国城市发展已经进入增量建设和存量更新并重的阶段，地下管网作为城市的重要“生命线”，承担着保障城市公共安全和民生保障的重要任务。近年来，国家发改委等相关部门高度重视地下管网的建设与改造，将其作为城市更新和新型城镇化建设的重点内容。</w:t>
      </w:r>
    </w:p>
    <w:p w14:paraId="49302151">
      <w:pPr>
        <w:pStyle w:val="5"/>
        <w:keepNext w:val="0"/>
        <w:keepLines w:val="0"/>
        <w:widowControl/>
        <w:numPr>
          <w:ilvl w:val="3"/>
          <w:numId w:val="0"/>
        </w:numPr>
        <w:rPr>
          <w:rFonts w:hint="eastAsia"/>
          <w:sz w:val="24"/>
          <w:szCs w:val="24"/>
        </w:rPr>
      </w:pPr>
      <w:r>
        <w:rPr>
          <w:rFonts w:hint="eastAsia"/>
          <w:sz w:val="24"/>
          <w:szCs w:val="24"/>
        </w:rPr>
        <w:t>2.</w:t>
      </w:r>
      <w:r>
        <w:rPr>
          <w:sz w:val="24"/>
          <w:szCs w:val="24"/>
        </w:rPr>
        <w:t>政策与资金支持</w:t>
      </w:r>
    </w:p>
    <w:p w14:paraId="567AFEFC">
      <w:pPr>
        <w:widowControl/>
        <w:ind w:firstLine="482"/>
        <w:jc w:val="left"/>
        <w:rPr>
          <w:rFonts w:hint="eastAsia"/>
        </w:rPr>
      </w:pPr>
      <w:r>
        <w:rPr>
          <w:rStyle w:val="22"/>
          <w:kern w:val="0"/>
          <w:lang w:bidi="ar"/>
        </w:rPr>
        <w:t>资金投入</w:t>
      </w:r>
      <w:r>
        <w:rPr>
          <w:kern w:val="0"/>
          <w:lang w:bidi="ar"/>
        </w:rPr>
        <w:t>：2023-2024年，国家发改委安排中央预算内投资、增发国债资金和超长期特别国债资金共超过4700亿元，重点支持城市燃气、排水等地下管网改造和城镇老旧小区改造等城市更新项目</w:t>
      </w:r>
      <w:r>
        <w:rPr>
          <w:rFonts w:hint="eastAsia"/>
          <w:kern w:val="0"/>
          <w:lang w:bidi="ar"/>
        </w:rPr>
        <w:t>。</w:t>
      </w:r>
    </w:p>
    <w:p w14:paraId="4794EC3A">
      <w:pPr>
        <w:widowControl/>
        <w:ind w:firstLine="0" w:firstLineChars="0"/>
        <w:jc w:val="left"/>
        <w:rPr>
          <w:rFonts w:hint="eastAsia"/>
        </w:rPr>
      </w:pPr>
      <w:r>
        <w:rPr>
          <w:rFonts w:hint="eastAsia"/>
        </w:rPr>
        <w:t xml:space="preserve">  </w:t>
      </w:r>
      <w:r>
        <w:rPr>
          <w:rStyle w:val="22"/>
          <w:kern w:val="0"/>
          <w:lang w:bidi="ar"/>
        </w:rPr>
        <w:t>未来规划</w:t>
      </w:r>
      <w:r>
        <w:rPr>
          <w:kern w:val="0"/>
          <w:lang w:bidi="ar"/>
        </w:rPr>
        <w:t>：预计未来五年，需要改造的城市燃气、供排水、供热等各类管网总量将近60万公里，投资总需求约4万亿元</w:t>
      </w:r>
    </w:p>
    <w:p w14:paraId="37374F61">
      <w:pPr>
        <w:widowControl/>
        <w:ind w:firstLine="241" w:firstLineChars="100"/>
        <w:jc w:val="left"/>
        <w:rPr>
          <w:rFonts w:hint="eastAsia"/>
        </w:rPr>
      </w:pPr>
      <w:r>
        <w:rPr>
          <w:rStyle w:val="22"/>
          <w:kern w:val="0"/>
          <w:lang w:bidi="ar"/>
        </w:rPr>
        <w:t>持续支持</w:t>
      </w:r>
      <w:r>
        <w:rPr>
          <w:kern w:val="0"/>
          <w:lang w:bidi="ar"/>
        </w:rPr>
        <w:t>：2025年及今后几年，城市更新仍是政府投资的重点，城市燃气、供排水、供热等管网建设将继续得到中央预算内投资的支持</w:t>
      </w:r>
      <w:r>
        <w:rPr>
          <w:rFonts w:hint="eastAsia"/>
        </w:rPr>
        <w:t xml:space="preserve"> </w:t>
      </w:r>
    </w:p>
    <w:p w14:paraId="5FECFBB3">
      <w:pPr>
        <w:widowControl/>
        <w:ind w:firstLine="482"/>
        <w:jc w:val="left"/>
        <w:rPr>
          <w:rFonts w:hint="eastAsia"/>
        </w:rPr>
      </w:pPr>
      <w:r>
        <w:rPr>
          <w:rStyle w:val="22"/>
        </w:rPr>
        <w:t>实施策略</w:t>
      </w:r>
    </w:p>
    <w:p w14:paraId="2180FC76">
      <w:pPr>
        <w:widowControl/>
        <w:ind w:firstLine="482"/>
        <w:jc w:val="left"/>
        <w:rPr>
          <w:rFonts w:hint="eastAsia"/>
        </w:rPr>
      </w:pPr>
      <w:r>
        <w:rPr>
          <w:rStyle w:val="22"/>
          <w:kern w:val="0"/>
          <w:lang w:bidi="ar"/>
        </w:rPr>
        <w:t>分类推进</w:t>
      </w:r>
      <w:r>
        <w:rPr>
          <w:kern w:val="0"/>
          <w:lang w:bidi="ar"/>
        </w:rPr>
        <w:t>：按照短期消除安全隐患、中期推进老化设施更新、长期完善设施功能的工作思路，优先推进涉及重大公共安全和重要民生保障的城市管网安全提升、老旧居住区宜居改造等工程建设</w:t>
      </w:r>
    </w:p>
    <w:p w14:paraId="6C620D10">
      <w:pPr>
        <w:widowControl/>
        <w:ind w:firstLine="482"/>
        <w:jc w:val="left"/>
        <w:rPr>
          <w:rFonts w:hint="eastAsia"/>
        </w:rPr>
      </w:pPr>
      <w:r>
        <w:rPr>
          <w:rStyle w:val="22"/>
          <w:kern w:val="0"/>
          <w:lang w:bidi="ar"/>
        </w:rPr>
        <w:t>创新融资模式</w:t>
      </w:r>
      <w:r>
        <w:rPr>
          <w:kern w:val="0"/>
          <w:lang w:bidi="ar"/>
        </w:rPr>
        <w:t>：为吸引更多资金投入，国家发改委将探索创新融资模式，包括政府和社会资本合作（PPP）新机制、基础设施REITs等，形成政府引导、市场运作、全社会参与的可持续更新改造模式</w:t>
      </w:r>
      <w:r>
        <w:rPr>
          <w:rFonts w:hint="eastAsia"/>
          <w:kern w:val="0"/>
          <w:lang w:bidi="ar"/>
        </w:rPr>
        <w:t>。</w:t>
      </w:r>
    </w:p>
    <w:p w14:paraId="089C029F">
      <w:pPr>
        <w:pStyle w:val="5"/>
        <w:keepNext w:val="0"/>
        <w:keepLines w:val="0"/>
        <w:widowControl/>
        <w:numPr>
          <w:ilvl w:val="3"/>
          <w:numId w:val="0"/>
        </w:numPr>
        <w:rPr>
          <w:rFonts w:hint="eastAsia"/>
          <w:sz w:val="24"/>
          <w:szCs w:val="24"/>
        </w:rPr>
      </w:pPr>
      <w:r>
        <w:rPr>
          <w:rFonts w:hint="eastAsia"/>
          <w:sz w:val="24"/>
          <w:szCs w:val="24"/>
        </w:rPr>
        <w:t>3.智慧排水管网末梢监测的价值与</w:t>
      </w:r>
      <w:r>
        <w:rPr>
          <w:sz w:val="24"/>
          <w:szCs w:val="24"/>
        </w:rPr>
        <w:t>意义</w:t>
      </w:r>
    </w:p>
    <w:p w14:paraId="641D3F23">
      <w:pPr>
        <w:widowControl/>
        <w:ind w:firstLine="482"/>
        <w:jc w:val="left"/>
        <w:rPr>
          <w:rStyle w:val="22"/>
          <w:rFonts w:hint="eastAsia"/>
          <w:kern w:val="0"/>
          <w:lang w:bidi="ar"/>
        </w:rPr>
      </w:pPr>
      <w:r>
        <w:rPr>
          <w:rStyle w:val="22"/>
          <w:rFonts w:hint="eastAsia"/>
          <w:kern w:val="0"/>
          <w:lang w:bidi="ar"/>
        </w:rPr>
        <w:t>（1）预警功能</w:t>
      </w:r>
    </w:p>
    <w:p w14:paraId="510C1674">
      <w:pPr>
        <w:widowControl/>
        <w:ind w:firstLine="480"/>
        <w:jc w:val="left"/>
        <w:rPr>
          <w:rStyle w:val="22"/>
          <w:rFonts w:hint="eastAsia"/>
          <w:b w:val="0"/>
          <w:bCs/>
          <w:kern w:val="0"/>
          <w:lang w:bidi="ar"/>
        </w:rPr>
      </w:pPr>
      <w:r>
        <w:rPr>
          <w:rStyle w:val="22"/>
          <w:rFonts w:hint="eastAsia"/>
          <w:b w:val="0"/>
          <w:bCs/>
          <w:kern w:val="0"/>
          <w:lang w:bidi="ar"/>
        </w:rPr>
        <w:t>实时风险防控：通过实时监测排水管网末梢水质（如pH值、COD、氨氮等指标），可快速发现突发污染事件（如管道破裂、非法排污等），提前预警可能对下游水体、生态环境及居民健康造成的威胁。</w:t>
      </w:r>
    </w:p>
    <w:p w14:paraId="57C639D4">
      <w:pPr>
        <w:widowControl/>
        <w:ind w:firstLine="480"/>
        <w:jc w:val="left"/>
        <w:rPr>
          <w:rStyle w:val="22"/>
          <w:rFonts w:hint="eastAsia"/>
          <w:b w:val="0"/>
          <w:bCs/>
          <w:kern w:val="0"/>
          <w:lang w:bidi="ar"/>
        </w:rPr>
      </w:pPr>
      <w:r>
        <w:rPr>
          <w:rStyle w:val="22"/>
          <w:rFonts w:hint="eastAsia"/>
          <w:b w:val="0"/>
          <w:bCs/>
          <w:kern w:val="0"/>
          <w:lang w:bidi="ar"/>
        </w:rPr>
        <w:t>例如，暴雨期间管网超负荷运行时，预警系统可及时提示溢流风险，避免污水直排河道。</w:t>
      </w:r>
    </w:p>
    <w:p w14:paraId="6AA5641D">
      <w:pPr>
        <w:widowControl/>
        <w:ind w:firstLine="480"/>
        <w:jc w:val="left"/>
        <w:rPr>
          <w:rStyle w:val="22"/>
          <w:rFonts w:hint="eastAsia"/>
          <w:b w:val="0"/>
          <w:bCs/>
          <w:kern w:val="0"/>
          <w:lang w:bidi="ar"/>
        </w:rPr>
      </w:pPr>
      <w:r>
        <w:rPr>
          <w:rStyle w:val="22"/>
          <w:rFonts w:hint="eastAsia"/>
          <w:b w:val="0"/>
          <w:bCs/>
          <w:kern w:val="0"/>
          <w:lang w:bidi="ar"/>
        </w:rPr>
        <w:t>减少污染扩散：早期预警能缩短污染响应时间，通过关闭阀门、启动应急处理设施等措施，最大限度减少污染物扩散范围，降低治理成本。</w:t>
      </w:r>
    </w:p>
    <w:p w14:paraId="65FE8E2A">
      <w:pPr>
        <w:widowControl/>
        <w:ind w:firstLine="480"/>
        <w:jc w:val="left"/>
        <w:rPr>
          <w:rStyle w:val="22"/>
          <w:rFonts w:hint="eastAsia"/>
          <w:b w:val="0"/>
          <w:bCs/>
          <w:kern w:val="0"/>
          <w:lang w:bidi="ar"/>
        </w:rPr>
      </w:pPr>
      <w:r>
        <w:rPr>
          <w:rStyle w:val="22"/>
          <w:rFonts w:hint="eastAsia"/>
          <w:b w:val="0"/>
          <w:bCs/>
          <w:kern w:val="0"/>
          <w:lang w:bidi="ar"/>
        </w:rPr>
        <w:t>优化应急管理：预警数据为应急决策提供科学依据，帮助制定针对性措施（如分流污染、调度处理厂），提升城市排水系统的韧性。</w:t>
      </w:r>
    </w:p>
    <w:p w14:paraId="71A0D518">
      <w:pPr>
        <w:widowControl/>
        <w:ind w:firstLine="482"/>
        <w:jc w:val="left"/>
        <w:rPr>
          <w:rStyle w:val="22"/>
          <w:rFonts w:hint="eastAsia"/>
          <w:kern w:val="0"/>
          <w:lang w:bidi="ar"/>
        </w:rPr>
      </w:pPr>
      <w:r>
        <w:rPr>
          <w:rStyle w:val="22"/>
          <w:rFonts w:hint="eastAsia"/>
          <w:kern w:val="0"/>
          <w:lang w:bidi="ar"/>
        </w:rPr>
        <w:t>（2）溯源功能</w:t>
      </w:r>
    </w:p>
    <w:p w14:paraId="421BF2E1">
      <w:pPr>
        <w:widowControl/>
        <w:ind w:firstLine="480"/>
        <w:jc w:val="left"/>
        <w:rPr>
          <w:rStyle w:val="22"/>
          <w:rFonts w:hint="eastAsia"/>
          <w:b w:val="0"/>
          <w:bCs/>
          <w:kern w:val="0"/>
          <w:lang w:bidi="ar"/>
        </w:rPr>
      </w:pPr>
      <w:r>
        <w:rPr>
          <w:rStyle w:val="22"/>
          <w:rFonts w:hint="eastAsia"/>
          <w:b w:val="0"/>
          <w:bCs/>
          <w:kern w:val="0"/>
          <w:lang w:bidi="ar"/>
        </w:rPr>
        <w:t>精准定位污染源：结合监测数据和管网GIS系统，可快速追踪污染来源（如工业企业偷排、管网混接、雨污分流失效等），解决“多头污染难追责”问题。</w:t>
      </w:r>
    </w:p>
    <w:p w14:paraId="454170A3">
      <w:pPr>
        <w:widowControl/>
        <w:ind w:firstLine="480"/>
        <w:jc w:val="left"/>
        <w:rPr>
          <w:rStyle w:val="22"/>
          <w:rFonts w:hint="eastAsia"/>
          <w:b w:val="0"/>
          <w:bCs/>
          <w:kern w:val="0"/>
          <w:lang w:bidi="ar"/>
        </w:rPr>
      </w:pPr>
      <w:r>
        <w:rPr>
          <w:rStyle w:val="22"/>
          <w:rFonts w:hint="eastAsia"/>
          <w:b w:val="0"/>
          <w:bCs/>
          <w:kern w:val="0"/>
          <w:lang w:bidi="ar"/>
        </w:rPr>
        <w:t>强化责任落实：通过溯源明确污染责任主体，为环保执法提供证据链，推动企业合规排放，促进“谁污染、谁治理”原则的落实。</w:t>
      </w:r>
    </w:p>
    <w:p w14:paraId="7A8B0151">
      <w:pPr>
        <w:widowControl/>
        <w:ind w:firstLine="480"/>
        <w:jc w:val="left"/>
        <w:rPr>
          <w:rStyle w:val="22"/>
          <w:rFonts w:hint="eastAsia"/>
          <w:b w:val="0"/>
          <w:bCs/>
          <w:kern w:val="0"/>
          <w:lang w:bidi="ar"/>
        </w:rPr>
      </w:pPr>
      <w:r>
        <w:rPr>
          <w:rStyle w:val="22"/>
          <w:rFonts w:hint="eastAsia"/>
          <w:b w:val="0"/>
          <w:bCs/>
          <w:kern w:val="0"/>
          <w:lang w:bidi="ar"/>
        </w:rPr>
        <w:t>支撑管网优化：分析溯源数据可发现管网设计缺陷（如管径不足、坡度不合理）或运维问题（如淤积、渗漏），指导管网改造和养护计划，提升系统运行效率。</w:t>
      </w:r>
    </w:p>
    <w:p w14:paraId="41BE740A">
      <w:pPr>
        <w:pStyle w:val="3"/>
        <w:rPr>
          <w:rFonts w:hint="eastAsia"/>
        </w:rPr>
      </w:pPr>
      <w:bookmarkStart w:id="5" w:name="_Toc15413"/>
      <w:bookmarkStart w:id="6" w:name="_Toc16844"/>
      <w:r>
        <w:rPr>
          <w:rFonts w:hint="eastAsia"/>
        </w:rPr>
        <w:t>智慧排水管网末梢监测特点</w:t>
      </w:r>
      <w:bookmarkEnd w:id="5"/>
      <w:bookmarkEnd w:id="6"/>
    </w:p>
    <w:p w14:paraId="427687F6">
      <w:pPr>
        <w:ind w:firstLine="480"/>
        <w:rPr>
          <w:rFonts w:hint="eastAsia"/>
        </w:rPr>
      </w:pPr>
      <w:r>
        <w:t>随着社会经济的不断发展，人们对于城市建设的要求也不断地提高，城市污水管网系统的建设以及对于城市雨污水排放的相关监测技术要求也越来越高，为了满足人们对于城市化建设要求以及城市化的发展标准，加强城市雨污水管网建设，提高城市雨污水监测技术与标准就显得十分的必要。加强城市雨污水管网建设，提高城市雨污水监测技术与标准，把监测重心放在城市核心功能区、人员密集区、重大基础设施等重点区域。一般是针对排口的水位，流量以及水质情况来进行综合性的分析，安装视频监控，实时监控排污口情况。同时兼顾其他地方以监测新的污染源的产生。</w:t>
      </w:r>
    </w:p>
    <w:p w14:paraId="584ACA86">
      <w:pPr>
        <w:pStyle w:val="5"/>
        <w:keepNext w:val="0"/>
        <w:keepLines w:val="0"/>
        <w:widowControl/>
        <w:numPr>
          <w:ilvl w:val="3"/>
          <w:numId w:val="0"/>
        </w:numPr>
        <w:rPr>
          <w:rFonts w:hint="eastAsia"/>
          <w:sz w:val="24"/>
          <w:szCs w:val="24"/>
        </w:rPr>
      </w:pPr>
      <w:bookmarkStart w:id="7" w:name="_Toc15099"/>
      <w:r>
        <w:rPr>
          <w:rFonts w:hint="eastAsia"/>
          <w:sz w:val="24"/>
          <w:szCs w:val="24"/>
        </w:rPr>
        <w:t>1.市政排水管网监测</w:t>
      </w:r>
    </w:p>
    <w:p w14:paraId="48484E92">
      <w:pPr>
        <w:widowControl/>
        <w:ind w:firstLine="480"/>
        <w:jc w:val="left"/>
        <w:rPr>
          <w:rFonts w:hint="eastAsia"/>
        </w:rPr>
      </w:pPr>
      <w:r>
        <w:rPr>
          <w:rFonts w:hint="eastAsia"/>
        </w:rPr>
        <w:t>特点：</w:t>
      </w:r>
    </w:p>
    <w:p w14:paraId="18FB135A">
      <w:pPr>
        <w:widowControl/>
        <w:ind w:firstLine="480"/>
        <w:jc w:val="left"/>
        <w:rPr>
          <w:rFonts w:hint="eastAsia"/>
        </w:rPr>
      </w:pPr>
      <w:r>
        <w:rPr>
          <w:rFonts w:hint="eastAsia"/>
        </w:rPr>
        <w:t>多参数监测：支持对多种水质参数（如COD、BOD、pH、电导率、温度等）的实时监测</w:t>
      </w:r>
    </w:p>
    <w:p w14:paraId="73223524">
      <w:pPr>
        <w:widowControl/>
        <w:ind w:firstLine="480"/>
        <w:jc w:val="left"/>
        <w:rPr>
          <w:rFonts w:hint="eastAsia"/>
        </w:rPr>
      </w:pPr>
      <w:r>
        <w:rPr>
          <w:rFonts w:hint="eastAsia"/>
        </w:rPr>
        <w:t>高精度与稳定性：采用高品质传感器，确保数据的准确性和可靠性，即使在复杂的地下环境中也能保持稳定</w:t>
      </w:r>
    </w:p>
    <w:p w14:paraId="025D90EE">
      <w:pPr>
        <w:widowControl/>
        <w:ind w:firstLine="480"/>
        <w:jc w:val="left"/>
        <w:rPr>
          <w:rFonts w:hint="eastAsia"/>
        </w:rPr>
      </w:pPr>
      <w:r>
        <w:rPr>
          <w:rFonts w:hint="eastAsia"/>
        </w:rPr>
        <w:t>远程监控与管理：通过无线通信技术（如4G、NB-IoT），实现远程数据传输和设备管理，降低运维成本</w:t>
      </w:r>
    </w:p>
    <w:p w14:paraId="5A8DAED6">
      <w:pPr>
        <w:widowControl/>
        <w:ind w:firstLine="480"/>
        <w:jc w:val="left"/>
        <w:rPr>
          <w:rFonts w:hint="eastAsia"/>
        </w:rPr>
      </w:pPr>
      <w:r>
        <w:rPr>
          <w:rFonts w:hint="eastAsia"/>
        </w:rPr>
        <w:t xml:space="preserve"> 预警与报警功能：当监测指标超过预设阈值时，系统自动触发预警，及时通知管理人员</w:t>
      </w:r>
    </w:p>
    <w:p w14:paraId="08792050">
      <w:pPr>
        <w:widowControl/>
        <w:ind w:firstLine="480"/>
        <w:jc w:val="left"/>
        <w:rPr>
          <w:rFonts w:hint="eastAsia"/>
        </w:rPr>
      </w:pPr>
      <w:r>
        <w:rPr>
          <w:rFonts w:hint="eastAsia"/>
        </w:rPr>
        <w:t>应用场景：城市市政排水管网、污水处理厂进水口等。</w:t>
      </w:r>
    </w:p>
    <w:p w14:paraId="29D95C01">
      <w:pPr>
        <w:pStyle w:val="5"/>
        <w:keepNext w:val="0"/>
        <w:keepLines w:val="0"/>
        <w:widowControl/>
        <w:numPr>
          <w:ilvl w:val="3"/>
          <w:numId w:val="0"/>
        </w:numPr>
        <w:rPr>
          <w:rFonts w:hint="eastAsia"/>
          <w:sz w:val="24"/>
          <w:szCs w:val="24"/>
        </w:rPr>
      </w:pPr>
      <w:r>
        <w:rPr>
          <w:rFonts w:hint="eastAsia"/>
          <w:sz w:val="24"/>
          <w:szCs w:val="24"/>
        </w:rPr>
        <w:t>2.内涝风险监测</w:t>
      </w:r>
    </w:p>
    <w:p w14:paraId="12AB5C05">
      <w:pPr>
        <w:widowControl/>
        <w:ind w:firstLine="480"/>
        <w:jc w:val="left"/>
        <w:rPr>
          <w:rFonts w:hint="eastAsia"/>
        </w:rPr>
      </w:pPr>
      <w:r>
        <w:rPr>
          <w:rFonts w:hint="eastAsia"/>
        </w:rPr>
        <w:t>特点：</w:t>
      </w:r>
    </w:p>
    <w:p w14:paraId="52F5F47F">
      <w:pPr>
        <w:widowControl/>
        <w:ind w:firstLine="480"/>
        <w:jc w:val="left"/>
        <w:rPr>
          <w:rFonts w:hint="eastAsia"/>
        </w:rPr>
      </w:pPr>
      <w:r>
        <w:rPr>
          <w:rFonts w:hint="eastAsia"/>
        </w:rPr>
        <w:t>实时水位监测：能够实时监测管道内的水位和流量，提前预警内涝风险</w:t>
      </w:r>
    </w:p>
    <w:p w14:paraId="40B18D52">
      <w:pPr>
        <w:widowControl/>
        <w:ind w:firstLine="240" w:firstLineChars="100"/>
        <w:jc w:val="left"/>
        <w:rPr>
          <w:rFonts w:hint="eastAsia"/>
        </w:rPr>
      </w:pPr>
      <w:r>
        <w:rPr>
          <w:rFonts w:hint="eastAsia"/>
        </w:rPr>
        <w:t xml:space="preserve"> 低功耗设计：设备采用超低功耗设计，适合长期运行，部分设备支持电池供电</w:t>
      </w:r>
    </w:p>
    <w:p w14:paraId="76874CD1">
      <w:pPr>
        <w:widowControl/>
        <w:ind w:firstLine="480"/>
        <w:jc w:val="left"/>
        <w:rPr>
          <w:rFonts w:hint="eastAsia"/>
        </w:rPr>
      </w:pPr>
      <w:r>
        <w:rPr>
          <w:rFonts w:hint="eastAsia"/>
        </w:rPr>
        <w:t>超强防护：设备具备IP68防水、防尘、防爆设计，适用于恶劣的地下环境</w:t>
      </w:r>
    </w:p>
    <w:p w14:paraId="3F9AD973">
      <w:pPr>
        <w:widowControl/>
        <w:ind w:firstLine="480"/>
        <w:jc w:val="left"/>
        <w:rPr>
          <w:rFonts w:hint="eastAsia"/>
        </w:rPr>
      </w:pPr>
      <w:r>
        <w:rPr>
          <w:rFonts w:hint="eastAsia"/>
        </w:rPr>
        <w:t>应用场景：城市低洼区域、隧道、地下停车场等。</w:t>
      </w:r>
    </w:p>
    <w:p w14:paraId="3294DD6E">
      <w:pPr>
        <w:pStyle w:val="5"/>
        <w:keepNext w:val="0"/>
        <w:keepLines w:val="0"/>
        <w:widowControl/>
        <w:numPr>
          <w:ilvl w:val="3"/>
          <w:numId w:val="0"/>
        </w:numPr>
        <w:rPr>
          <w:rFonts w:hint="eastAsia"/>
          <w:sz w:val="24"/>
          <w:szCs w:val="24"/>
        </w:rPr>
      </w:pPr>
      <w:r>
        <w:rPr>
          <w:rFonts w:hint="eastAsia"/>
          <w:sz w:val="24"/>
          <w:szCs w:val="24"/>
        </w:rPr>
        <w:t>3.污水管网监测</w:t>
      </w:r>
    </w:p>
    <w:p w14:paraId="13FF97D6">
      <w:pPr>
        <w:widowControl/>
        <w:ind w:firstLine="480"/>
        <w:jc w:val="left"/>
        <w:rPr>
          <w:rFonts w:hint="eastAsia"/>
          <w:kern w:val="0"/>
          <w:lang w:bidi="ar"/>
        </w:rPr>
      </w:pPr>
      <w:r>
        <w:rPr>
          <w:rFonts w:hint="eastAsia"/>
          <w:kern w:val="0"/>
          <w:lang w:bidi="ar"/>
        </w:rPr>
        <w:t>特点：</w:t>
      </w:r>
    </w:p>
    <w:p w14:paraId="4F709C2C">
      <w:pPr>
        <w:widowControl/>
        <w:ind w:firstLine="480"/>
        <w:jc w:val="left"/>
        <w:rPr>
          <w:rFonts w:hint="eastAsia"/>
          <w:kern w:val="0"/>
          <w:lang w:bidi="ar"/>
        </w:rPr>
      </w:pPr>
      <w:r>
        <w:rPr>
          <w:rFonts w:hint="eastAsia"/>
          <w:kern w:val="0"/>
          <w:lang w:bidi="ar"/>
        </w:rPr>
        <w:t>高精度监测：采用高精度电极探头，确保水质监测数据的准确性</w:t>
      </w:r>
    </w:p>
    <w:p w14:paraId="2E241D00">
      <w:pPr>
        <w:widowControl/>
        <w:ind w:firstLine="480"/>
        <w:jc w:val="left"/>
        <w:rPr>
          <w:rFonts w:hint="eastAsia"/>
          <w:kern w:val="0"/>
          <w:lang w:bidi="ar"/>
        </w:rPr>
      </w:pPr>
      <w:r>
        <w:rPr>
          <w:rFonts w:hint="eastAsia"/>
          <w:kern w:val="0"/>
          <w:lang w:bidi="ar"/>
        </w:rPr>
        <w:t>综合评估：支持多参数监测和综合评估，全面了解水质状况</w:t>
      </w:r>
    </w:p>
    <w:p w14:paraId="3A795ABF">
      <w:pPr>
        <w:widowControl/>
        <w:ind w:firstLine="480"/>
        <w:jc w:val="left"/>
        <w:rPr>
          <w:rFonts w:hint="eastAsia"/>
          <w:kern w:val="0"/>
          <w:lang w:bidi="ar"/>
        </w:rPr>
      </w:pPr>
      <w:r>
        <w:rPr>
          <w:rFonts w:hint="eastAsia"/>
          <w:kern w:val="0"/>
          <w:lang w:bidi="ar"/>
        </w:rPr>
        <w:t>智能化管理：系统可根据水质数据自动调整水处理工艺，实现智能化管理</w:t>
      </w:r>
    </w:p>
    <w:p w14:paraId="5C9B31BE">
      <w:pPr>
        <w:widowControl/>
        <w:ind w:firstLine="480"/>
        <w:jc w:val="left"/>
        <w:rPr>
          <w:rFonts w:hint="eastAsia"/>
          <w:kern w:val="0"/>
          <w:lang w:bidi="ar"/>
        </w:rPr>
      </w:pPr>
      <w:r>
        <w:rPr>
          <w:rFonts w:hint="eastAsia"/>
          <w:kern w:val="0"/>
          <w:lang w:bidi="ar"/>
        </w:rPr>
        <w:t>应用场景：城市污水管网、工业废水排放管道等。</w:t>
      </w:r>
    </w:p>
    <w:p w14:paraId="48D0367E">
      <w:pPr>
        <w:pStyle w:val="5"/>
        <w:keepNext w:val="0"/>
        <w:keepLines w:val="0"/>
        <w:widowControl/>
        <w:numPr>
          <w:ilvl w:val="3"/>
          <w:numId w:val="0"/>
        </w:numPr>
        <w:rPr>
          <w:rFonts w:hint="eastAsia"/>
          <w:sz w:val="24"/>
          <w:szCs w:val="24"/>
        </w:rPr>
      </w:pPr>
      <w:r>
        <w:rPr>
          <w:rFonts w:hint="eastAsia"/>
          <w:sz w:val="24"/>
          <w:szCs w:val="24"/>
        </w:rPr>
        <w:t>4.智慧管网监测</w:t>
      </w:r>
    </w:p>
    <w:p w14:paraId="76C74BE6">
      <w:pPr>
        <w:widowControl/>
        <w:ind w:firstLine="480"/>
        <w:jc w:val="left"/>
        <w:rPr>
          <w:rFonts w:hint="eastAsia"/>
          <w:kern w:val="0"/>
          <w:lang w:bidi="ar"/>
        </w:rPr>
      </w:pPr>
      <w:r>
        <w:rPr>
          <w:rFonts w:hint="eastAsia"/>
          <w:kern w:val="0"/>
          <w:lang w:bidi="ar"/>
        </w:rPr>
        <w:t>特点：</w:t>
      </w:r>
    </w:p>
    <w:p w14:paraId="56B7A55F">
      <w:pPr>
        <w:widowControl/>
        <w:ind w:firstLine="480"/>
        <w:jc w:val="left"/>
        <w:rPr>
          <w:rFonts w:hint="eastAsia"/>
          <w:kern w:val="0"/>
          <w:lang w:bidi="ar"/>
        </w:rPr>
      </w:pPr>
      <w:r>
        <w:rPr>
          <w:rFonts w:hint="eastAsia"/>
          <w:kern w:val="0"/>
          <w:lang w:bidi="ar"/>
        </w:rPr>
        <w:t>集成化设计：集成了物联网、通信、数据分析等多种技术，实现全面监测和管理</w:t>
      </w:r>
    </w:p>
    <w:p w14:paraId="5E50203A">
      <w:pPr>
        <w:widowControl/>
        <w:ind w:firstLine="480"/>
        <w:jc w:val="left"/>
        <w:rPr>
          <w:rFonts w:hint="eastAsia"/>
          <w:kern w:val="0"/>
          <w:lang w:bidi="ar"/>
        </w:rPr>
      </w:pPr>
      <w:r>
        <w:rPr>
          <w:rFonts w:hint="eastAsia"/>
          <w:kern w:val="0"/>
          <w:lang w:bidi="ar"/>
        </w:rPr>
        <w:t>可扩展性：支持多种传感器接入，可根据需求灵活配置监测参数</w:t>
      </w:r>
    </w:p>
    <w:p w14:paraId="42F12E6E">
      <w:pPr>
        <w:widowControl/>
        <w:ind w:firstLine="480"/>
        <w:jc w:val="left"/>
        <w:rPr>
          <w:rFonts w:hint="eastAsia"/>
          <w:kern w:val="0"/>
          <w:lang w:bidi="ar"/>
        </w:rPr>
      </w:pPr>
      <w:r>
        <w:rPr>
          <w:rFonts w:hint="eastAsia"/>
          <w:kern w:val="0"/>
          <w:lang w:bidi="ar"/>
        </w:rPr>
        <w:t>数据存储与分析：系统具备强大的数据存储和分析能力，支持断网续传功能</w:t>
      </w:r>
    </w:p>
    <w:p w14:paraId="398F183D">
      <w:pPr>
        <w:widowControl/>
        <w:ind w:firstLine="480"/>
        <w:jc w:val="left"/>
        <w:rPr>
          <w:rFonts w:hint="eastAsia"/>
          <w:kern w:val="0"/>
          <w:lang w:bidi="ar"/>
        </w:rPr>
      </w:pPr>
      <w:r>
        <w:rPr>
          <w:rFonts w:hint="eastAsia"/>
          <w:kern w:val="0"/>
          <w:lang w:bidi="ar"/>
        </w:rPr>
        <w:t>应用场景：智慧城市建设中的综合管网监测。</w:t>
      </w:r>
    </w:p>
    <w:p w14:paraId="41A1B3AD">
      <w:pPr>
        <w:pStyle w:val="5"/>
        <w:keepNext w:val="0"/>
        <w:keepLines w:val="0"/>
        <w:widowControl/>
        <w:numPr>
          <w:ilvl w:val="3"/>
          <w:numId w:val="0"/>
        </w:numPr>
        <w:rPr>
          <w:rFonts w:hint="eastAsia"/>
          <w:sz w:val="24"/>
          <w:szCs w:val="24"/>
        </w:rPr>
      </w:pPr>
      <w:r>
        <w:rPr>
          <w:rFonts w:hint="eastAsia"/>
          <w:sz w:val="24"/>
          <w:szCs w:val="24"/>
        </w:rPr>
        <w:t>5.小型排水管道监测</w:t>
      </w:r>
    </w:p>
    <w:p w14:paraId="7376D3AE">
      <w:pPr>
        <w:widowControl/>
        <w:ind w:firstLine="480"/>
        <w:jc w:val="left"/>
        <w:rPr>
          <w:rFonts w:hint="eastAsia"/>
          <w:kern w:val="0"/>
          <w:lang w:bidi="ar"/>
        </w:rPr>
      </w:pPr>
      <w:r>
        <w:rPr>
          <w:rFonts w:hint="eastAsia"/>
          <w:kern w:val="0"/>
          <w:lang w:bidi="ar"/>
        </w:rPr>
        <w:t>特点：</w:t>
      </w:r>
    </w:p>
    <w:p w14:paraId="30A3A044">
      <w:pPr>
        <w:widowControl/>
        <w:ind w:firstLine="480"/>
        <w:jc w:val="left"/>
        <w:rPr>
          <w:rFonts w:hint="eastAsia"/>
          <w:kern w:val="0"/>
          <w:lang w:bidi="ar"/>
        </w:rPr>
      </w:pPr>
      <w:r>
        <w:rPr>
          <w:rFonts w:hint="eastAsia"/>
          <w:kern w:val="0"/>
          <w:lang w:bidi="ar"/>
        </w:rPr>
        <w:t>体积小、安装方便：设备体积小，不占用井下空间，安装和维护简单</w:t>
      </w:r>
    </w:p>
    <w:p w14:paraId="10481378">
      <w:pPr>
        <w:widowControl/>
        <w:ind w:firstLine="480"/>
        <w:jc w:val="left"/>
        <w:rPr>
          <w:rFonts w:hint="eastAsia"/>
          <w:kern w:val="0"/>
          <w:lang w:bidi="ar"/>
        </w:rPr>
      </w:pPr>
      <w:r>
        <w:rPr>
          <w:rFonts w:hint="eastAsia"/>
          <w:kern w:val="0"/>
          <w:lang w:bidi="ar"/>
        </w:rPr>
        <w:t>接触式测量：采用接触式测量技术，测量精度更高</w:t>
      </w:r>
    </w:p>
    <w:p w14:paraId="381F9000">
      <w:pPr>
        <w:widowControl/>
        <w:ind w:firstLine="480"/>
        <w:jc w:val="left"/>
        <w:rPr>
          <w:rFonts w:hint="eastAsia"/>
          <w:kern w:val="0"/>
          <w:lang w:bidi="ar"/>
        </w:rPr>
      </w:pPr>
      <w:r>
        <w:rPr>
          <w:rFonts w:hint="eastAsia"/>
          <w:kern w:val="0"/>
          <w:lang w:bidi="ar"/>
        </w:rPr>
        <w:t>多种通信方式：支持多种通信方式（如GPRS、NB-IoT），确保数据传输的可靠性</w:t>
      </w:r>
    </w:p>
    <w:p w14:paraId="2DE42CB0">
      <w:pPr>
        <w:widowControl/>
        <w:ind w:firstLine="480"/>
        <w:jc w:val="left"/>
        <w:rPr>
          <w:rFonts w:hint="eastAsia"/>
        </w:rPr>
      </w:pPr>
      <w:r>
        <w:rPr>
          <w:rFonts w:hint="eastAsia"/>
          <w:kern w:val="0"/>
          <w:lang w:bidi="ar"/>
        </w:rPr>
        <w:t>应用场景：小型排水管道、窨井等。</w:t>
      </w:r>
    </w:p>
    <w:p w14:paraId="259329DD">
      <w:pPr>
        <w:pStyle w:val="2"/>
        <w:rPr>
          <w:rFonts w:hint="eastAsia"/>
        </w:rPr>
      </w:pPr>
      <w:bookmarkStart w:id="8" w:name="_Toc31134"/>
      <w:r>
        <w:rPr>
          <w:rFonts w:hint="eastAsia"/>
        </w:rPr>
        <w:t>建设方案设计</w:t>
      </w:r>
      <w:bookmarkEnd w:id="7"/>
      <w:bookmarkEnd w:id="8"/>
    </w:p>
    <w:p w14:paraId="19B9D988">
      <w:pPr>
        <w:pStyle w:val="3"/>
        <w:rPr>
          <w:rFonts w:hint="eastAsia"/>
        </w:rPr>
      </w:pPr>
      <w:bookmarkStart w:id="9" w:name="_Toc8599"/>
      <w:r>
        <w:rPr>
          <w:rFonts w:hint="eastAsia"/>
        </w:rPr>
        <w:t>系统框架图</w:t>
      </w:r>
      <w:bookmarkEnd w:id="9"/>
    </w:p>
    <w:p w14:paraId="06BC5CB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rPr>
      </w:pPr>
      <w:r>
        <w:drawing>
          <wp:inline distT="0" distB="0" distL="114300" distR="114300">
            <wp:extent cx="4200525" cy="2763520"/>
            <wp:effectExtent l="0" t="0" r="9525" b="177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200525" cy="2763520"/>
                    </a:xfrm>
                    <a:prstGeom prst="rect">
                      <a:avLst/>
                    </a:prstGeom>
                    <a:noFill/>
                    <a:ln>
                      <a:noFill/>
                    </a:ln>
                  </pic:spPr>
                </pic:pic>
              </a:graphicData>
            </a:graphic>
          </wp:inline>
        </w:drawing>
      </w:r>
    </w:p>
    <w:p w14:paraId="2EAFF040">
      <w:pPr>
        <w:ind w:firstLine="480"/>
        <w:rPr>
          <w:rFonts w:hint="eastAsia"/>
        </w:rPr>
      </w:pPr>
      <w:r>
        <w:rPr>
          <w:rFonts w:hint="eastAsia"/>
        </w:rPr>
        <w:t>建立全覆盖物联网监测监控体系，快速感知。在地下井口关键节点、雨水排水口、污水排放口等排水设施布设地下水质监测设备，同时，建设完善重点生活污水排口的视频感知传输体系，实时监控非法偷排等视频信息并取证，实现所有信息快速感知、实时掌握运行情况。</w:t>
      </w:r>
    </w:p>
    <w:p w14:paraId="2EA0837E">
      <w:pPr>
        <w:ind w:firstLine="480"/>
        <w:rPr>
          <w:rFonts w:hint="eastAsia"/>
        </w:rPr>
      </w:pPr>
      <w:r>
        <w:rPr>
          <w:rFonts w:hint="eastAsia"/>
        </w:rPr>
        <w:t>构建地下管网在线监测数据分析云平台并持续运行，对监测数据进行分析，优化布点方案、提高监测数据的有效性和质量。</w:t>
      </w:r>
    </w:p>
    <w:p w14:paraId="5EE1541C">
      <w:pPr>
        <w:ind w:firstLine="480"/>
        <w:rPr>
          <w:rFonts w:hint="eastAsia"/>
        </w:rPr>
      </w:pPr>
      <w:r>
        <w:rPr>
          <w:rFonts w:hint="eastAsia"/>
        </w:rPr>
        <w:t>构建一体化管控平台，建立科学的分析工具，对项目范围内的地下管网进行持续管控，及时评估，执行有效的提质增效方案措施。</w:t>
      </w:r>
    </w:p>
    <w:p w14:paraId="0564A020">
      <w:pPr>
        <w:ind w:firstLine="480"/>
        <w:rPr>
          <w:rFonts w:hint="eastAsia"/>
        </w:rPr>
      </w:pPr>
    </w:p>
    <w:p w14:paraId="005F98F6">
      <w:pPr>
        <w:pStyle w:val="3"/>
        <w:rPr>
          <w:rFonts w:hint="eastAsia"/>
        </w:rPr>
      </w:pPr>
      <w:bookmarkStart w:id="10" w:name="_Toc2751"/>
      <w:r>
        <w:rPr>
          <w:rFonts w:hint="eastAsia"/>
        </w:rPr>
        <w:t>设备选型策略</w:t>
      </w:r>
      <w:bookmarkEnd w:id="10"/>
    </w:p>
    <w:p w14:paraId="6E7BC4B8">
      <w:pPr>
        <w:ind w:firstLine="480"/>
        <w:rPr>
          <w:rFonts w:hint="eastAsia"/>
        </w:rPr>
      </w:pPr>
      <w:r>
        <w:rPr>
          <w:rFonts w:hint="eastAsia"/>
        </w:rPr>
        <w:t>（1）核心监测参数：</w:t>
      </w:r>
    </w:p>
    <w:tbl>
      <w:tblPr>
        <w:tblStyle w:val="20"/>
        <w:tblpPr w:leftFromText="180" w:rightFromText="180" w:vertAnchor="text" w:horzAnchor="page" w:tblpX="1762" w:tblpY="469"/>
        <w:tblOverlap w:val="never"/>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160"/>
        <w:gridCol w:w="3817"/>
        <w:gridCol w:w="2542"/>
      </w:tblGrid>
      <w:tr w14:paraId="1EB9BE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68" w:type="pct"/>
            <w:vAlign w:val="center"/>
          </w:tcPr>
          <w:p w14:paraId="1D36BF42">
            <w:pPr>
              <w:spacing w:line="240" w:lineRule="auto"/>
              <w:ind w:firstLine="0" w:firstLineChars="0"/>
              <w:jc w:val="center"/>
              <w:rPr>
                <w:rFonts w:hint="eastAsia"/>
                <w:b/>
                <w:bCs/>
                <w:sz w:val="21"/>
                <w:szCs w:val="21"/>
              </w:rPr>
            </w:pPr>
            <w:r>
              <w:rPr>
                <w:rFonts w:hint="eastAsia"/>
                <w:b/>
                <w:bCs/>
                <w:sz w:val="21"/>
                <w:szCs w:val="21"/>
              </w:rPr>
              <w:t>核心监测参数</w:t>
            </w:r>
          </w:p>
        </w:tc>
        <w:tc>
          <w:tcPr>
            <w:tcW w:w="2240" w:type="pct"/>
            <w:vAlign w:val="center"/>
          </w:tcPr>
          <w:p w14:paraId="585404F1">
            <w:pPr>
              <w:spacing w:line="240" w:lineRule="auto"/>
              <w:ind w:firstLine="0" w:firstLineChars="0"/>
              <w:jc w:val="center"/>
              <w:rPr>
                <w:rFonts w:hint="eastAsia"/>
                <w:b/>
                <w:bCs/>
                <w:sz w:val="21"/>
                <w:szCs w:val="21"/>
              </w:rPr>
            </w:pPr>
            <w:r>
              <w:rPr>
                <w:rFonts w:hint="eastAsia"/>
                <w:b/>
                <w:bCs/>
                <w:sz w:val="21"/>
                <w:szCs w:val="21"/>
              </w:rPr>
              <w:t>设备名称</w:t>
            </w:r>
          </w:p>
        </w:tc>
        <w:tc>
          <w:tcPr>
            <w:tcW w:w="1490" w:type="pct"/>
            <w:vAlign w:val="center"/>
          </w:tcPr>
          <w:p w14:paraId="2A4E73B5">
            <w:pPr>
              <w:spacing w:line="240" w:lineRule="auto"/>
              <w:ind w:firstLine="0" w:firstLineChars="0"/>
              <w:jc w:val="center"/>
              <w:rPr>
                <w:rFonts w:hint="eastAsia"/>
                <w:b/>
                <w:bCs/>
                <w:sz w:val="21"/>
                <w:szCs w:val="21"/>
              </w:rPr>
            </w:pPr>
            <w:r>
              <w:rPr>
                <w:rFonts w:hint="eastAsia"/>
                <w:b/>
                <w:bCs/>
                <w:sz w:val="21"/>
                <w:szCs w:val="21"/>
              </w:rPr>
              <w:t>设备原理</w:t>
            </w:r>
          </w:p>
        </w:tc>
      </w:tr>
      <w:tr w14:paraId="5D031C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5000" w:type="pct"/>
            <w:gridSpan w:val="3"/>
            <w:shd w:val="clear" w:color="auto" w:fill="auto"/>
            <w:vAlign w:val="center"/>
          </w:tcPr>
          <w:p w14:paraId="5A51D0C9">
            <w:pPr>
              <w:widowControl/>
              <w:spacing w:line="240" w:lineRule="auto"/>
              <w:ind w:firstLine="0" w:firstLineChars="0"/>
              <w:jc w:val="center"/>
              <w:textAlignment w:val="center"/>
              <w:rPr>
                <w:rFonts w:hint="default" w:eastAsia="宋体"/>
                <w:color w:val="000000"/>
                <w:kern w:val="0"/>
                <w:sz w:val="21"/>
                <w:szCs w:val="21"/>
                <w:lang w:val="en-US" w:eastAsia="zh-CN" w:bidi="ar"/>
              </w:rPr>
            </w:pPr>
            <w:r>
              <w:rPr>
                <w:rFonts w:hint="eastAsia"/>
                <w:b/>
                <w:bCs/>
                <w:color w:val="000000"/>
                <w:kern w:val="0"/>
                <w:sz w:val="21"/>
                <w:szCs w:val="21"/>
                <w:lang w:val="en-US" w:eastAsia="zh-CN" w:bidi="ar"/>
              </w:rPr>
              <w:t>在线监测设备</w:t>
            </w:r>
          </w:p>
        </w:tc>
      </w:tr>
      <w:tr w14:paraId="6521D3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68" w:type="pct"/>
            <w:shd w:val="clear" w:color="auto" w:fill="auto"/>
            <w:vAlign w:val="center"/>
          </w:tcPr>
          <w:p w14:paraId="56D39C41">
            <w:pPr>
              <w:widowControl/>
              <w:spacing w:line="240" w:lineRule="auto"/>
              <w:ind w:firstLine="0" w:firstLineChars="0"/>
              <w:jc w:val="center"/>
              <w:textAlignment w:val="center"/>
              <w:rPr>
                <w:rFonts w:hint="eastAsia"/>
                <w:sz w:val="21"/>
                <w:szCs w:val="21"/>
              </w:rPr>
            </w:pPr>
            <w:r>
              <w:rPr>
                <w:rFonts w:hint="eastAsia"/>
                <w:color w:val="000000"/>
                <w:kern w:val="0"/>
                <w:sz w:val="21"/>
                <w:szCs w:val="21"/>
                <w:lang w:bidi="ar"/>
              </w:rPr>
              <w:t>PH</w:t>
            </w:r>
          </w:p>
        </w:tc>
        <w:tc>
          <w:tcPr>
            <w:tcW w:w="2240" w:type="pct"/>
            <w:shd w:val="clear" w:color="auto" w:fill="auto"/>
            <w:vAlign w:val="center"/>
          </w:tcPr>
          <w:p w14:paraId="0F1E3B10">
            <w:pPr>
              <w:widowControl/>
              <w:spacing w:line="240" w:lineRule="auto"/>
              <w:ind w:firstLine="0" w:firstLineChars="0"/>
              <w:jc w:val="center"/>
              <w:textAlignment w:val="center"/>
              <w:rPr>
                <w:rFonts w:hint="eastAsia"/>
                <w:sz w:val="21"/>
                <w:szCs w:val="21"/>
              </w:rPr>
            </w:pPr>
            <w:r>
              <w:rPr>
                <w:rFonts w:hint="eastAsia"/>
                <w:color w:val="000000"/>
                <w:kern w:val="0"/>
                <w:sz w:val="21"/>
                <w:szCs w:val="21"/>
                <w:lang w:bidi="ar"/>
              </w:rPr>
              <w:t>在线PH传感器</w:t>
            </w:r>
          </w:p>
        </w:tc>
        <w:tc>
          <w:tcPr>
            <w:tcW w:w="1490" w:type="pct"/>
            <w:shd w:val="clear" w:color="auto" w:fill="auto"/>
            <w:vAlign w:val="center"/>
          </w:tcPr>
          <w:p w14:paraId="15CC994D">
            <w:pPr>
              <w:widowControl/>
              <w:spacing w:line="240" w:lineRule="auto"/>
              <w:ind w:firstLine="0" w:firstLineChars="0"/>
              <w:jc w:val="center"/>
              <w:textAlignment w:val="center"/>
              <w:rPr>
                <w:rFonts w:hint="eastAsia"/>
                <w:sz w:val="21"/>
                <w:szCs w:val="21"/>
              </w:rPr>
            </w:pPr>
            <w:r>
              <w:rPr>
                <w:rFonts w:hint="eastAsia"/>
                <w:color w:val="000000"/>
                <w:kern w:val="0"/>
                <w:sz w:val="21"/>
                <w:szCs w:val="21"/>
                <w:lang w:bidi="ar"/>
              </w:rPr>
              <w:t>玻璃电极法</w:t>
            </w:r>
          </w:p>
        </w:tc>
      </w:tr>
      <w:tr w14:paraId="5EC5CD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68" w:type="pct"/>
            <w:shd w:val="clear" w:color="auto" w:fill="auto"/>
            <w:vAlign w:val="center"/>
          </w:tcPr>
          <w:p w14:paraId="5DB01628">
            <w:pPr>
              <w:widowControl/>
              <w:spacing w:line="240" w:lineRule="auto"/>
              <w:ind w:firstLine="0" w:firstLineChars="0"/>
              <w:jc w:val="center"/>
              <w:textAlignment w:val="center"/>
              <w:rPr>
                <w:rFonts w:hint="eastAsia"/>
                <w:sz w:val="21"/>
                <w:szCs w:val="21"/>
              </w:rPr>
            </w:pPr>
            <w:r>
              <w:rPr>
                <w:rFonts w:hint="eastAsia"/>
                <w:sz w:val="21"/>
                <w:szCs w:val="21"/>
              </w:rPr>
              <w:t>溶解氧</w:t>
            </w:r>
          </w:p>
        </w:tc>
        <w:tc>
          <w:tcPr>
            <w:tcW w:w="2240" w:type="pct"/>
            <w:shd w:val="clear" w:color="auto" w:fill="auto"/>
            <w:vAlign w:val="center"/>
          </w:tcPr>
          <w:p w14:paraId="474ED313">
            <w:pPr>
              <w:widowControl/>
              <w:spacing w:line="240" w:lineRule="auto"/>
              <w:ind w:firstLine="0" w:firstLineChars="0"/>
              <w:jc w:val="center"/>
              <w:textAlignment w:val="center"/>
              <w:rPr>
                <w:rFonts w:hint="eastAsia"/>
                <w:sz w:val="21"/>
                <w:szCs w:val="21"/>
              </w:rPr>
            </w:pPr>
            <w:r>
              <w:rPr>
                <w:rFonts w:hint="eastAsia"/>
                <w:sz w:val="21"/>
                <w:szCs w:val="21"/>
              </w:rPr>
              <w:t>在线溶解氧传感器</w:t>
            </w:r>
          </w:p>
        </w:tc>
        <w:tc>
          <w:tcPr>
            <w:tcW w:w="1490" w:type="pct"/>
            <w:shd w:val="clear" w:color="auto" w:fill="auto"/>
            <w:vAlign w:val="center"/>
          </w:tcPr>
          <w:p w14:paraId="360451E0">
            <w:pPr>
              <w:widowControl/>
              <w:spacing w:line="240" w:lineRule="auto"/>
              <w:ind w:firstLine="0" w:firstLineChars="0"/>
              <w:jc w:val="center"/>
              <w:textAlignment w:val="center"/>
              <w:rPr>
                <w:rFonts w:hint="eastAsia"/>
                <w:sz w:val="21"/>
                <w:szCs w:val="21"/>
              </w:rPr>
            </w:pPr>
            <w:r>
              <w:rPr>
                <w:rFonts w:hint="eastAsia"/>
                <w:sz w:val="21"/>
                <w:szCs w:val="21"/>
              </w:rPr>
              <w:t>荧光法</w:t>
            </w:r>
          </w:p>
        </w:tc>
      </w:tr>
      <w:tr w14:paraId="1C7D20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68" w:type="pct"/>
            <w:shd w:val="clear" w:color="auto" w:fill="auto"/>
            <w:vAlign w:val="center"/>
          </w:tcPr>
          <w:p w14:paraId="6560DA88">
            <w:pPr>
              <w:widowControl/>
              <w:spacing w:line="240" w:lineRule="auto"/>
              <w:ind w:firstLine="0" w:firstLineChars="0"/>
              <w:jc w:val="center"/>
              <w:textAlignment w:val="center"/>
              <w:rPr>
                <w:rFonts w:hint="eastAsia"/>
                <w:color w:val="000000"/>
                <w:kern w:val="0"/>
                <w:sz w:val="21"/>
                <w:szCs w:val="21"/>
                <w:lang w:bidi="ar"/>
              </w:rPr>
            </w:pPr>
            <w:r>
              <w:rPr>
                <w:rFonts w:hint="eastAsia"/>
                <w:color w:val="000000"/>
                <w:kern w:val="0"/>
                <w:sz w:val="21"/>
                <w:szCs w:val="21"/>
                <w:lang w:bidi="ar"/>
              </w:rPr>
              <w:t>电导率</w:t>
            </w:r>
          </w:p>
        </w:tc>
        <w:tc>
          <w:tcPr>
            <w:tcW w:w="2240" w:type="pct"/>
            <w:shd w:val="clear" w:color="auto" w:fill="auto"/>
            <w:vAlign w:val="center"/>
          </w:tcPr>
          <w:p w14:paraId="4FAC8705">
            <w:pPr>
              <w:widowControl/>
              <w:spacing w:line="240" w:lineRule="auto"/>
              <w:ind w:firstLine="0" w:firstLineChars="0"/>
              <w:jc w:val="center"/>
              <w:textAlignment w:val="center"/>
              <w:rPr>
                <w:rFonts w:hint="eastAsia"/>
                <w:color w:val="000000"/>
                <w:kern w:val="0"/>
                <w:sz w:val="21"/>
                <w:szCs w:val="21"/>
                <w:lang w:bidi="ar"/>
              </w:rPr>
            </w:pPr>
            <w:r>
              <w:rPr>
                <w:rFonts w:hint="eastAsia"/>
                <w:color w:val="000000"/>
                <w:kern w:val="0"/>
                <w:sz w:val="21"/>
                <w:szCs w:val="21"/>
                <w:lang w:bidi="ar"/>
              </w:rPr>
              <w:t>在线电导率传感器</w:t>
            </w:r>
          </w:p>
        </w:tc>
        <w:tc>
          <w:tcPr>
            <w:tcW w:w="1490" w:type="pct"/>
            <w:shd w:val="clear" w:color="auto" w:fill="auto"/>
            <w:vAlign w:val="center"/>
          </w:tcPr>
          <w:p w14:paraId="28C4AF12">
            <w:pPr>
              <w:widowControl/>
              <w:spacing w:line="240" w:lineRule="auto"/>
              <w:ind w:firstLine="0" w:firstLineChars="0"/>
              <w:jc w:val="center"/>
              <w:textAlignment w:val="center"/>
              <w:rPr>
                <w:rFonts w:hint="eastAsia"/>
                <w:color w:val="000000"/>
                <w:kern w:val="0"/>
                <w:sz w:val="21"/>
                <w:szCs w:val="21"/>
                <w:lang w:bidi="ar"/>
              </w:rPr>
            </w:pPr>
            <w:r>
              <w:rPr>
                <w:rFonts w:hint="eastAsia"/>
                <w:sz w:val="21"/>
                <w:szCs w:val="21"/>
              </w:rPr>
              <w:t>接触式电极法</w:t>
            </w:r>
          </w:p>
        </w:tc>
      </w:tr>
      <w:tr w14:paraId="660A18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68" w:type="pct"/>
            <w:shd w:val="clear" w:color="auto" w:fill="auto"/>
            <w:vAlign w:val="center"/>
          </w:tcPr>
          <w:p w14:paraId="075D5B96">
            <w:pPr>
              <w:widowControl/>
              <w:spacing w:line="240" w:lineRule="auto"/>
              <w:ind w:firstLine="0" w:firstLineChars="0"/>
              <w:jc w:val="center"/>
              <w:textAlignment w:val="center"/>
              <w:rPr>
                <w:rFonts w:hint="eastAsia"/>
                <w:sz w:val="21"/>
                <w:szCs w:val="21"/>
              </w:rPr>
            </w:pPr>
            <w:r>
              <w:rPr>
                <w:rFonts w:hint="eastAsia"/>
                <w:color w:val="000000"/>
                <w:kern w:val="0"/>
                <w:sz w:val="21"/>
                <w:szCs w:val="21"/>
                <w:lang w:bidi="ar"/>
              </w:rPr>
              <w:t>浊度</w:t>
            </w:r>
          </w:p>
        </w:tc>
        <w:tc>
          <w:tcPr>
            <w:tcW w:w="2240" w:type="pct"/>
            <w:shd w:val="clear" w:color="auto" w:fill="auto"/>
            <w:vAlign w:val="center"/>
          </w:tcPr>
          <w:p w14:paraId="238F3F11">
            <w:pPr>
              <w:widowControl/>
              <w:spacing w:line="240" w:lineRule="auto"/>
              <w:ind w:firstLine="0" w:firstLineChars="0"/>
              <w:jc w:val="center"/>
              <w:textAlignment w:val="center"/>
              <w:rPr>
                <w:rFonts w:hint="eastAsia"/>
                <w:sz w:val="21"/>
                <w:szCs w:val="21"/>
              </w:rPr>
            </w:pPr>
            <w:r>
              <w:rPr>
                <w:rFonts w:hint="eastAsia"/>
                <w:color w:val="000000"/>
                <w:kern w:val="0"/>
                <w:sz w:val="21"/>
                <w:szCs w:val="21"/>
                <w:lang w:bidi="ar"/>
              </w:rPr>
              <w:t>在线浊度传感器</w:t>
            </w:r>
          </w:p>
        </w:tc>
        <w:tc>
          <w:tcPr>
            <w:tcW w:w="1490" w:type="pct"/>
            <w:shd w:val="clear" w:color="auto" w:fill="auto"/>
            <w:vAlign w:val="center"/>
          </w:tcPr>
          <w:p w14:paraId="49734425">
            <w:pPr>
              <w:widowControl/>
              <w:spacing w:line="240" w:lineRule="auto"/>
              <w:ind w:firstLine="0" w:firstLineChars="0"/>
              <w:jc w:val="center"/>
              <w:textAlignment w:val="center"/>
              <w:rPr>
                <w:rFonts w:hint="eastAsia"/>
                <w:sz w:val="21"/>
                <w:szCs w:val="21"/>
              </w:rPr>
            </w:pPr>
            <w:r>
              <w:rPr>
                <w:rFonts w:hint="eastAsia"/>
                <w:color w:val="000000"/>
                <w:kern w:val="0"/>
                <w:sz w:val="21"/>
                <w:szCs w:val="21"/>
                <w:lang w:bidi="ar"/>
              </w:rPr>
              <w:t>散射光法</w:t>
            </w:r>
          </w:p>
        </w:tc>
      </w:tr>
      <w:tr w14:paraId="497680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68" w:type="pct"/>
            <w:shd w:val="clear" w:color="auto" w:fill="auto"/>
            <w:vAlign w:val="center"/>
          </w:tcPr>
          <w:p w14:paraId="2C5BF21F">
            <w:pPr>
              <w:widowControl/>
              <w:spacing w:line="240" w:lineRule="auto"/>
              <w:ind w:firstLine="0" w:firstLineChars="0"/>
              <w:jc w:val="center"/>
              <w:textAlignment w:val="center"/>
              <w:rPr>
                <w:rFonts w:hint="eastAsia"/>
                <w:sz w:val="21"/>
                <w:szCs w:val="21"/>
              </w:rPr>
            </w:pPr>
            <w:r>
              <w:rPr>
                <w:rFonts w:hint="eastAsia"/>
                <w:sz w:val="21"/>
                <w:szCs w:val="21"/>
              </w:rPr>
              <w:t>悬浮物</w:t>
            </w:r>
          </w:p>
        </w:tc>
        <w:tc>
          <w:tcPr>
            <w:tcW w:w="2240" w:type="pct"/>
            <w:shd w:val="clear" w:color="auto" w:fill="auto"/>
            <w:vAlign w:val="center"/>
          </w:tcPr>
          <w:p w14:paraId="5E646B7F">
            <w:pPr>
              <w:widowControl/>
              <w:spacing w:line="240" w:lineRule="auto"/>
              <w:ind w:firstLine="0" w:firstLineChars="0"/>
              <w:jc w:val="center"/>
              <w:textAlignment w:val="center"/>
              <w:rPr>
                <w:rFonts w:hint="eastAsia"/>
                <w:sz w:val="21"/>
                <w:szCs w:val="21"/>
              </w:rPr>
            </w:pPr>
            <w:r>
              <w:rPr>
                <w:rFonts w:hint="eastAsia"/>
                <w:sz w:val="21"/>
                <w:szCs w:val="21"/>
              </w:rPr>
              <w:t>在线悬浮物传感器</w:t>
            </w:r>
          </w:p>
        </w:tc>
        <w:tc>
          <w:tcPr>
            <w:tcW w:w="1490" w:type="pct"/>
            <w:shd w:val="clear" w:color="auto" w:fill="auto"/>
            <w:vAlign w:val="center"/>
          </w:tcPr>
          <w:p w14:paraId="4D7CD7FA">
            <w:pPr>
              <w:widowControl/>
              <w:spacing w:line="240" w:lineRule="auto"/>
              <w:ind w:firstLine="0" w:firstLineChars="0"/>
              <w:jc w:val="center"/>
              <w:textAlignment w:val="center"/>
              <w:rPr>
                <w:rFonts w:hint="eastAsia"/>
                <w:sz w:val="21"/>
                <w:szCs w:val="21"/>
              </w:rPr>
            </w:pPr>
            <w:r>
              <w:rPr>
                <w:rFonts w:hint="eastAsia"/>
                <w:sz w:val="21"/>
                <w:szCs w:val="21"/>
              </w:rPr>
              <w:t>散射光法</w:t>
            </w:r>
          </w:p>
        </w:tc>
      </w:tr>
      <w:tr w14:paraId="2E2070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68" w:type="pct"/>
            <w:shd w:val="clear" w:color="auto" w:fill="auto"/>
            <w:vAlign w:val="center"/>
          </w:tcPr>
          <w:p w14:paraId="62379F98">
            <w:pPr>
              <w:widowControl/>
              <w:spacing w:line="240" w:lineRule="auto"/>
              <w:ind w:firstLine="0" w:firstLineChars="0"/>
              <w:jc w:val="center"/>
              <w:textAlignment w:val="center"/>
              <w:rPr>
                <w:rFonts w:hint="eastAsia"/>
                <w:color w:val="000000"/>
                <w:kern w:val="0"/>
                <w:sz w:val="21"/>
                <w:szCs w:val="21"/>
                <w:lang w:bidi="ar"/>
              </w:rPr>
            </w:pPr>
            <w:r>
              <w:rPr>
                <w:rFonts w:hint="eastAsia"/>
                <w:color w:val="000000"/>
                <w:kern w:val="0"/>
                <w:sz w:val="21"/>
                <w:szCs w:val="21"/>
                <w:lang w:bidi="ar"/>
              </w:rPr>
              <w:t>水中油</w:t>
            </w:r>
          </w:p>
        </w:tc>
        <w:tc>
          <w:tcPr>
            <w:tcW w:w="2240" w:type="pct"/>
            <w:shd w:val="clear" w:color="auto" w:fill="auto"/>
            <w:vAlign w:val="center"/>
          </w:tcPr>
          <w:p w14:paraId="0AF27EBC">
            <w:pPr>
              <w:widowControl/>
              <w:spacing w:line="240" w:lineRule="auto"/>
              <w:ind w:firstLine="0" w:firstLineChars="0"/>
              <w:jc w:val="center"/>
              <w:textAlignment w:val="center"/>
              <w:rPr>
                <w:rFonts w:hint="eastAsia"/>
                <w:color w:val="000000"/>
                <w:kern w:val="0"/>
                <w:sz w:val="21"/>
                <w:szCs w:val="21"/>
                <w:lang w:bidi="ar"/>
              </w:rPr>
            </w:pPr>
            <w:r>
              <w:rPr>
                <w:rFonts w:hint="eastAsia"/>
                <w:color w:val="000000"/>
                <w:kern w:val="0"/>
                <w:sz w:val="21"/>
                <w:szCs w:val="21"/>
                <w:lang w:bidi="ar"/>
              </w:rPr>
              <w:t>在线水中油传感器</w:t>
            </w:r>
          </w:p>
        </w:tc>
        <w:tc>
          <w:tcPr>
            <w:tcW w:w="1490" w:type="pct"/>
            <w:shd w:val="clear" w:color="auto" w:fill="auto"/>
            <w:vAlign w:val="center"/>
          </w:tcPr>
          <w:p w14:paraId="13F4B716">
            <w:pPr>
              <w:widowControl/>
              <w:spacing w:line="240" w:lineRule="auto"/>
              <w:ind w:firstLine="0" w:firstLineChars="0"/>
              <w:jc w:val="center"/>
              <w:textAlignment w:val="center"/>
              <w:rPr>
                <w:rFonts w:hint="eastAsia"/>
                <w:color w:val="000000"/>
                <w:kern w:val="0"/>
                <w:sz w:val="21"/>
                <w:szCs w:val="21"/>
                <w:lang w:bidi="ar"/>
              </w:rPr>
            </w:pPr>
            <w:r>
              <w:rPr>
                <w:rFonts w:hint="eastAsia"/>
                <w:color w:val="000000"/>
                <w:kern w:val="0"/>
                <w:sz w:val="21"/>
                <w:szCs w:val="21"/>
                <w:lang w:bidi="ar"/>
              </w:rPr>
              <w:t>荧光法</w:t>
            </w:r>
          </w:p>
        </w:tc>
      </w:tr>
      <w:tr w14:paraId="477134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68" w:type="pct"/>
            <w:shd w:val="clear" w:color="auto" w:fill="auto"/>
            <w:vAlign w:val="center"/>
          </w:tcPr>
          <w:p w14:paraId="2D917014">
            <w:pPr>
              <w:widowControl/>
              <w:spacing w:line="240" w:lineRule="auto"/>
              <w:ind w:firstLine="0" w:firstLineChars="0"/>
              <w:jc w:val="center"/>
              <w:textAlignment w:val="center"/>
              <w:rPr>
                <w:rFonts w:hint="eastAsia"/>
                <w:sz w:val="21"/>
                <w:szCs w:val="21"/>
              </w:rPr>
            </w:pPr>
            <w:r>
              <w:rPr>
                <w:rFonts w:hint="eastAsia"/>
                <w:sz w:val="21"/>
                <w:szCs w:val="21"/>
              </w:rPr>
              <w:t>透明度</w:t>
            </w:r>
          </w:p>
        </w:tc>
        <w:tc>
          <w:tcPr>
            <w:tcW w:w="2240" w:type="pct"/>
            <w:shd w:val="clear" w:color="auto" w:fill="auto"/>
            <w:vAlign w:val="center"/>
          </w:tcPr>
          <w:p w14:paraId="3F85874F">
            <w:pPr>
              <w:widowControl/>
              <w:spacing w:line="240" w:lineRule="auto"/>
              <w:ind w:firstLine="0" w:firstLineChars="0"/>
              <w:jc w:val="center"/>
              <w:textAlignment w:val="center"/>
              <w:rPr>
                <w:rFonts w:hint="eastAsia"/>
                <w:sz w:val="21"/>
                <w:szCs w:val="21"/>
              </w:rPr>
            </w:pPr>
            <w:r>
              <w:rPr>
                <w:rFonts w:hint="eastAsia"/>
                <w:sz w:val="21"/>
                <w:szCs w:val="21"/>
              </w:rPr>
              <w:t>在线透明度传感器</w:t>
            </w:r>
          </w:p>
        </w:tc>
        <w:tc>
          <w:tcPr>
            <w:tcW w:w="1490" w:type="pct"/>
            <w:shd w:val="clear" w:color="auto" w:fill="auto"/>
            <w:vAlign w:val="center"/>
          </w:tcPr>
          <w:p w14:paraId="00A4A597">
            <w:pPr>
              <w:widowControl/>
              <w:spacing w:line="240" w:lineRule="auto"/>
              <w:ind w:firstLine="0" w:firstLineChars="0"/>
              <w:jc w:val="center"/>
              <w:textAlignment w:val="center"/>
              <w:rPr>
                <w:rFonts w:hint="eastAsia"/>
                <w:sz w:val="21"/>
                <w:szCs w:val="21"/>
              </w:rPr>
            </w:pPr>
            <w:r>
              <w:rPr>
                <w:rFonts w:hint="eastAsia"/>
                <w:sz w:val="21"/>
                <w:szCs w:val="21"/>
              </w:rPr>
              <w:t>可见光吸收法</w:t>
            </w:r>
          </w:p>
        </w:tc>
      </w:tr>
      <w:tr w14:paraId="7C6DA1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268" w:type="pct"/>
            <w:shd w:val="clear" w:color="auto" w:fill="auto"/>
            <w:vAlign w:val="center"/>
          </w:tcPr>
          <w:p w14:paraId="5CFF7C43">
            <w:pPr>
              <w:widowControl/>
              <w:spacing w:line="240" w:lineRule="auto"/>
              <w:ind w:firstLine="0" w:firstLineChars="0"/>
              <w:jc w:val="center"/>
              <w:textAlignment w:val="center"/>
              <w:rPr>
                <w:rFonts w:hint="eastAsia"/>
                <w:sz w:val="21"/>
                <w:szCs w:val="21"/>
              </w:rPr>
            </w:pPr>
            <w:r>
              <w:rPr>
                <w:rFonts w:hint="eastAsia"/>
                <w:sz w:val="21"/>
                <w:szCs w:val="21"/>
              </w:rPr>
              <w:t>化学需氧量COD</w:t>
            </w:r>
          </w:p>
        </w:tc>
        <w:tc>
          <w:tcPr>
            <w:tcW w:w="2240" w:type="pct"/>
            <w:shd w:val="clear" w:color="auto" w:fill="auto"/>
            <w:vAlign w:val="center"/>
          </w:tcPr>
          <w:p w14:paraId="504EF559">
            <w:pPr>
              <w:widowControl/>
              <w:spacing w:line="240" w:lineRule="auto"/>
              <w:ind w:firstLine="0" w:firstLineChars="0"/>
              <w:jc w:val="center"/>
              <w:textAlignment w:val="center"/>
              <w:rPr>
                <w:rFonts w:hint="eastAsia"/>
                <w:sz w:val="21"/>
                <w:szCs w:val="21"/>
              </w:rPr>
            </w:pPr>
            <w:r>
              <w:rPr>
                <w:rFonts w:hint="eastAsia"/>
                <w:color w:val="000000"/>
                <w:kern w:val="0"/>
                <w:sz w:val="21"/>
                <w:szCs w:val="21"/>
                <w:lang w:bidi="ar"/>
              </w:rPr>
              <w:t>在线COD传感器/</w:t>
            </w:r>
            <w:r>
              <w:rPr>
                <w:rFonts w:hint="eastAsia"/>
                <w:color w:val="auto"/>
                <w:kern w:val="0"/>
                <w:sz w:val="21"/>
                <w:szCs w:val="21"/>
                <w:lang w:bidi="ar"/>
              </w:rPr>
              <w:t>在线全光谱多参数传感器</w:t>
            </w:r>
          </w:p>
        </w:tc>
        <w:tc>
          <w:tcPr>
            <w:tcW w:w="1490" w:type="pct"/>
            <w:shd w:val="clear" w:color="auto" w:fill="auto"/>
            <w:vAlign w:val="center"/>
          </w:tcPr>
          <w:p w14:paraId="00273D77">
            <w:pPr>
              <w:widowControl/>
              <w:spacing w:line="240" w:lineRule="auto"/>
              <w:ind w:firstLine="0" w:firstLineChars="0"/>
              <w:jc w:val="center"/>
              <w:textAlignment w:val="center"/>
              <w:rPr>
                <w:rFonts w:hint="eastAsia"/>
                <w:sz w:val="21"/>
                <w:szCs w:val="21"/>
              </w:rPr>
            </w:pPr>
            <w:r>
              <w:rPr>
                <w:rFonts w:hint="eastAsia"/>
                <w:sz w:val="21"/>
                <w:szCs w:val="21"/>
              </w:rPr>
              <w:t>双波长紫外吸收法</w:t>
            </w:r>
            <w:r>
              <w:rPr>
                <w:rFonts w:hint="eastAsia"/>
                <w:color w:val="000000"/>
                <w:kern w:val="0"/>
                <w:sz w:val="21"/>
                <w:szCs w:val="21"/>
                <w:lang w:bidi="ar"/>
              </w:rPr>
              <w:t>/</w:t>
            </w:r>
            <w:r>
              <w:rPr>
                <w:rFonts w:hint="eastAsia"/>
                <w:color w:val="auto"/>
                <w:kern w:val="0"/>
                <w:sz w:val="21"/>
                <w:szCs w:val="21"/>
                <w:lang w:bidi="ar"/>
              </w:rPr>
              <w:t>全光谱法</w:t>
            </w:r>
          </w:p>
        </w:tc>
      </w:tr>
      <w:tr w14:paraId="66417C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68" w:type="pct"/>
            <w:shd w:val="clear" w:color="auto" w:fill="auto"/>
            <w:vAlign w:val="center"/>
          </w:tcPr>
          <w:p w14:paraId="14D77A7E">
            <w:pPr>
              <w:widowControl/>
              <w:spacing w:line="240" w:lineRule="auto"/>
              <w:ind w:firstLine="0" w:firstLineChars="0"/>
              <w:jc w:val="center"/>
              <w:textAlignment w:val="center"/>
              <w:rPr>
                <w:rFonts w:hint="eastAsia"/>
                <w:sz w:val="21"/>
                <w:szCs w:val="21"/>
              </w:rPr>
            </w:pPr>
            <w:r>
              <w:rPr>
                <w:rFonts w:hint="eastAsia"/>
                <w:color w:val="000000"/>
                <w:kern w:val="0"/>
                <w:sz w:val="21"/>
                <w:szCs w:val="21"/>
                <w:lang w:bidi="ar"/>
              </w:rPr>
              <w:t>氨氮</w:t>
            </w:r>
          </w:p>
        </w:tc>
        <w:tc>
          <w:tcPr>
            <w:tcW w:w="2240" w:type="pct"/>
            <w:shd w:val="clear" w:color="auto" w:fill="auto"/>
            <w:vAlign w:val="center"/>
          </w:tcPr>
          <w:p w14:paraId="2983012D">
            <w:pPr>
              <w:widowControl/>
              <w:spacing w:line="240" w:lineRule="auto"/>
              <w:ind w:firstLine="0" w:firstLineChars="0"/>
              <w:jc w:val="center"/>
              <w:textAlignment w:val="center"/>
              <w:rPr>
                <w:rFonts w:hint="eastAsia"/>
                <w:sz w:val="21"/>
                <w:szCs w:val="21"/>
              </w:rPr>
            </w:pPr>
            <w:r>
              <w:rPr>
                <w:rFonts w:hint="eastAsia"/>
                <w:color w:val="000000"/>
                <w:kern w:val="0"/>
                <w:sz w:val="21"/>
                <w:szCs w:val="21"/>
                <w:lang w:bidi="ar"/>
              </w:rPr>
              <w:t>在线氨氮传感器/</w:t>
            </w:r>
            <w:r>
              <w:rPr>
                <w:rFonts w:hint="eastAsia"/>
                <w:color w:val="auto"/>
                <w:kern w:val="0"/>
                <w:sz w:val="21"/>
                <w:szCs w:val="21"/>
                <w:lang w:bidi="ar"/>
              </w:rPr>
              <w:t>在线全光谱多参数传感器</w:t>
            </w:r>
          </w:p>
        </w:tc>
        <w:tc>
          <w:tcPr>
            <w:tcW w:w="1490" w:type="pct"/>
            <w:shd w:val="clear" w:color="auto" w:fill="auto"/>
            <w:vAlign w:val="center"/>
          </w:tcPr>
          <w:p w14:paraId="21D0E72D">
            <w:pPr>
              <w:widowControl/>
              <w:spacing w:line="240" w:lineRule="auto"/>
              <w:ind w:firstLine="0" w:firstLineChars="0"/>
              <w:jc w:val="center"/>
              <w:textAlignment w:val="center"/>
              <w:rPr>
                <w:rFonts w:hint="eastAsia"/>
                <w:sz w:val="21"/>
                <w:szCs w:val="21"/>
              </w:rPr>
            </w:pPr>
            <w:r>
              <w:rPr>
                <w:rFonts w:hint="eastAsia"/>
                <w:color w:val="000000"/>
                <w:kern w:val="0"/>
                <w:sz w:val="21"/>
                <w:szCs w:val="21"/>
                <w:lang w:bidi="ar"/>
              </w:rPr>
              <w:t>离子选择法/</w:t>
            </w:r>
            <w:r>
              <w:rPr>
                <w:rFonts w:hint="eastAsia"/>
                <w:color w:val="auto"/>
                <w:kern w:val="0"/>
                <w:sz w:val="21"/>
                <w:szCs w:val="21"/>
                <w:lang w:bidi="ar"/>
              </w:rPr>
              <w:t>全光谱法</w:t>
            </w:r>
          </w:p>
        </w:tc>
      </w:tr>
      <w:tr w14:paraId="13CE32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68" w:type="pct"/>
            <w:shd w:val="clear" w:color="auto" w:fill="auto"/>
            <w:vAlign w:val="center"/>
          </w:tcPr>
          <w:p w14:paraId="794A2601">
            <w:pPr>
              <w:widowControl/>
              <w:spacing w:line="240" w:lineRule="auto"/>
              <w:ind w:firstLine="0" w:firstLineChars="0"/>
              <w:jc w:val="center"/>
              <w:textAlignment w:val="center"/>
              <w:rPr>
                <w:rFonts w:hint="eastAsia"/>
                <w:sz w:val="21"/>
                <w:szCs w:val="21"/>
              </w:rPr>
            </w:pPr>
            <w:r>
              <w:rPr>
                <w:rFonts w:hint="eastAsia"/>
                <w:sz w:val="21"/>
                <w:szCs w:val="21"/>
              </w:rPr>
              <w:t>流量</w:t>
            </w:r>
          </w:p>
        </w:tc>
        <w:tc>
          <w:tcPr>
            <w:tcW w:w="2240" w:type="pct"/>
            <w:shd w:val="clear" w:color="auto" w:fill="auto"/>
            <w:vAlign w:val="center"/>
          </w:tcPr>
          <w:p w14:paraId="2CA0EF9F">
            <w:pPr>
              <w:widowControl/>
              <w:spacing w:line="240" w:lineRule="auto"/>
              <w:ind w:firstLine="0" w:firstLineChars="0"/>
              <w:jc w:val="center"/>
              <w:textAlignment w:val="center"/>
              <w:rPr>
                <w:rFonts w:hint="eastAsia"/>
                <w:sz w:val="21"/>
                <w:szCs w:val="21"/>
              </w:rPr>
            </w:pPr>
            <w:r>
              <w:rPr>
                <w:rFonts w:hint="eastAsia"/>
                <w:sz w:val="21"/>
                <w:szCs w:val="21"/>
              </w:rPr>
              <w:t>超声波多普勒流量计/超声波雷达流量计</w:t>
            </w:r>
          </w:p>
        </w:tc>
        <w:tc>
          <w:tcPr>
            <w:tcW w:w="1490" w:type="pct"/>
            <w:shd w:val="clear" w:color="auto" w:fill="auto"/>
            <w:vAlign w:val="center"/>
          </w:tcPr>
          <w:p w14:paraId="351578F6">
            <w:pPr>
              <w:widowControl/>
              <w:spacing w:line="240" w:lineRule="auto"/>
              <w:ind w:firstLine="0" w:firstLineChars="0"/>
              <w:jc w:val="center"/>
              <w:textAlignment w:val="center"/>
              <w:rPr>
                <w:rFonts w:hint="eastAsia"/>
                <w:sz w:val="21"/>
                <w:szCs w:val="21"/>
              </w:rPr>
            </w:pPr>
            <w:r>
              <w:rPr>
                <w:rFonts w:hint="eastAsia"/>
                <w:sz w:val="21"/>
                <w:szCs w:val="21"/>
              </w:rPr>
              <w:t>超声波多普勒式/雷达式</w:t>
            </w:r>
          </w:p>
        </w:tc>
      </w:tr>
      <w:tr w14:paraId="76A273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68" w:type="pct"/>
            <w:shd w:val="clear" w:color="auto" w:fill="auto"/>
            <w:vAlign w:val="center"/>
          </w:tcPr>
          <w:p w14:paraId="688006F0">
            <w:pPr>
              <w:widowControl/>
              <w:spacing w:line="240" w:lineRule="auto"/>
              <w:ind w:firstLine="0" w:firstLineChars="0"/>
              <w:jc w:val="center"/>
              <w:textAlignment w:val="center"/>
              <w:rPr>
                <w:rFonts w:hint="eastAsia"/>
                <w:sz w:val="21"/>
                <w:szCs w:val="21"/>
              </w:rPr>
            </w:pPr>
            <w:r>
              <w:rPr>
                <w:rFonts w:hint="eastAsia"/>
                <w:sz w:val="21"/>
                <w:szCs w:val="21"/>
              </w:rPr>
              <w:t>水位</w:t>
            </w:r>
          </w:p>
        </w:tc>
        <w:tc>
          <w:tcPr>
            <w:tcW w:w="2240" w:type="pct"/>
            <w:shd w:val="clear" w:color="auto" w:fill="auto"/>
            <w:vAlign w:val="center"/>
          </w:tcPr>
          <w:p w14:paraId="129719EE">
            <w:pPr>
              <w:widowControl/>
              <w:spacing w:line="240" w:lineRule="auto"/>
              <w:ind w:firstLine="0" w:firstLineChars="0"/>
              <w:jc w:val="center"/>
              <w:textAlignment w:val="center"/>
              <w:rPr>
                <w:rFonts w:hint="eastAsia"/>
                <w:sz w:val="21"/>
                <w:szCs w:val="21"/>
              </w:rPr>
            </w:pPr>
            <w:r>
              <w:rPr>
                <w:rFonts w:hint="eastAsia"/>
                <w:sz w:val="21"/>
                <w:szCs w:val="21"/>
              </w:rPr>
              <w:t>静压式液位计/雷达液位计</w:t>
            </w:r>
          </w:p>
        </w:tc>
        <w:tc>
          <w:tcPr>
            <w:tcW w:w="1490" w:type="pct"/>
            <w:shd w:val="clear" w:color="auto" w:fill="auto"/>
            <w:vAlign w:val="center"/>
          </w:tcPr>
          <w:p w14:paraId="49CA72C9">
            <w:pPr>
              <w:widowControl/>
              <w:spacing w:line="240" w:lineRule="auto"/>
              <w:ind w:firstLine="0" w:firstLineChars="0"/>
              <w:jc w:val="center"/>
              <w:textAlignment w:val="center"/>
              <w:rPr>
                <w:rFonts w:hint="eastAsia"/>
                <w:sz w:val="21"/>
                <w:szCs w:val="21"/>
              </w:rPr>
            </w:pPr>
            <w:r>
              <w:rPr>
                <w:rFonts w:hint="eastAsia"/>
                <w:sz w:val="21"/>
                <w:szCs w:val="21"/>
              </w:rPr>
              <w:t>压力式/雷达式</w:t>
            </w:r>
          </w:p>
        </w:tc>
      </w:tr>
      <w:tr w14:paraId="46CA81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1268" w:type="pct"/>
            <w:shd w:val="clear" w:color="auto" w:fill="auto"/>
            <w:vAlign w:val="center"/>
          </w:tcPr>
          <w:p w14:paraId="51272787">
            <w:pPr>
              <w:widowControl/>
              <w:spacing w:line="240" w:lineRule="auto"/>
              <w:ind w:firstLine="0" w:firstLineChars="0"/>
              <w:jc w:val="center"/>
              <w:textAlignment w:val="center"/>
              <w:rPr>
                <w:rFonts w:hint="eastAsia"/>
                <w:sz w:val="21"/>
                <w:szCs w:val="21"/>
              </w:rPr>
            </w:pPr>
            <w:r>
              <w:rPr>
                <w:rFonts w:hint="eastAsia"/>
                <w:sz w:val="21"/>
                <w:szCs w:val="21"/>
              </w:rPr>
              <w:t>井盖异动</w:t>
            </w:r>
          </w:p>
        </w:tc>
        <w:tc>
          <w:tcPr>
            <w:tcW w:w="2240" w:type="pct"/>
            <w:shd w:val="clear" w:color="auto" w:fill="auto"/>
            <w:vAlign w:val="center"/>
          </w:tcPr>
          <w:p w14:paraId="662459F4">
            <w:pPr>
              <w:widowControl/>
              <w:spacing w:line="240" w:lineRule="auto"/>
              <w:ind w:firstLine="0" w:firstLineChars="0"/>
              <w:jc w:val="center"/>
              <w:textAlignment w:val="center"/>
              <w:rPr>
                <w:rFonts w:hint="eastAsia"/>
                <w:sz w:val="21"/>
                <w:szCs w:val="21"/>
              </w:rPr>
            </w:pPr>
            <w:r>
              <w:rPr>
                <w:rFonts w:hint="eastAsia"/>
                <w:sz w:val="21"/>
                <w:szCs w:val="21"/>
              </w:rPr>
              <w:t>井盖异动传感器</w:t>
            </w:r>
          </w:p>
        </w:tc>
        <w:tc>
          <w:tcPr>
            <w:tcW w:w="1490" w:type="pct"/>
            <w:shd w:val="clear" w:color="auto" w:fill="auto"/>
            <w:vAlign w:val="center"/>
          </w:tcPr>
          <w:p w14:paraId="1B9BE5C5">
            <w:pPr>
              <w:widowControl/>
              <w:spacing w:line="240" w:lineRule="auto"/>
              <w:ind w:firstLine="0" w:firstLineChars="0"/>
              <w:jc w:val="center"/>
              <w:textAlignment w:val="center"/>
              <w:rPr>
                <w:rFonts w:hint="eastAsia"/>
                <w:sz w:val="21"/>
                <w:szCs w:val="21"/>
              </w:rPr>
            </w:pPr>
            <w:r>
              <w:rPr>
                <w:rFonts w:hint="eastAsia"/>
                <w:sz w:val="21"/>
                <w:szCs w:val="21"/>
              </w:rPr>
              <w:t>重力原理法</w:t>
            </w:r>
          </w:p>
        </w:tc>
      </w:tr>
      <w:tr w14:paraId="31E41B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68" w:type="pct"/>
            <w:shd w:val="clear" w:color="auto" w:fill="auto"/>
            <w:vAlign w:val="center"/>
          </w:tcPr>
          <w:p w14:paraId="61CE1193">
            <w:pPr>
              <w:widowControl/>
              <w:spacing w:line="240" w:lineRule="auto"/>
              <w:ind w:firstLine="0" w:firstLineChars="0"/>
              <w:jc w:val="center"/>
              <w:textAlignment w:val="center"/>
              <w:rPr>
                <w:rFonts w:hint="eastAsia"/>
                <w:sz w:val="21"/>
                <w:szCs w:val="21"/>
              </w:rPr>
            </w:pPr>
            <w:r>
              <w:rPr>
                <w:rFonts w:hint="eastAsia"/>
                <w:sz w:val="21"/>
                <w:szCs w:val="21"/>
              </w:rPr>
              <w:t>甲烷浓度</w:t>
            </w:r>
          </w:p>
        </w:tc>
        <w:tc>
          <w:tcPr>
            <w:tcW w:w="2240" w:type="pct"/>
            <w:shd w:val="clear" w:color="auto" w:fill="auto"/>
            <w:vAlign w:val="center"/>
          </w:tcPr>
          <w:p w14:paraId="3985289E">
            <w:pPr>
              <w:widowControl/>
              <w:spacing w:line="240" w:lineRule="auto"/>
              <w:ind w:firstLine="0" w:firstLineChars="0"/>
              <w:jc w:val="center"/>
              <w:textAlignment w:val="center"/>
              <w:rPr>
                <w:rFonts w:hint="eastAsia"/>
                <w:sz w:val="21"/>
                <w:szCs w:val="21"/>
              </w:rPr>
            </w:pPr>
            <w:r>
              <w:rPr>
                <w:rFonts w:hint="eastAsia"/>
                <w:sz w:val="21"/>
                <w:szCs w:val="21"/>
              </w:rPr>
              <w:t>甲烷浓度传感器</w:t>
            </w:r>
          </w:p>
        </w:tc>
        <w:tc>
          <w:tcPr>
            <w:tcW w:w="1490" w:type="pct"/>
            <w:shd w:val="clear" w:color="auto" w:fill="auto"/>
            <w:vAlign w:val="center"/>
          </w:tcPr>
          <w:p w14:paraId="447404AC">
            <w:pPr>
              <w:widowControl/>
              <w:spacing w:line="240" w:lineRule="auto"/>
              <w:ind w:firstLine="0" w:firstLineChars="0"/>
              <w:jc w:val="center"/>
              <w:textAlignment w:val="center"/>
              <w:rPr>
                <w:rFonts w:hint="eastAsia"/>
                <w:sz w:val="21"/>
                <w:szCs w:val="21"/>
              </w:rPr>
            </w:pPr>
            <w:r>
              <w:rPr>
                <w:rFonts w:hint="eastAsia"/>
                <w:sz w:val="21"/>
                <w:szCs w:val="21"/>
              </w:rPr>
              <w:t>电化学法</w:t>
            </w:r>
          </w:p>
        </w:tc>
      </w:tr>
      <w:tr w14:paraId="053B54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5000" w:type="pct"/>
            <w:gridSpan w:val="3"/>
            <w:shd w:val="clear" w:color="auto" w:fill="auto"/>
            <w:vAlign w:val="center"/>
          </w:tcPr>
          <w:p w14:paraId="42A6439C">
            <w:pPr>
              <w:widowControl/>
              <w:spacing w:line="240" w:lineRule="auto"/>
              <w:ind w:firstLine="0" w:firstLineChars="0"/>
              <w:jc w:val="center"/>
              <w:textAlignment w:val="center"/>
              <w:rPr>
                <w:rFonts w:hint="default" w:eastAsia="宋体"/>
                <w:sz w:val="21"/>
                <w:szCs w:val="21"/>
                <w:lang w:val="en-US" w:eastAsia="zh-CN"/>
              </w:rPr>
            </w:pPr>
            <w:r>
              <w:rPr>
                <w:rFonts w:hint="eastAsia"/>
                <w:b/>
                <w:bCs/>
                <w:sz w:val="21"/>
                <w:szCs w:val="21"/>
                <w:lang w:val="en-US" w:eastAsia="zh-CN"/>
              </w:rPr>
              <w:t>便携监测设备</w:t>
            </w:r>
          </w:p>
        </w:tc>
      </w:tr>
      <w:tr w14:paraId="57FB44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68" w:type="pct"/>
            <w:shd w:val="clear" w:color="auto" w:fill="auto"/>
            <w:vAlign w:val="center"/>
          </w:tcPr>
          <w:p w14:paraId="31BF99DF">
            <w:pPr>
              <w:widowControl/>
              <w:spacing w:line="240" w:lineRule="auto"/>
              <w:ind w:firstLine="0" w:firstLineChars="0"/>
              <w:jc w:val="center"/>
              <w:textAlignment w:val="center"/>
              <w:rPr>
                <w:rFonts w:hint="eastAsia"/>
                <w:sz w:val="21"/>
                <w:szCs w:val="21"/>
              </w:rPr>
            </w:pPr>
            <w:r>
              <w:rPr>
                <w:rFonts w:hint="eastAsia"/>
                <w:sz w:val="21"/>
                <w:szCs w:val="21"/>
              </w:rPr>
              <w:t>化学需氧量COD</w:t>
            </w:r>
          </w:p>
        </w:tc>
        <w:tc>
          <w:tcPr>
            <w:tcW w:w="2240" w:type="pct"/>
            <w:vMerge w:val="restart"/>
            <w:shd w:val="clear" w:color="auto" w:fill="auto"/>
            <w:vAlign w:val="center"/>
          </w:tcPr>
          <w:p w14:paraId="3B9C63C0">
            <w:pPr>
              <w:widowControl/>
              <w:spacing w:line="240" w:lineRule="auto"/>
              <w:ind w:firstLine="0" w:firstLineChars="0"/>
              <w:jc w:val="center"/>
              <w:textAlignment w:val="center"/>
              <w:rPr>
                <w:rFonts w:hint="eastAsia"/>
                <w:sz w:val="21"/>
                <w:szCs w:val="21"/>
              </w:rPr>
            </w:pPr>
            <w:r>
              <w:rPr>
                <w:rFonts w:hint="eastAsia"/>
                <w:color w:val="000000"/>
                <w:kern w:val="0"/>
                <w:sz w:val="21"/>
                <w:szCs w:val="21"/>
                <w:lang w:bidi="ar"/>
              </w:rPr>
              <w:t>便携式多参数分析仪</w:t>
            </w:r>
          </w:p>
        </w:tc>
        <w:tc>
          <w:tcPr>
            <w:tcW w:w="1490" w:type="pct"/>
            <w:vMerge w:val="restart"/>
            <w:shd w:val="clear" w:color="auto" w:fill="auto"/>
            <w:vAlign w:val="center"/>
          </w:tcPr>
          <w:p w14:paraId="636A80C0">
            <w:pPr>
              <w:widowControl/>
              <w:spacing w:line="240" w:lineRule="auto"/>
              <w:ind w:firstLine="0" w:firstLineChars="0"/>
              <w:jc w:val="center"/>
              <w:textAlignment w:val="center"/>
              <w:rPr>
                <w:rFonts w:hint="eastAsia"/>
                <w:sz w:val="21"/>
                <w:szCs w:val="21"/>
              </w:rPr>
            </w:pPr>
            <w:r>
              <w:rPr>
                <w:rFonts w:hint="eastAsia"/>
                <w:color w:val="000000"/>
                <w:kern w:val="0"/>
                <w:sz w:val="21"/>
                <w:szCs w:val="21"/>
                <w:lang w:bidi="ar"/>
              </w:rPr>
              <w:t>光电比色法</w:t>
            </w:r>
          </w:p>
        </w:tc>
      </w:tr>
      <w:tr w14:paraId="116ED6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1268" w:type="pct"/>
            <w:shd w:val="clear" w:color="auto" w:fill="auto"/>
            <w:vAlign w:val="center"/>
          </w:tcPr>
          <w:p w14:paraId="07F5D8D6">
            <w:pPr>
              <w:widowControl/>
              <w:spacing w:line="240" w:lineRule="auto"/>
              <w:ind w:firstLine="0" w:firstLineChars="0"/>
              <w:jc w:val="center"/>
              <w:textAlignment w:val="center"/>
              <w:rPr>
                <w:rFonts w:hint="eastAsia"/>
                <w:sz w:val="21"/>
                <w:szCs w:val="21"/>
              </w:rPr>
            </w:pPr>
            <w:r>
              <w:rPr>
                <w:rFonts w:hint="eastAsia"/>
                <w:color w:val="000000"/>
                <w:kern w:val="0"/>
                <w:sz w:val="21"/>
                <w:szCs w:val="21"/>
                <w:lang w:bidi="ar"/>
              </w:rPr>
              <w:t>氨氮</w:t>
            </w:r>
          </w:p>
        </w:tc>
        <w:tc>
          <w:tcPr>
            <w:tcW w:w="2240" w:type="pct"/>
            <w:vMerge w:val="continue"/>
            <w:shd w:val="clear" w:color="auto" w:fill="auto"/>
            <w:vAlign w:val="center"/>
          </w:tcPr>
          <w:p w14:paraId="306216EE">
            <w:pPr>
              <w:widowControl/>
              <w:spacing w:line="240" w:lineRule="auto"/>
              <w:ind w:firstLine="0" w:firstLineChars="0"/>
              <w:jc w:val="center"/>
              <w:textAlignment w:val="center"/>
              <w:rPr>
                <w:rFonts w:hint="eastAsia"/>
                <w:sz w:val="21"/>
                <w:szCs w:val="21"/>
              </w:rPr>
            </w:pPr>
          </w:p>
        </w:tc>
        <w:tc>
          <w:tcPr>
            <w:tcW w:w="1490" w:type="pct"/>
            <w:vMerge w:val="continue"/>
            <w:shd w:val="clear" w:color="auto" w:fill="auto"/>
            <w:vAlign w:val="center"/>
          </w:tcPr>
          <w:p w14:paraId="6E0A13F6">
            <w:pPr>
              <w:widowControl/>
              <w:spacing w:line="240" w:lineRule="auto"/>
              <w:ind w:firstLine="0" w:firstLineChars="0"/>
              <w:jc w:val="center"/>
              <w:textAlignment w:val="center"/>
              <w:rPr>
                <w:rFonts w:hint="eastAsia"/>
                <w:sz w:val="21"/>
                <w:szCs w:val="21"/>
              </w:rPr>
            </w:pPr>
          </w:p>
        </w:tc>
      </w:tr>
    </w:tbl>
    <w:p w14:paraId="4351A15D">
      <w:pPr>
        <w:ind w:firstLine="0" w:firstLineChars="0"/>
        <w:rPr>
          <w:rFonts w:hint="eastAsia"/>
          <w:color w:val="FF0000"/>
        </w:rPr>
      </w:pPr>
    </w:p>
    <w:p w14:paraId="72980333">
      <w:pPr>
        <w:numPr>
          <w:ilvl w:val="0"/>
          <w:numId w:val="2"/>
        </w:num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设备类型选择</w:t>
      </w:r>
    </w:p>
    <w:p w14:paraId="4CBFAB78">
      <w:pPr>
        <w:ind w:firstLine="482"/>
        <w:jc w:val="left"/>
        <w:rPr>
          <w:rFonts w:hint="eastAsia"/>
          <w:b/>
          <w:bCs/>
          <w:color w:val="000000" w:themeColor="text1"/>
          <w14:textFill>
            <w14:solidFill>
              <w14:schemeClr w14:val="tx1"/>
            </w14:solidFill>
          </w14:textFill>
        </w:rPr>
      </w:pPr>
      <w:r>
        <w:rPr>
          <w:b/>
          <w:bCs/>
        </w:rPr>
        <w:t>井下水质监测预警站</w:t>
      </w:r>
      <w:r>
        <w:rPr>
          <w:rFonts w:hint="eastAsia"/>
          <w:b/>
          <w:bCs/>
          <w:color w:val="000000" w:themeColor="text1"/>
          <w14:textFill>
            <w14:solidFill>
              <w14:schemeClr w14:val="tx1"/>
            </w14:solidFill>
          </w14:textFill>
        </w:rPr>
        <w:t>：</w:t>
      </w:r>
    </w:p>
    <w:p w14:paraId="66BD5B20">
      <w:pPr>
        <w:ind w:firstLine="482"/>
        <w:jc w:val="left"/>
        <w:rPr>
          <w:rFonts w:hint="eastAsia"/>
          <w:b/>
          <w:bCs/>
          <w:color w:val="000000" w:themeColor="text1"/>
          <w14:textFill>
            <w14:solidFill>
              <w14:schemeClr w14:val="tx1"/>
            </w14:solidFill>
          </w14:textFill>
        </w:rPr>
      </w:pPr>
      <w:bookmarkStart w:id="24" w:name="_GoBack"/>
      <w:r>
        <w:drawing>
          <wp:inline distT="0" distB="0" distL="114300" distR="114300">
            <wp:extent cx="4720590" cy="1042670"/>
            <wp:effectExtent l="0" t="0" r="3810" b="508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16"/>
                    <a:stretch>
                      <a:fillRect/>
                    </a:stretch>
                  </pic:blipFill>
                  <pic:spPr>
                    <a:xfrm>
                      <a:off x="0" y="0"/>
                      <a:ext cx="4720590" cy="1042670"/>
                    </a:xfrm>
                    <a:prstGeom prst="rect">
                      <a:avLst/>
                    </a:prstGeom>
                    <a:noFill/>
                    <a:ln>
                      <a:noFill/>
                    </a:ln>
                  </pic:spPr>
                </pic:pic>
              </a:graphicData>
            </a:graphic>
          </wp:inline>
        </w:drawing>
      </w:r>
      <w:bookmarkEnd w:id="24"/>
    </w:p>
    <w:p w14:paraId="27BA7624">
      <w:pPr>
        <w:ind w:firstLine="0" w:firstLineChars="0"/>
        <w:jc w:val="left"/>
        <w:rPr>
          <w:rFonts w:hint="default" w:eastAsia="宋体"/>
          <w:b/>
          <w:bCs/>
          <w:sz w:val="18"/>
          <w:szCs w:val="18"/>
          <w:lang w:val="en-US" w:eastAsia="zh-CN"/>
        </w:rPr>
      </w:pPr>
      <w:r>
        <w:rPr>
          <w:rFonts w:hint="eastAsia"/>
          <w:b/>
          <w:bCs/>
          <w:sz w:val="18"/>
          <w:szCs w:val="18"/>
          <w:lang w:val="en-US" w:eastAsia="zh-CN"/>
        </w:rPr>
        <w:t xml:space="preserve">                    水质传感器       清洁防护装置         流量计         井盖异动气体传感器</w:t>
      </w:r>
    </w:p>
    <w:p w14:paraId="3584E30A">
      <w:pPr>
        <w:ind w:firstLine="482"/>
        <w:jc w:val="left"/>
        <w:rPr>
          <w:rFonts w:hint="eastAsia"/>
          <w:b/>
          <w:bCs/>
          <w:lang w:val="en-US" w:eastAsia="zh-CN"/>
        </w:rPr>
      </w:pPr>
      <w:r>
        <w:rPr>
          <w:rFonts w:hint="eastAsia"/>
          <w:b/>
          <w:bCs/>
          <w:lang w:val="en-US" w:eastAsia="zh-CN"/>
        </w:rPr>
        <w:t>便携监测设备：</w:t>
      </w:r>
      <w:bookmarkStart w:id="11" w:name="_Toc26370"/>
      <w:bookmarkStart w:id="12" w:name="_Toc24440"/>
    </w:p>
    <w:p w14:paraId="0BADB7DB">
      <w:pPr>
        <w:ind w:firstLine="482"/>
        <w:jc w:val="center"/>
      </w:pPr>
      <w:r>
        <w:drawing>
          <wp:inline distT="0" distB="0" distL="114300" distR="114300">
            <wp:extent cx="3050540" cy="1150620"/>
            <wp:effectExtent l="0" t="0" r="12700" b="7620"/>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7"/>
                    <a:srcRect r="19409" b="18342"/>
                    <a:stretch>
                      <a:fillRect/>
                    </a:stretch>
                  </pic:blipFill>
                  <pic:spPr>
                    <a:xfrm>
                      <a:off x="0" y="0"/>
                      <a:ext cx="3050540" cy="1150620"/>
                    </a:xfrm>
                    <a:prstGeom prst="rect">
                      <a:avLst/>
                    </a:prstGeom>
                    <a:noFill/>
                    <a:ln>
                      <a:noFill/>
                    </a:ln>
                  </pic:spPr>
                </pic:pic>
              </a:graphicData>
            </a:graphic>
          </wp:inline>
        </w:drawing>
      </w:r>
    </w:p>
    <w:p w14:paraId="3D899DF5">
      <w:pPr>
        <w:ind w:firstLine="0" w:firstLineChars="0"/>
        <w:jc w:val="center"/>
        <w:rPr>
          <w:rFonts w:hint="default" w:eastAsia="宋体"/>
          <w:b/>
          <w:bCs/>
          <w:sz w:val="18"/>
          <w:szCs w:val="18"/>
          <w:lang w:val="en-US" w:eastAsia="zh-CN"/>
        </w:rPr>
      </w:pPr>
      <w:r>
        <w:rPr>
          <w:rFonts w:hint="eastAsia"/>
          <w:b/>
          <w:bCs/>
          <w:sz w:val="18"/>
          <w:szCs w:val="18"/>
          <w:lang w:val="en-US" w:eastAsia="zh-CN"/>
        </w:rPr>
        <w:t>便携式多参数分析仪            便携式多参数检测仪</w:t>
      </w:r>
    </w:p>
    <w:p w14:paraId="285E9EFB">
      <w:pPr>
        <w:ind w:firstLine="482"/>
        <w:jc w:val="center"/>
        <w:rPr>
          <w:rFonts w:hint="eastAsia"/>
          <w:lang w:val="en-US" w:eastAsia="zh-CN"/>
        </w:rPr>
        <w:sectPr>
          <w:pgSz w:w="11906" w:h="16838"/>
          <w:pgMar w:top="1440" w:right="1800" w:bottom="1440" w:left="1800" w:header="851" w:footer="992" w:gutter="0"/>
          <w:cols w:space="425" w:num="1"/>
          <w:docGrid w:type="lines" w:linePitch="312" w:charSpace="0"/>
        </w:sectPr>
      </w:pPr>
    </w:p>
    <w:p w14:paraId="0A902B83">
      <w:pPr>
        <w:pStyle w:val="2"/>
        <w:rPr>
          <w:rFonts w:hint="eastAsia"/>
        </w:rPr>
      </w:pPr>
      <w:r>
        <w:rPr>
          <w:rFonts w:hint="eastAsia"/>
        </w:rPr>
        <w:t>产品介绍</w:t>
      </w:r>
      <w:bookmarkEnd w:id="11"/>
      <w:bookmarkEnd w:id="12"/>
    </w:p>
    <w:p w14:paraId="57E1EAC6">
      <w:pPr>
        <w:pStyle w:val="3"/>
        <w:rPr>
          <w:rFonts w:hint="eastAsia"/>
        </w:rPr>
      </w:pPr>
      <w:bookmarkStart w:id="13" w:name="_Toc6714"/>
      <w:r>
        <w:rPr>
          <w:rFonts w:hint="eastAsia"/>
        </w:rPr>
        <w:t>技术参数</w:t>
      </w:r>
      <w:bookmarkEnd w:id="13"/>
    </w:p>
    <w:tbl>
      <w:tblPr>
        <w:tblStyle w:val="20"/>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4185"/>
        <w:gridCol w:w="2754"/>
      </w:tblGrid>
      <w:tr w14:paraId="35B715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trPr>
        <w:tc>
          <w:tcPr>
            <w:tcW w:w="927" w:type="pct"/>
            <w:vAlign w:val="center"/>
          </w:tcPr>
          <w:p w14:paraId="10F891E3">
            <w:pPr>
              <w:spacing w:line="240" w:lineRule="auto"/>
              <w:ind w:firstLine="0" w:firstLineChars="0"/>
              <w:jc w:val="center"/>
              <w:rPr>
                <w:rFonts w:hint="eastAsia"/>
                <w:b/>
                <w:bCs/>
                <w:sz w:val="21"/>
                <w:szCs w:val="21"/>
              </w:rPr>
            </w:pPr>
            <w:r>
              <w:rPr>
                <w:rFonts w:hint="eastAsia"/>
                <w:b/>
                <w:bCs/>
                <w:sz w:val="21"/>
                <w:szCs w:val="21"/>
              </w:rPr>
              <w:t>设备名称</w:t>
            </w:r>
          </w:p>
        </w:tc>
        <w:tc>
          <w:tcPr>
            <w:tcW w:w="2456" w:type="pct"/>
            <w:vAlign w:val="center"/>
          </w:tcPr>
          <w:p w14:paraId="2B0170C8">
            <w:pPr>
              <w:spacing w:line="240" w:lineRule="auto"/>
              <w:ind w:firstLine="0" w:firstLineChars="0"/>
              <w:jc w:val="center"/>
              <w:rPr>
                <w:rFonts w:hint="eastAsia"/>
                <w:b/>
                <w:bCs/>
                <w:sz w:val="21"/>
                <w:szCs w:val="21"/>
              </w:rPr>
            </w:pPr>
            <w:r>
              <w:rPr>
                <w:rFonts w:hint="eastAsia"/>
                <w:b/>
                <w:bCs/>
                <w:sz w:val="21"/>
                <w:szCs w:val="21"/>
              </w:rPr>
              <w:t>监测参数</w:t>
            </w:r>
          </w:p>
        </w:tc>
        <w:tc>
          <w:tcPr>
            <w:tcW w:w="1616" w:type="pct"/>
            <w:vAlign w:val="center"/>
          </w:tcPr>
          <w:p w14:paraId="71506EC9">
            <w:pPr>
              <w:spacing w:line="240" w:lineRule="auto"/>
              <w:ind w:firstLine="0" w:firstLineChars="0"/>
              <w:jc w:val="center"/>
              <w:rPr>
                <w:rFonts w:hint="eastAsia"/>
                <w:b/>
                <w:bCs/>
                <w:sz w:val="21"/>
                <w:szCs w:val="21"/>
              </w:rPr>
            </w:pPr>
            <w:r>
              <w:rPr>
                <w:rFonts w:hint="eastAsia"/>
                <w:b/>
                <w:bCs/>
                <w:sz w:val="21"/>
                <w:szCs w:val="21"/>
              </w:rPr>
              <w:t>图片示例</w:t>
            </w:r>
          </w:p>
        </w:tc>
      </w:tr>
      <w:tr w14:paraId="7D7F34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27" w:type="pct"/>
            <w:vMerge w:val="restart"/>
            <w:shd w:val="clear" w:color="auto" w:fill="auto"/>
            <w:vAlign w:val="center"/>
          </w:tcPr>
          <w:p w14:paraId="2FB14C4C">
            <w:pPr>
              <w:spacing w:line="240" w:lineRule="auto"/>
              <w:ind w:firstLine="0" w:firstLineChars="0"/>
              <w:jc w:val="center"/>
              <w:rPr>
                <w:rFonts w:hint="eastAsia"/>
                <w:sz w:val="21"/>
                <w:szCs w:val="21"/>
                <w:highlight w:val="none"/>
              </w:rPr>
            </w:pPr>
            <w:r>
              <w:rPr>
                <w:rFonts w:hint="eastAsia"/>
                <w:sz w:val="21"/>
                <w:szCs w:val="21"/>
                <w:highlight w:val="none"/>
              </w:rPr>
              <w:t>井下水质监测预警站</w:t>
            </w:r>
          </w:p>
        </w:tc>
        <w:tc>
          <w:tcPr>
            <w:tcW w:w="2456" w:type="pct"/>
            <w:shd w:val="clear" w:color="auto" w:fill="auto"/>
            <w:vAlign w:val="center"/>
          </w:tcPr>
          <w:p w14:paraId="3FC8DF11">
            <w:pPr>
              <w:spacing w:line="240" w:lineRule="auto"/>
              <w:ind w:firstLine="0" w:firstLineChars="0"/>
              <w:rPr>
                <w:rFonts w:hint="eastAsia"/>
                <w:sz w:val="21"/>
                <w:szCs w:val="21"/>
                <w:lang w:val="en-US" w:eastAsia="zh-CN"/>
              </w:rPr>
            </w:pPr>
            <w:r>
              <w:rPr>
                <w:rFonts w:hint="eastAsia"/>
                <w:sz w:val="21"/>
                <w:szCs w:val="21"/>
                <w:lang w:val="en-US" w:eastAsia="zh-CN"/>
              </w:rPr>
              <w:t>监测参数：PH、溶解氧、电导率、浊度等在线传感器设备；</w:t>
            </w:r>
          </w:p>
          <w:p w14:paraId="135583CC">
            <w:pPr>
              <w:spacing w:line="240" w:lineRule="auto"/>
              <w:ind w:firstLine="0" w:firstLineChars="0"/>
              <w:rPr>
                <w:rFonts w:hint="default"/>
                <w:sz w:val="21"/>
                <w:szCs w:val="21"/>
                <w:lang w:val="en-US" w:eastAsia="zh-CN"/>
              </w:rPr>
            </w:pPr>
            <w:r>
              <w:rPr>
                <w:rFonts w:hint="default"/>
                <w:sz w:val="21"/>
                <w:szCs w:val="21"/>
                <w:lang w:val="en-US" w:eastAsia="zh-CN"/>
              </w:rPr>
              <w:t>数据更完整</w:t>
            </w:r>
            <w:r>
              <w:rPr>
                <w:rFonts w:hint="eastAsia"/>
                <w:sz w:val="21"/>
                <w:szCs w:val="21"/>
                <w:lang w:val="en-US" w:eastAsia="zh-CN"/>
              </w:rPr>
              <w:t>：</w:t>
            </w:r>
            <w:r>
              <w:rPr>
                <w:rFonts w:hint="default"/>
                <w:sz w:val="21"/>
                <w:szCs w:val="21"/>
                <w:lang w:val="en-US" w:eastAsia="zh-CN"/>
              </w:rPr>
              <w:t>断点续传及检验码功能，实现数据0漏传。</w:t>
            </w:r>
          </w:p>
          <w:p w14:paraId="00F1866F">
            <w:pPr>
              <w:spacing w:line="240" w:lineRule="auto"/>
              <w:ind w:firstLine="0" w:firstLineChars="0"/>
              <w:rPr>
                <w:rFonts w:hint="default"/>
                <w:sz w:val="21"/>
                <w:szCs w:val="21"/>
                <w:lang w:val="en-US" w:eastAsia="zh-CN"/>
              </w:rPr>
            </w:pPr>
            <w:r>
              <w:rPr>
                <w:rFonts w:hint="default"/>
                <w:sz w:val="21"/>
                <w:szCs w:val="21"/>
                <w:lang w:val="en-US" w:eastAsia="zh-CN"/>
              </w:rPr>
              <w:t>采集类型更丰富</w:t>
            </w:r>
            <w:r>
              <w:rPr>
                <w:rFonts w:hint="eastAsia"/>
                <w:sz w:val="21"/>
                <w:szCs w:val="21"/>
                <w:lang w:val="en-US" w:eastAsia="zh-CN"/>
              </w:rPr>
              <w:t>：</w:t>
            </w:r>
            <w:r>
              <w:rPr>
                <w:rFonts w:hint="default"/>
                <w:sz w:val="21"/>
                <w:szCs w:val="21"/>
                <w:lang w:val="en-US" w:eastAsia="zh-CN"/>
              </w:rPr>
              <w:t>适配更多波特率及校验功能相同的485设备及电流、电压输出设备。</w:t>
            </w:r>
          </w:p>
          <w:p w14:paraId="76D1AF05">
            <w:pPr>
              <w:spacing w:line="240" w:lineRule="auto"/>
              <w:ind w:firstLine="0" w:firstLineChars="0"/>
              <w:rPr>
                <w:rFonts w:hint="default"/>
                <w:sz w:val="21"/>
                <w:szCs w:val="21"/>
                <w:lang w:val="en-US" w:eastAsia="zh-CN"/>
              </w:rPr>
            </w:pPr>
            <w:r>
              <w:rPr>
                <w:rFonts w:hint="default"/>
                <w:sz w:val="21"/>
                <w:szCs w:val="21"/>
                <w:lang w:val="en-US" w:eastAsia="zh-CN"/>
              </w:rPr>
              <w:t>功耗更低具有微功耗模式</w:t>
            </w:r>
            <w:r>
              <w:rPr>
                <w:rFonts w:hint="eastAsia"/>
                <w:sz w:val="21"/>
                <w:szCs w:val="21"/>
                <w:lang w:val="en-US" w:eastAsia="zh-CN"/>
              </w:rPr>
              <w:t>；</w:t>
            </w:r>
          </w:p>
        </w:tc>
        <w:tc>
          <w:tcPr>
            <w:tcW w:w="1616" w:type="pct"/>
            <w:vMerge w:val="restart"/>
            <w:shd w:val="clear" w:color="auto" w:fill="auto"/>
            <w:vAlign w:val="center"/>
          </w:tcPr>
          <w:p w14:paraId="182278C1">
            <w:pPr>
              <w:spacing w:line="240" w:lineRule="auto"/>
              <w:ind w:firstLine="0" w:firstLineChars="0"/>
              <w:jc w:val="center"/>
              <w:rPr>
                <w:rFonts w:ascii="Times New Roman" w:hAnsi="Times New Roman" w:cs="Times New Roman"/>
                <w:b/>
                <w:sz w:val="32"/>
                <w:szCs w:val="32"/>
              </w:rPr>
            </w:pPr>
            <w:r>
              <w:rPr>
                <w:rFonts w:ascii="Calibri" w:hAnsi="Calibri" w:eastAsia="黑体" w:cs="Calibri"/>
                <w:b/>
                <w:bCs/>
                <w:color w:val="000000"/>
                <w:sz w:val="44"/>
                <w:szCs w:val="36"/>
                <w:lang w:val="zh-CN"/>
              </w:rPr>
              <w:drawing>
                <wp:inline distT="0" distB="0" distL="114300" distR="114300">
                  <wp:extent cx="1123950" cy="1123950"/>
                  <wp:effectExtent l="0" t="0" r="0" b="0"/>
                  <wp:docPr id="46" name="图片 46" descr="C:/Users/10745/Desktop/CF6C9194-6119-44cb-98D4-AAB80A51E111.pngCF6C9194-6119-44cb-98D4-AAB80A51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10745/Desktop/CF6C9194-6119-44cb-98D4-AAB80A51E111.pngCF6C9194-6119-44cb-98D4-AAB80A51E111"/>
                          <pic:cNvPicPr>
                            <a:picLocks noChangeAspect="1"/>
                          </pic:cNvPicPr>
                        </pic:nvPicPr>
                        <pic:blipFill>
                          <a:blip r:embed="rId18"/>
                          <a:srcRect t="4406" b="4406"/>
                          <a:stretch>
                            <a:fillRect/>
                          </a:stretch>
                        </pic:blipFill>
                        <pic:spPr>
                          <a:xfrm>
                            <a:off x="0" y="0"/>
                            <a:ext cx="1123950" cy="1123950"/>
                          </a:xfrm>
                          <a:prstGeom prst="rect">
                            <a:avLst/>
                          </a:prstGeom>
                        </pic:spPr>
                      </pic:pic>
                    </a:graphicData>
                  </a:graphic>
                </wp:inline>
              </w:drawing>
            </w:r>
          </w:p>
        </w:tc>
      </w:tr>
      <w:tr w14:paraId="03A40F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927" w:type="pct"/>
            <w:vMerge w:val="continue"/>
            <w:shd w:val="clear" w:color="auto" w:fill="auto"/>
            <w:vAlign w:val="center"/>
          </w:tcPr>
          <w:p w14:paraId="697ADBFD">
            <w:pPr>
              <w:spacing w:line="240" w:lineRule="auto"/>
              <w:ind w:firstLine="0" w:firstLineChars="0"/>
              <w:jc w:val="center"/>
              <w:rPr>
                <w:rFonts w:hint="eastAsia"/>
                <w:sz w:val="21"/>
                <w:szCs w:val="21"/>
                <w:highlight w:val="none"/>
              </w:rPr>
            </w:pPr>
          </w:p>
        </w:tc>
        <w:tc>
          <w:tcPr>
            <w:tcW w:w="2456" w:type="pct"/>
            <w:shd w:val="clear" w:color="auto" w:fill="auto"/>
            <w:vAlign w:val="center"/>
          </w:tcPr>
          <w:p w14:paraId="4EAF1A94">
            <w:pPr>
              <w:spacing w:line="240" w:lineRule="auto"/>
              <w:ind w:firstLine="0" w:firstLineChars="0"/>
              <w:rPr>
                <w:rFonts w:hint="eastAsia"/>
                <w:b/>
                <w:bCs/>
                <w:sz w:val="21"/>
                <w:szCs w:val="21"/>
                <w:highlight w:val="none"/>
                <w:lang w:eastAsia="zh-CN"/>
              </w:rPr>
            </w:pPr>
            <w:r>
              <w:rPr>
                <w:rFonts w:hint="eastAsia"/>
                <w:b/>
                <w:bCs/>
                <w:sz w:val="21"/>
                <w:szCs w:val="21"/>
                <w:highlight w:val="none"/>
              </w:rPr>
              <w:t>长续航</w:t>
            </w:r>
            <w:r>
              <w:rPr>
                <w:rFonts w:hint="eastAsia"/>
                <w:b/>
                <w:bCs/>
                <w:sz w:val="21"/>
                <w:szCs w:val="21"/>
                <w:highlight w:val="none"/>
                <w:lang w:val="en-US" w:eastAsia="zh-CN"/>
              </w:rPr>
              <w:t>版</w:t>
            </w:r>
          </w:p>
          <w:p w14:paraId="1BACDB27">
            <w:pPr>
              <w:spacing w:line="240" w:lineRule="auto"/>
              <w:ind w:firstLine="0" w:firstLineChars="0"/>
              <w:rPr>
                <w:rFonts w:hint="eastAsia"/>
                <w:sz w:val="21"/>
                <w:szCs w:val="21"/>
                <w:lang w:val="en-US" w:eastAsia="zh-CN"/>
              </w:rPr>
            </w:pPr>
            <w:r>
              <w:rPr>
                <w:rFonts w:hint="eastAsia"/>
                <w:sz w:val="21"/>
                <w:szCs w:val="21"/>
                <w:lang w:val="en-US" w:eastAsia="zh-CN"/>
              </w:rPr>
              <w:t>电池模块：锂亚电池；</w:t>
            </w:r>
          </w:p>
          <w:p w14:paraId="03366FF6">
            <w:pPr>
              <w:spacing w:line="240" w:lineRule="auto"/>
              <w:ind w:firstLine="0" w:firstLineChars="0"/>
              <w:rPr>
                <w:rFonts w:hint="eastAsia"/>
                <w:sz w:val="21"/>
                <w:szCs w:val="21"/>
                <w:highlight w:val="none"/>
                <w:lang w:eastAsia="zh-CN"/>
              </w:rPr>
            </w:pPr>
            <w:r>
              <w:rPr>
                <w:rFonts w:hint="eastAsia"/>
                <w:sz w:val="21"/>
                <w:szCs w:val="21"/>
                <w:lang w:val="en-US" w:eastAsia="zh-CN"/>
              </w:rPr>
              <w:t>续航：1年（常规5参数+清洁刷（间隔30分钟））；</w:t>
            </w:r>
          </w:p>
        </w:tc>
        <w:tc>
          <w:tcPr>
            <w:tcW w:w="1616" w:type="pct"/>
            <w:vMerge w:val="continue"/>
            <w:shd w:val="clear" w:color="auto" w:fill="auto"/>
            <w:vAlign w:val="center"/>
          </w:tcPr>
          <w:p w14:paraId="3DE89D31">
            <w:pPr>
              <w:spacing w:line="240" w:lineRule="auto"/>
              <w:ind w:firstLine="0" w:firstLineChars="0"/>
              <w:jc w:val="center"/>
              <w:rPr>
                <w:rFonts w:ascii="Times New Roman" w:hAnsi="Times New Roman" w:cs="Times New Roman"/>
                <w:b/>
                <w:sz w:val="32"/>
                <w:szCs w:val="32"/>
              </w:rPr>
            </w:pPr>
          </w:p>
        </w:tc>
      </w:tr>
      <w:tr w14:paraId="30D861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7" w:hRule="atLeast"/>
        </w:trPr>
        <w:tc>
          <w:tcPr>
            <w:tcW w:w="927" w:type="pct"/>
            <w:vMerge w:val="continue"/>
            <w:shd w:val="clear" w:color="auto" w:fill="auto"/>
            <w:vAlign w:val="center"/>
          </w:tcPr>
          <w:p w14:paraId="0C69E4CE">
            <w:pPr>
              <w:spacing w:line="240" w:lineRule="auto"/>
              <w:ind w:firstLine="0" w:firstLineChars="0"/>
              <w:jc w:val="center"/>
              <w:rPr>
                <w:rFonts w:hint="eastAsia"/>
                <w:sz w:val="21"/>
                <w:szCs w:val="21"/>
                <w:highlight w:val="none"/>
              </w:rPr>
            </w:pPr>
          </w:p>
        </w:tc>
        <w:tc>
          <w:tcPr>
            <w:tcW w:w="2456" w:type="pct"/>
            <w:shd w:val="clear" w:color="auto" w:fill="auto"/>
            <w:vAlign w:val="center"/>
          </w:tcPr>
          <w:p w14:paraId="738D38D4">
            <w:pPr>
              <w:spacing w:line="240" w:lineRule="auto"/>
              <w:ind w:firstLine="0" w:firstLineChars="0"/>
              <w:rPr>
                <w:rFonts w:hint="eastAsia"/>
                <w:b/>
                <w:bCs/>
                <w:sz w:val="21"/>
                <w:szCs w:val="21"/>
                <w:highlight w:val="none"/>
                <w:lang w:val="en-US" w:eastAsia="zh-CN"/>
              </w:rPr>
            </w:pPr>
            <w:r>
              <w:rPr>
                <w:rFonts w:hint="eastAsia"/>
                <w:b/>
                <w:bCs/>
                <w:sz w:val="21"/>
                <w:szCs w:val="21"/>
                <w:highlight w:val="none"/>
                <w:lang w:val="en-US" w:eastAsia="zh-CN"/>
              </w:rPr>
              <w:t>充电版</w:t>
            </w:r>
          </w:p>
          <w:p w14:paraId="08FE294D">
            <w:pPr>
              <w:spacing w:line="240" w:lineRule="auto"/>
              <w:ind w:firstLine="0" w:firstLineChars="0"/>
              <w:rPr>
                <w:rFonts w:hint="eastAsia"/>
                <w:sz w:val="21"/>
                <w:szCs w:val="21"/>
                <w:lang w:val="en-US" w:eastAsia="zh-CN"/>
              </w:rPr>
            </w:pPr>
            <w:r>
              <w:rPr>
                <w:rFonts w:hint="eastAsia"/>
                <w:sz w:val="21"/>
                <w:szCs w:val="21"/>
                <w:lang w:val="en-US" w:eastAsia="zh-CN"/>
              </w:rPr>
              <w:t>电池模块：锂电池；</w:t>
            </w:r>
          </w:p>
          <w:p w14:paraId="40680588">
            <w:pPr>
              <w:spacing w:line="240" w:lineRule="auto"/>
              <w:ind w:firstLine="0" w:firstLineChars="0"/>
              <w:rPr>
                <w:rFonts w:hint="eastAsia"/>
                <w:sz w:val="21"/>
                <w:szCs w:val="21"/>
                <w:highlight w:val="none"/>
                <w:lang w:eastAsia="zh-CN"/>
              </w:rPr>
            </w:pPr>
            <w:r>
              <w:rPr>
                <w:rFonts w:hint="eastAsia"/>
                <w:sz w:val="21"/>
                <w:szCs w:val="21"/>
                <w:lang w:val="en-US" w:eastAsia="zh-CN"/>
              </w:rPr>
              <w:t>续航：6个月（常规5参数+清洁刷（间隔30分钟））；</w:t>
            </w:r>
          </w:p>
        </w:tc>
        <w:tc>
          <w:tcPr>
            <w:tcW w:w="1616" w:type="pct"/>
            <w:vMerge w:val="continue"/>
            <w:shd w:val="clear" w:color="auto" w:fill="auto"/>
            <w:vAlign w:val="center"/>
          </w:tcPr>
          <w:p w14:paraId="7AEB52E7">
            <w:pPr>
              <w:spacing w:line="240" w:lineRule="auto"/>
              <w:ind w:firstLine="0" w:firstLineChars="0"/>
              <w:jc w:val="center"/>
              <w:rPr>
                <w:rFonts w:ascii="Times New Roman" w:hAnsi="Times New Roman" w:cs="Times New Roman"/>
                <w:b/>
                <w:sz w:val="32"/>
                <w:szCs w:val="32"/>
              </w:rPr>
            </w:pPr>
          </w:p>
        </w:tc>
      </w:tr>
      <w:tr w14:paraId="77CBDE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3" w:hRule="atLeast"/>
        </w:trPr>
        <w:tc>
          <w:tcPr>
            <w:tcW w:w="5000" w:type="pct"/>
            <w:gridSpan w:val="3"/>
            <w:shd w:val="clear" w:color="auto" w:fill="auto"/>
            <w:vAlign w:val="center"/>
          </w:tcPr>
          <w:p w14:paraId="7EE33831">
            <w:pPr>
              <w:spacing w:line="240" w:lineRule="auto"/>
              <w:ind w:firstLine="0" w:firstLineChars="0"/>
              <w:jc w:val="center"/>
            </w:pPr>
            <w:r>
              <w:rPr>
                <w:rFonts w:hint="eastAsia"/>
                <w:b/>
                <w:bCs/>
                <w:color w:val="000000"/>
                <w:kern w:val="0"/>
                <w:sz w:val="21"/>
                <w:szCs w:val="21"/>
                <w:lang w:val="en-US" w:eastAsia="zh-CN" w:bidi="ar"/>
              </w:rPr>
              <w:t>在线监测设备</w:t>
            </w:r>
          </w:p>
        </w:tc>
      </w:tr>
      <w:tr w14:paraId="3F9BAF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927" w:type="pct"/>
            <w:shd w:val="clear" w:color="auto" w:fill="auto"/>
            <w:vAlign w:val="center"/>
          </w:tcPr>
          <w:p w14:paraId="4BCCFC6B">
            <w:pPr>
              <w:spacing w:line="240" w:lineRule="auto"/>
              <w:ind w:firstLine="0" w:firstLineChars="0"/>
              <w:jc w:val="center"/>
              <w:rPr>
                <w:rFonts w:hint="eastAsia"/>
                <w:sz w:val="21"/>
                <w:szCs w:val="21"/>
              </w:rPr>
            </w:pPr>
            <w:r>
              <w:rPr>
                <w:rFonts w:hint="eastAsia"/>
                <w:sz w:val="21"/>
                <w:szCs w:val="21"/>
              </w:rPr>
              <w:t>在线PH传感器</w:t>
            </w:r>
          </w:p>
        </w:tc>
        <w:tc>
          <w:tcPr>
            <w:tcW w:w="2456" w:type="pct"/>
            <w:shd w:val="clear" w:color="auto" w:fill="auto"/>
            <w:vAlign w:val="center"/>
          </w:tcPr>
          <w:p w14:paraId="11FC7AA0">
            <w:pPr>
              <w:spacing w:line="240" w:lineRule="auto"/>
              <w:ind w:firstLine="0" w:firstLineChars="0"/>
              <w:rPr>
                <w:rFonts w:hint="eastAsia"/>
                <w:sz w:val="21"/>
                <w:szCs w:val="21"/>
              </w:rPr>
            </w:pPr>
            <w:r>
              <w:rPr>
                <w:sz w:val="21"/>
                <w:szCs w:val="21"/>
              </w:rPr>
              <w:t>原理：玻璃电极法</w:t>
            </w:r>
          </w:p>
          <w:p w14:paraId="1DF9193B">
            <w:pPr>
              <w:spacing w:line="240" w:lineRule="auto"/>
              <w:ind w:firstLine="0" w:firstLineChars="0"/>
              <w:rPr>
                <w:rFonts w:hint="eastAsia"/>
                <w:sz w:val="21"/>
                <w:szCs w:val="21"/>
              </w:rPr>
            </w:pPr>
            <w:r>
              <w:rPr>
                <w:sz w:val="21"/>
                <w:szCs w:val="21"/>
              </w:rPr>
              <w:t>量程：0-14 pH</w:t>
            </w:r>
          </w:p>
          <w:p w14:paraId="78499C62">
            <w:pPr>
              <w:spacing w:line="240" w:lineRule="auto"/>
              <w:ind w:firstLine="0" w:firstLineChars="0"/>
              <w:rPr>
                <w:rFonts w:hint="eastAsia"/>
                <w:sz w:val="21"/>
                <w:szCs w:val="21"/>
              </w:rPr>
            </w:pPr>
            <w:r>
              <w:rPr>
                <w:sz w:val="21"/>
                <w:szCs w:val="21"/>
              </w:rPr>
              <w:t>精度：±0.1 pH</w:t>
            </w:r>
          </w:p>
        </w:tc>
        <w:tc>
          <w:tcPr>
            <w:tcW w:w="1616" w:type="pct"/>
            <w:shd w:val="clear" w:color="auto" w:fill="auto"/>
            <w:vAlign w:val="center"/>
          </w:tcPr>
          <w:p w14:paraId="3B016565">
            <w:pPr>
              <w:spacing w:line="240" w:lineRule="auto"/>
              <w:ind w:firstLine="0" w:firstLineChars="0"/>
              <w:jc w:val="center"/>
              <w:rPr>
                <w:rFonts w:hint="eastAsia"/>
              </w:rPr>
            </w:pPr>
            <w:r>
              <w:drawing>
                <wp:inline distT="0" distB="0" distL="0" distR="0">
                  <wp:extent cx="225425" cy="1291590"/>
                  <wp:effectExtent l="0" t="313055" r="0" b="34544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9" cstate="print">
                            <a:extLst>
                              <a:ext uri="{28A0092B-C50C-407E-A947-70E740481C1C}">
                                <a14:useLocalDpi xmlns:a14="http://schemas.microsoft.com/office/drawing/2010/main" val="0"/>
                              </a:ext>
                            </a:extLst>
                          </a:blip>
                          <a:srcRect l="36692" t="5693" r="42466" b="8031"/>
                          <a:stretch>
                            <a:fillRect/>
                          </a:stretch>
                        </pic:blipFill>
                        <pic:spPr>
                          <a:xfrm rot="3120000">
                            <a:off x="0" y="0"/>
                            <a:ext cx="225425" cy="1291590"/>
                          </a:xfrm>
                          <a:prstGeom prst="rect">
                            <a:avLst/>
                          </a:prstGeom>
                          <a:noFill/>
                          <a:ln>
                            <a:noFill/>
                          </a:ln>
                        </pic:spPr>
                      </pic:pic>
                    </a:graphicData>
                  </a:graphic>
                </wp:inline>
              </w:drawing>
            </w:r>
          </w:p>
        </w:tc>
      </w:tr>
      <w:tr w14:paraId="044C7D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68" w:hRule="atLeast"/>
        </w:trPr>
        <w:tc>
          <w:tcPr>
            <w:tcW w:w="927" w:type="pct"/>
            <w:vAlign w:val="center"/>
          </w:tcPr>
          <w:p w14:paraId="5296897E">
            <w:pPr>
              <w:spacing w:line="240" w:lineRule="auto"/>
              <w:ind w:firstLine="0" w:firstLineChars="0"/>
              <w:jc w:val="center"/>
              <w:rPr>
                <w:rFonts w:hint="eastAsia"/>
                <w:sz w:val="21"/>
                <w:szCs w:val="21"/>
              </w:rPr>
            </w:pPr>
            <w:r>
              <w:rPr>
                <w:rFonts w:hint="eastAsia"/>
                <w:sz w:val="21"/>
                <w:szCs w:val="21"/>
              </w:rPr>
              <w:t>在线溶解氧传感器</w:t>
            </w:r>
          </w:p>
        </w:tc>
        <w:tc>
          <w:tcPr>
            <w:tcW w:w="2456" w:type="pct"/>
            <w:vAlign w:val="center"/>
          </w:tcPr>
          <w:p w14:paraId="74257A77">
            <w:pPr>
              <w:spacing w:line="240" w:lineRule="auto"/>
              <w:ind w:firstLine="0" w:firstLineChars="0"/>
              <w:rPr>
                <w:rFonts w:hint="eastAsia"/>
                <w:sz w:val="21"/>
                <w:szCs w:val="21"/>
              </w:rPr>
            </w:pPr>
            <w:r>
              <w:rPr>
                <w:rFonts w:hint="eastAsia"/>
                <w:sz w:val="21"/>
                <w:szCs w:val="21"/>
              </w:rPr>
              <w:t>原理：荧光法</w:t>
            </w:r>
          </w:p>
          <w:p w14:paraId="5CD8234F">
            <w:pPr>
              <w:spacing w:line="240" w:lineRule="auto"/>
              <w:ind w:firstLine="0" w:firstLineChars="0"/>
              <w:rPr>
                <w:rFonts w:hint="eastAsia"/>
                <w:sz w:val="21"/>
                <w:szCs w:val="21"/>
              </w:rPr>
            </w:pPr>
            <w:r>
              <w:rPr>
                <w:rFonts w:hint="eastAsia"/>
                <w:sz w:val="21"/>
                <w:szCs w:val="21"/>
              </w:rPr>
              <w:t>量程：0～20.00 mg/L</w:t>
            </w:r>
          </w:p>
          <w:p w14:paraId="6ACF861B">
            <w:pPr>
              <w:spacing w:line="240" w:lineRule="auto"/>
              <w:ind w:firstLine="0" w:firstLineChars="0"/>
              <w:rPr>
                <w:rFonts w:hint="eastAsia"/>
                <w:sz w:val="21"/>
                <w:szCs w:val="21"/>
              </w:rPr>
            </w:pPr>
            <w:r>
              <w:rPr>
                <w:rFonts w:hint="eastAsia"/>
                <w:sz w:val="21"/>
                <w:szCs w:val="21"/>
              </w:rPr>
              <w:t>精度：±2%</w:t>
            </w:r>
          </w:p>
        </w:tc>
        <w:tc>
          <w:tcPr>
            <w:tcW w:w="1616" w:type="pct"/>
            <w:vAlign w:val="center"/>
          </w:tcPr>
          <w:p w14:paraId="3658B60A">
            <w:pPr>
              <w:spacing w:line="240" w:lineRule="auto"/>
              <w:ind w:firstLine="0" w:firstLineChars="0"/>
              <w:jc w:val="center"/>
              <w:rPr>
                <w:rFonts w:hint="eastAsia"/>
              </w:rPr>
            </w:pPr>
            <w:r>
              <w:drawing>
                <wp:inline distT="0" distB="0" distL="114300" distR="114300">
                  <wp:extent cx="207645" cy="1303655"/>
                  <wp:effectExtent l="0" t="338455" r="0" b="33782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0"/>
                          <a:srcRect l="35793" t="4709" r="38342" b="6442"/>
                          <a:stretch>
                            <a:fillRect/>
                          </a:stretch>
                        </pic:blipFill>
                        <pic:spPr>
                          <a:xfrm rot="3420000">
                            <a:off x="0" y="0"/>
                            <a:ext cx="207645" cy="1303655"/>
                          </a:xfrm>
                          <a:prstGeom prst="rect">
                            <a:avLst/>
                          </a:prstGeom>
                          <a:noFill/>
                          <a:ln>
                            <a:noFill/>
                          </a:ln>
                        </pic:spPr>
                      </pic:pic>
                    </a:graphicData>
                  </a:graphic>
                </wp:inline>
              </w:drawing>
            </w:r>
          </w:p>
        </w:tc>
      </w:tr>
      <w:tr w14:paraId="190910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82" w:hRule="atLeast"/>
        </w:trPr>
        <w:tc>
          <w:tcPr>
            <w:tcW w:w="927" w:type="pct"/>
            <w:shd w:val="clear" w:color="auto" w:fill="auto"/>
            <w:vAlign w:val="center"/>
          </w:tcPr>
          <w:p w14:paraId="0581A3C5">
            <w:pPr>
              <w:spacing w:line="240" w:lineRule="auto"/>
              <w:ind w:firstLine="0" w:firstLineChars="0"/>
              <w:jc w:val="center"/>
              <w:rPr>
                <w:rFonts w:hint="eastAsia"/>
                <w:sz w:val="21"/>
                <w:szCs w:val="21"/>
              </w:rPr>
            </w:pPr>
            <w:r>
              <w:rPr>
                <w:rFonts w:hint="eastAsia"/>
                <w:sz w:val="21"/>
                <w:szCs w:val="21"/>
              </w:rPr>
              <w:t>在线电导率传感器</w:t>
            </w:r>
          </w:p>
        </w:tc>
        <w:tc>
          <w:tcPr>
            <w:tcW w:w="2456" w:type="pct"/>
            <w:shd w:val="clear" w:color="auto" w:fill="auto"/>
            <w:vAlign w:val="center"/>
          </w:tcPr>
          <w:p w14:paraId="59746EB1">
            <w:pPr>
              <w:spacing w:line="240" w:lineRule="auto"/>
              <w:ind w:firstLine="0" w:firstLineChars="0"/>
              <w:rPr>
                <w:rFonts w:hint="eastAsia"/>
                <w:sz w:val="21"/>
                <w:szCs w:val="21"/>
              </w:rPr>
            </w:pPr>
            <w:r>
              <w:rPr>
                <w:sz w:val="21"/>
                <w:szCs w:val="21"/>
              </w:rPr>
              <w:t>原理</w:t>
            </w:r>
            <w:r>
              <w:rPr>
                <w:rFonts w:hint="eastAsia"/>
                <w:sz w:val="21"/>
                <w:szCs w:val="21"/>
              </w:rPr>
              <w:t>：接触式电极法</w:t>
            </w:r>
          </w:p>
          <w:p w14:paraId="62C769FE">
            <w:pPr>
              <w:spacing w:line="240" w:lineRule="auto"/>
              <w:ind w:firstLine="0" w:firstLineChars="0"/>
              <w:rPr>
                <w:rFonts w:hint="eastAsia"/>
                <w:sz w:val="21"/>
                <w:szCs w:val="21"/>
              </w:rPr>
            </w:pPr>
            <w:r>
              <w:rPr>
                <w:sz w:val="21"/>
                <w:szCs w:val="21"/>
              </w:rPr>
              <w:t>量程</w:t>
            </w:r>
            <w:r>
              <w:rPr>
                <w:rFonts w:hint="eastAsia"/>
                <w:sz w:val="21"/>
                <w:szCs w:val="21"/>
              </w:rPr>
              <w:t>：0～5000 μS/cm</w:t>
            </w:r>
          </w:p>
          <w:p w14:paraId="173A327B">
            <w:pPr>
              <w:spacing w:line="240" w:lineRule="auto"/>
              <w:ind w:firstLine="0" w:firstLineChars="0"/>
              <w:rPr>
                <w:rFonts w:hint="eastAsia"/>
                <w:sz w:val="21"/>
                <w:szCs w:val="21"/>
              </w:rPr>
            </w:pPr>
            <w:r>
              <w:rPr>
                <w:sz w:val="21"/>
                <w:szCs w:val="21"/>
              </w:rPr>
              <w:t>精度</w:t>
            </w:r>
            <w:r>
              <w:rPr>
                <w:rFonts w:hint="eastAsia"/>
                <w:sz w:val="21"/>
                <w:szCs w:val="21"/>
              </w:rPr>
              <w:t>：读数的±1%</w:t>
            </w:r>
          </w:p>
        </w:tc>
        <w:tc>
          <w:tcPr>
            <w:tcW w:w="1616" w:type="pct"/>
            <w:shd w:val="clear" w:color="auto" w:fill="auto"/>
            <w:vAlign w:val="center"/>
          </w:tcPr>
          <w:p w14:paraId="2EAF602B">
            <w:pPr>
              <w:spacing w:line="240" w:lineRule="auto"/>
              <w:ind w:firstLine="0" w:firstLineChars="0"/>
              <w:jc w:val="center"/>
              <w:rPr>
                <w:rFonts w:hint="eastAsia"/>
              </w:rPr>
            </w:pPr>
            <w:r>
              <w:rPr>
                <w:rFonts w:hint="eastAsia"/>
                <w:sz w:val="28"/>
                <w:szCs w:val="28"/>
              </w:rPr>
              <w:drawing>
                <wp:inline distT="0" distB="0" distL="114300" distR="114300">
                  <wp:extent cx="213995" cy="1263650"/>
                  <wp:effectExtent l="0" t="266065" r="0" b="312420"/>
                  <wp:docPr id="41" name="图片 41" descr="/tmp/webword_3698093873/upload_post_object_v2_1818898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tmp/webword_3698093873/upload_post_object_v2_1818898338"/>
                          <pic:cNvPicPr>
                            <a:picLocks noChangeAspect="1"/>
                          </pic:cNvPicPr>
                        </pic:nvPicPr>
                        <pic:blipFill>
                          <a:blip r:embed="rId21"/>
                          <a:srcRect l="35077" t="3022" r="44981" b="9115"/>
                          <a:stretch>
                            <a:fillRect/>
                          </a:stretch>
                        </pic:blipFill>
                        <pic:spPr>
                          <a:xfrm rot="3420000">
                            <a:off x="0" y="0"/>
                            <a:ext cx="213995" cy="1263650"/>
                          </a:xfrm>
                          <a:prstGeom prst="rect">
                            <a:avLst/>
                          </a:prstGeom>
                        </pic:spPr>
                      </pic:pic>
                    </a:graphicData>
                  </a:graphic>
                </wp:inline>
              </w:drawing>
            </w:r>
          </w:p>
        </w:tc>
      </w:tr>
      <w:tr w14:paraId="35AB6E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2" w:hRule="atLeast"/>
        </w:trPr>
        <w:tc>
          <w:tcPr>
            <w:tcW w:w="927" w:type="pct"/>
            <w:vAlign w:val="center"/>
          </w:tcPr>
          <w:p w14:paraId="0BB90EE0">
            <w:pPr>
              <w:spacing w:line="240" w:lineRule="auto"/>
              <w:ind w:firstLine="0" w:firstLineChars="0"/>
              <w:jc w:val="center"/>
              <w:rPr>
                <w:rFonts w:hint="eastAsia"/>
                <w:sz w:val="21"/>
                <w:szCs w:val="21"/>
              </w:rPr>
            </w:pPr>
            <w:r>
              <w:rPr>
                <w:rFonts w:hint="eastAsia"/>
                <w:sz w:val="21"/>
                <w:szCs w:val="21"/>
              </w:rPr>
              <w:t>在线浊度传感器</w:t>
            </w:r>
          </w:p>
        </w:tc>
        <w:tc>
          <w:tcPr>
            <w:tcW w:w="2456" w:type="pct"/>
            <w:shd w:val="clear" w:color="auto" w:fill="auto"/>
            <w:vAlign w:val="center"/>
          </w:tcPr>
          <w:p w14:paraId="557C668A">
            <w:pPr>
              <w:spacing w:line="240" w:lineRule="auto"/>
              <w:ind w:firstLine="0" w:firstLineChars="0"/>
              <w:rPr>
                <w:rFonts w:hint="eastAsia"/>
                <w:sz w:val="21"/>
                <w:szCs w:val="21"/>
              </w:rPr>
            </w:pPr>
            <w:r>
              <w:rPr>
                <w:sz w:val="21"/>
                <w:szCs w:val="21"/>
              </w:rPr>
              <w:t>原理：</w:t>
            </w:r>
            <w:r>
              <w:rPr>
                <w:rFonts w:hint="eastAsia"/>
                <w:sz w:val="21"/>
                <w:szCs w:val="21"/>
              </w:rPr>
              <w:t>散射光法</w:t>
            </w:r>
          </w:p>
          <w:p w14:paraId="20769AB2">
            <w:pPr>
              <w:spacing w:line="240" w:lineRule="auto"/>
              <w:ind w:firstLine="0" w:firstLineChars="0"/>
              <w:rPr>
                <w:rFonts w:hint="eastAsia"/>
                <w:sz w:val="21"/>
                <w:szCs w:val="21"/>
              </w:rPr>
            </w:pPr>
            <w:r>
              <w:rPr>
                <w:sz w:val="21"/>
                <w:szCs w:val="21"/>
              </w:rPr>
              <w:t>量程：</w:t>
            </w:r>
            <w:r>
              <w:rPr>
                <w:rFonts w:hint="eastAsia"/>
                <w:sz w:val="21"/>
                <w:szCs w:val="21"/>
              </w:rPr>
              <w:t>0~1000.0 NTU</w:t>
            </w:r>
          </w:p>
          <w:p w14:paraId="01195AFC">
            <w:pPr>
              <w:spacing w:line="240" w:lineRule="auto"/>
              <w:ind w:firstLine="0" w:firstLineChars="0"/>
              <w:rPr>
                <w:rFonts w:hint="eastAsia"/>
                <w:sz w:val="21"/>
                <w:szCs w:val="21"/>
              </w:rPr>
            </w:pPr>
            <w:r>
              <w:rPr>
                <w:sz w:val="21"/>
                <w:szCs w:val="21"/>
              </w:rPr>
              <w:t>精度：</w:t>
            </w:r>
            <w:r>
              <w:rPr>
                <w:rFonts w:hint="eastAsia"/>
                <w:sz w:val="21"/>
                <w:szCs w:val="21"/>
              </w:rPr>
              <w:t>±5%或±3 NTU以大者为准</w:t>
            </w:r>
          </w:p>
        </w:tc>
        <w:tc>
          <w:tcPr>
            <w:tcW w:w="1616" w:type="pct"/>
            <w:shd w:val="clear" w:color="auto" w:fill="auto"/>
            <w:vAlign w:val="center"/>
          </w:tcPr>
          <w:p w14:paraId="44C4317D">
            <w:pPr>
              <w:spacing w:line="240" w:lineRule="auto"/>
              <w:ind w:firstLine="0" w:firstLineChars="0"/>
              <w:jc w:val="center"/>
              <w:rPr>
                <w:rFonts w:hint="eastAsia"/>
              </w:rPr>
            </w:pPr>
            <w:r>
              <w:rPr>
                <w:rFonts w:ascii="Times New Roman" w:hAnsi="Times New Roman"/>
                <w:b/>
                <w:sz w:val="28"/>
                <w:szCs w:val="28"/>
              </w:rPr>
              <w:drawing>
                <wp:inline distT="0" distB="0" distL="0" distR="0">
                  <wp:extent cx="222885" cy="1285240"/>
                  <wp:effectExtent l="0" t="271780" r="0" b="35877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noChangeArrowheads="1"/>
                          </pic:cNvPicPr>
                        </pic:nvPicPr>
                        <pic:blipFill>
                          <a:blip r:embed="rId22">
                            <a:extLst>
                              <a:ext uri="{28A0092B-C50C-407E-A947-70E740481C1C}">
                                <a14:useLocalDpi xmlns:a14="http://schemas.microsoft.com/office/drawing/2010/main" val="0"/>
                              </a:ext>
                            </a:extLst>
                          </a:blip>
                          <a:srcRect l="38096" t="5451" r="42408" b="10358"/>
                          <a:stretch>
                            <a:fillRect/>
                          </a:stretch>
                        </pic:blipFill>
                        <pic:spPr>
                          <a:xfrm rot="3300000">
                            <a:off x="0" y="0"/>
                            <a:ext cx="222885" cy="1285240"/>
                          </a:xfrm>
                          <a:prstGeom prst="rect">
                            <a:avLst/>
                          </a:prstGeom>
                          <a:noFill/>
                          <a:ln w="9525">
                            <a:noFill/>
                            <a:miter lim="800000"/>
                            <a:headEnd/>
                            <a:tailEnd/>
                          </a:ln>
                        </pic:spPr>
                      </pic:pic>
                    </a:graphicData>
                  </a:graphic>
                </wp:inline>
              </w:drawing>
            </w:r>
          </w:p>
        </w:tc>
      </w:tr>
      <w:tr w14:paraId="55001F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8" w:hRule="atLeast"/>
        </w:trPr>
        <w:tc>
          <w:tcPr>
            <w:tcW w:w="927" w:type="pct"/>
            <w:vAlign w:val="center"/>
          </w:tcPr>
          <w:p w14:paraId="0CB0F9B2">
            <w:pPr>
              <w:spacing w:line="240" w:lineRule="auto"/>
              <w:ind w:firstLine="0" w:firstLineChars="0"/>
              <w:jc w:val="center"/>
              <w:rPr>
                <w:rFonts w:hint="eastAsia"/>
                <w:sz w:val="21"/>
                <w:szCs w:val="21"/>
              </w:rPr>
            </w:pPr>
            <w:r>
              <w:rPr>
                <w:rFonts w:hint="eastAsia"/>
                <w:sz w:val="21"/>
                <w:szCs w:val="21"/>
              </w:rPr>
              <w:t>在线悬浮物传感器</w:t>
            </w:r>
          </w:p>
        </w:tc>
        <w:tc>
          <w:tcPr>
            <w:tcW w:w="2456" w:type="pct"/>
            <w:shd w:val="clear" w:color="auto" w:fill="auto"/>
            <w:vAlign w:val="center"/>
          </w:tcPr>
          <w:p w14:paraId="7C67EBD7">
            <w:pPr>
              <w:spacing w:line="240" w:lineRule="auto"/>
              <w:ind w:firstLine="0" w:firstLineChars="0"/>
              <w:rPr>
                <w:rFonts w:hint="eastAsia"/>
                <w:sz w:val="21"/>
                <w:szCs w:val="21"/>
              </w:rPr>
            </w:pPr>
            <w:r>
              <w:rPr>
                <w:sz w:val="21"/>
                <w:szCs w:val="21"/>
              </w:rPr>
              <w:t>原理：</w:t>
            </w:r>
            <w:r>
              <w:rPr>
                <w:rFonts w:hint="eastAsia"/>
                <w:sz w:val="21"/>
                <w:szCs w:val="21"/>
              </w:rPr>
              <w:t>散射光法</w:t>
            </w:r>
          </w:p>
          <w:p w14:paraId="39CF9091">
            <w:pPr>
              <w:spacing w:line="240" w:lineRule="auto"/>
              <w:ind w:firstLine="0" w:firstLineChars="0"/>
              <w:rPr>
                <w:rFonts w:hint="eastAsia"/>
                <w:sz w:val="21"/>
                <w:szCs w:val="21"/>
              </w:rPr>
            </w:pPr>
            <w:r>
              <w:rPr>
                <w:sz w:val="21"/>
                <w:szCs w:val="21"/>
              </w:rPr>
              <w:t>量程：</w:t>
            </w:r>
            <w:r>
              <w:rPr>
                <w:rFonts w:hint="eastAsia"/>
                <w:sz w:val="21"/>
                <w:szCs w:val="21"/>
              </w:rPr>
              <w:t>0～200.0 mg/L</w:t>
            </w:r>
          </w:p>
          <w:p w14:paraId="6AE9CF15">
            <w:pPr>
              <w:spacing w:line="240" w:lineRule="auto"/>
              <w:ind w:firstLine="0" w:firstLineChars="0"/>
              <w:rPr>
                <w:rFonts w:hint="eastAsia"/>
                <w:sz w:val="21"/>
                <w:szCs w:val="21"/>
              </w:rPr>
            </w:pPr>
            <w:r>
              <w:rPr>
                <w:sz w:val="21"/>
                <w:szCs w:val="21"/>
              </w:rPr>
              <w:t>精度：</w:t>
            </w:r>
            <w:r>
              <w:rPr>
                <w:rFonts w:hint="eastAsia"/>
                <w:sz w:val="21"/>
                <w:szCs w:val="21"/>
              </w:rPr>
              <w:t>±5%(取决于污泥同质性)</w:t>
            </w:r>
          </w:p>
        </w:tc>
        <w:tc>
          <w:tcPr>
            <w:tcW w:w="1616" w:type="pct"/>
            <w:shd w:val="clear" w:color="auto" w:fill="auto"/>
            <w:vAlign w:val="center"/>
          </w:tcPr>
          <w:p w14:paraId="26BA529D">
            <w:pPr>
              <w:spacing w:line="240" w:lineRule="auto"/>
              <w:ind w:firstLine="0" w:firstLineChars="0"/>
              <w:jc w:val="center"/>
              <w:rPr>
                <w:rFonts w:hint="eastAsia"/>
              </w:rPr>
            </w:pPr>
            <w:r>
              <w:rPr>
                <w:rFonts w:ascii="Times New Roman" w:hAnsi="Times New Roman"/>
                <w:b/>
                <w:sz w:val="28"/>
                <w:szCs w:val="28"/>
              </w:rPr>
              <w:drawing>
                <wp:inline distT="0" distB="0" distL="0" distR="0">
                  <wp:extent cx="222885" cy="1285240"/>
                  <wp:effectExtent l="0" t="222250" r="0" b="301625"/>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noChangeArrowheads="1"/>
                          </pic:cNvPicPr>
                        </pic:nvPicPr>
                        <pic:blipFill>
                          <a:blip r:embed="rId22">
                            <a:extLst>
                              <a:ext uri="{28A0092B-C50C-407E-A947-70E740481C1C}">
                                <a14:useLocalDpi xmlns:a14="http://schemas.microsoft.com/office/drawing/2010/main" val="0"/>
                              </a:ext>
                            </a:extLst>
                          </a:blip>
                          <a:srcRect l="38096" t="5451" r="42408" b="10358"/>
                          <a:stretch>
                            <a:fillRect/>
                          </a:stretch>
                        </pic:blipFill>
                        <pic:spPr>
                          <a:xfrm rot="3660000">
                            <a:off x="0" y="0"/>
                            <a:ext cx="222885" cy="1285240"/>
                          </a:xfrm>
                          <a:prstGeom prst="rect">
                            <a:avLst/>
                          </a:prstGeom>
                          <a:noFill/>
                          <a:ln w="9525">
                            <a:noFill/>
                            <a:miter lim="800000"/>
                            <a:headEnd/>
                            <a:tailEnd/>
                          </a:ln>
                        </pic:spPr>
                      </pic:pic>
                    </a:graphicData>
                  </a:graphic>
                </wp:inline>
              </w:drawing>
            </w:r>
          </w:p>
        </w:tc>
      </w:tr>
      <w:tr w14:paraId="22236A8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52" w:hRule="atLeast"/>
        </w:trPr>
        <w:tc>
          <w:tcPr>
            <w:tcW w:w="927" w:type="pct"/>
            <w:vAlign w:val="center"/>
          </w:tcPr>
          <w:p w14:paraId="00D03831">
            <w:pPr>
              <w:spacing w:line="240" w:lineRule="auto"/>
              <w:ind w:firstLine="0" w:firstLineChars="0"/>
              <w:jc w:val="center"/>
              <w:rPr>
                <w:rFonts w:hint="eastAsia"/>
                <w:sz w:val="21"/>
                <w:szCs w:val="21"/>
              </w:rPr>
            </w:pPr>
            <w:r>
              <w:rPr>
                <w:rFonts w:hint="eastAsia"/>
                <w:sz w:val="21"/>
                <w:szCs w:val="21"/>
              </w:rPr>
              <w:t>在线水中油传感器</w:t>
            </w:r>
          </w:p>
        </w:tc>
        <w:tc>
          <w:tcPr>
            <w:tcW w:w="2456" w:type="pct"/>
            <w:shd w:val="clear" w:color="auto" w:fill="auto"/>
            <w:vAlign w:val="center"/>
          </w:tcPr>
          <w:p w14:paraId="4F085EEE">
            <w:pPr>
              <w:spacing w:line="240" w:lineRule="auto"/>
              <w:ind w:firstLine="0" w:firstLineChars="0"/>
              <w:rPr>
                <w:rFonts w:hint="eastAsia"/>
                <w:sz w:val="21"/>
                <w:szCs w:val="21"/>
              </w:rPr>
            </w:pPr>
            <w:r>
              <w:rPr>
                <w:sz w:val="21"/>
                <w:szCs w:val="21"/>
              </w:rPr>
              <w:t>原理：</w:t>
            </w:r>
            <w:r>
              <w:rPr>
                <w:rFonts w:hint="eastAsia"/>
                <w:sz w:val="21"/>
                <w:szCs w:val="21"/>
              </w:rPr>
              <w:t>荧光法</w:t>
            </w:r>
          </w:p>
          <w:p w14:paraId="0F2EB3F8">
            <w:pPr>
              <w:spacing w:line="240" w:lineRule="auto"/>
              <w:ind w:firstLine="0" w:firstLineChars="0"/>
              <w:rPr>
                <w:rFonts w:hint="eastAsia"/>
                <w:sz w:val="21"/>
                <w:szCs w:val="21"/>
              </w:rPr>
            </w:pPr>
            <w:r>
              <w:rPr>
                <w:sz w:val="21"/>
                <w:szCs w:val="21"/>
              </w:rPr>
              <w:t>量程：</w:t>
            </w:r>
            <w:r>
              <w:rPr>
                <w:rFonts w:hint="eastAsia"/>
                <w:sz w:val="21"/>
                <w:szCs w:val="21"/>
              </w:rPr>
              <w:t>0～40.00 mg/L</w:t>
            </w:r>
          </w:p>
          <w:p w14:paraId="0DBAF86E">
            <w:pPr>
              <w:spacing w:line="240" w:lineRule="auto"/>
              <w:ind w:firstLine="0" w:firstLineChars="0"/>
              <w:rPr>
                <w:rFonts w:hint="eastAsia"/>
                <w:sz w:val="21"/>
                <w:szCs w:val="21"/>
              </w:rPr>
            </w:pPr>
            <w:r>
              <w:rPr>
                <w:sz w:val="21"/>
                <w:szCs w:val="21"/>
              </w:rPr>
              <w:t>精度：</w:t>
            </w:r>
            <w:r>
              <w:rPr>
                <w:rFonts w:hint="eastAsia"/>
                <w:sz w:val="21"/>
                <w:szCs w:val="21"/>
              </w:rPr>
              <w:t>读数的±3%</w:t>
            </w:r>
          </w:p>
        </w:tc>
        <w:tc>
          <w:tcPr>
            <w:tcW w:w="1616" w:type="pct"/>
            <w:shd w:val="clear" w:color="auto" w:fill="auto"/>
            <w:vAlign w:val="center"/>
          </w:tcPr>
          <w:p w14:paraId="58D94470">
            <w:pPr>
              <w:spacing w:line="240" w:lineRule="auto"/>
              <w:ind w:firstLine="0" w:firstLineChars="0"/>
              <w:jc w:val="center"/>
              <w:rPr>
                <w:rFonts w:hint="eastAsia"/>
              </w:rPr>
            </w:pPr>
            <w:r>
              <w:rPr>
                <w:rFonts w:ascii="Times New Roman" w:hAnsi="Times New Roman"/>
                <w:b/>
                <w:sz w:val="28"/>
                <w:szCs w:val="28"/>
              </w:rPr>
              <w:drawing>
                <wp:inline distT="0" distB="0" distL="0" distR="0">
                  <wp:extent cx="222885" cy="1285240"/>
                  <wp:effectExtent l="0" t="255905" r="0" b="34417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noChangeArrowheads="1"/>
                          </pic:cNvPicPr>
                        </pic:nvPicPr>
                        <pic:blipFill>
                          <a:blip r:embed="rId22">
                            <a:extLst>
                              <a:ext uri="{28A0092B-C50C-407E-A947-70E740481C1C}">
                                <a14:useLocalDpi xmlns:a14="http://schemas.microsoft.com/office/drawing/2010/main" val="0"/>
                              </a:ext>
                            </a:extLst>
                          </a:blip>
                          <a:srcRect l="38096" t="5451" r="42408" b="10358"/>
                          <a:stretch>
                            <a:fillRect/>
                          </a:stretch>
                        </pic:blipFill>
                        <pic:spPr>
                          <a:xfrm rot="3420000">
                            <a:off x="0" y="0"/>
                            <a:ext cx="222885" cy="1285240"/>
                          </a:xfrm>
                          <a:prstGeom prst="rect">
                            <a:avLst/>
                          </a:prstGeom>
                          <a:noFill/>
                          <a:ln w="9525">
                            <a:noFill/>
                            <a:miter lim="800000"/>
                            <a:headEnd/>
                            <a:tailEnd/>
                          </a:ln>
                        </pic:spPr>
                      </pic:pic>
                    </a:graphicData>
                  </a:graphic>
                </wp:inline>
              </w:drawing>
            </w:r>
          </w:p>
        </w:tc>
      </w:tr>
      <w:tr w14:paraId="0CA1FE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30" w:hRule="atLeast"/>
        </w:trPr>
        <w:tc>
          <w:tcPr>
            <w:tcW w:w="927" w:type="pct"/>
            <w:vAlign w:val="center"/>
          </w:tcPr>
          <w:p w14:paraId="43BAC82F">
            <w:pPr>
              <w:spacing w:line="240" w:lineRule="auto"/>
              <w:ind w:firstLine="0" w:firstLineChars="0"/>
              <w:jc w:val="center"/>
              <w:rPr>
                <w:rFonts w:hint="eastAsia"/>
                <w:sz w:val="21"/>
                <w:szCs w:val="21"/>
              </w:rPr>
            </w:pPr>
            <w:r>
              <w:rPr>
                <w:rFonts w:hint="eastAsia"/>
                <w:sz w:val="21"/>
                <w:szCs w:val="21"/>
              </w:rPr>
              <w:t>在线透明度传感器</w:t>
            </w:r>
          </w:p>
        </w:tc>
        <w:tc>
          <w:tcPr>
            <w:tcW w:w="2456" w:type="pct"/>
            <w:vAlign w:val="center"/>
          </w:tcPr>
          <w:p w14:paraId="6F9E98AD">
            <w:pPr>
              <w:spacing w:line="240" w:lineRule="auto"/>
              <w:ind w:firstLine="0" w:firstLineChars="0"/>
              <w:rPr>
                <w:rFonts w:hint="eastAsia"/>
                <w:sz w:val="21"/>
                <w:szCs w:val="21"/>
              </w:rPr>
            </w:pPr>
            <w:r>
              <w:rPr>
                <w:sz w:val="21"/>
                <w:szCs w:val="21"/>
              </w:rPr>
              <w:t>原理：</w:t>
            </w:r>
            <w:r>
              <w:rPr>
                <w:rFonts w:hint="eastAsia"/>
                <w:sz w:val="21"/>
                <w:szCs w:val="21"/>
              </w:rPr>
              <w:t>可见光吸收法</w:t>
            </w:r>
          </w:p>
          <w:p w14:paraId="32540A60">
            <w:pPr>
              <w:spacing w:line="240" w:lineRule="auto"/>
              <w:ind w:firstLine="0" w:firstLineChars="0"/>
              <w:rPr>
                <w:rFonts w:hint="eastAsia"/>
                <w:sz w:val="21"/>
                <w:szCs w:val="21"/>
              </w:rPr>
            </w:pPr>
            <w:r>
              <w:rPr>
                <w:sz w:val="21"/>
                <w:szCs w:val="21"/>
              </w:rPr>
              <w:t>量程：</w:t>
            </w:r>
            <w:r>
              <w:rPr>
                <w:rFonts w:hint="eastAsia"/>
                <w:sz w:val="21"/>
                <w:szCs w:val="21"/>
              </w:rPr>
              <w:t>50～2000 mm</w:t>
            </w:r>
          </w:p>
          <w:p w14:paraId="5D1EE382">
            <w:pPr>
              <w:spacing w:line="240" w:lineRule="auto"/>
              <w:ind w:firstLine="0" w:firstLineChars="0"/>
              <w:rPr>
                <w:rFonts w:hint="eastAsia"/>
                <w:sz w:val="21"/>
                <w:szCs w:val="21"/>
              </w:rPr>
            </w:pPr>
            <w:r>
              <w:rPr>
                <w:sz w:val="21"/>
                <w:szCs w:val="21"/>
              </w:rPr>
              <w:t>精度：</w:t>
            </w:r>
            <w:r>
              <w:rPr>
                <w:rFonts w:hint="eastAsia"/>
                <w:sz w:val="21"/>
                <w:szCs w:val="21"/>
              </w:rPr>
              <w:t>±10%</w:t>
            </w:r>
          </w:p>
        </w:tc>
        <w:tc>
          <w:tcPr>
            <w:tcW w:w="1616" w:type="pct"/>
            <w:vAlign w:val="center"/>
          </w:tcPr>
          <w:p w14:paraId="050ADBE1">
            <w:pPr>
              <w:spacing w:line="240" w:lineRule="auto"/>
              <w:ind w:firstLine="0" w:firstLineChars="0"/>
              <w:jc w:val="center"/>
              <w:rPr>
                <w:rFonts w:hint="eastAsia"/>
                <w:sz w:val="21"/>
                <w:szCs w:val="21"/>
              </w:rPr>
            </w:pPr>
            <w:r>
              <w:rPr>
                <w:rFonts w:ascii="Times New Roman" w:hAnsi="Times New Roman"/>
              </w:rPr>
              <w:drawing>
                <wp:inline distT="0" distB="0" distL="114300" distR="114300">
                  <wp:extent cx="483235" cy="1261110"/>
                  <wp:effectExtent l="36830" t="283210" r="43180" b="285115"/>
                  <wp:docPr id="28" name="图片 1" descr="1978046dcde96ccac800f9f42225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1978046dcde96ccac800f9f422253b7"/>
                          <pic:cNvPicPr>
                            <a:picLocks noChangeAspect="1"/>
                          </pic:cNvPicPr>
                        </pic:nvPicPr>
                        <pic:blipFill>
                          <a:blip r:embed="rId23"/>
                          <a:srcRect l="32010" r="26482"/>
                          <a:stretch>
                            <a:fillRect/>
                          </a:stretch>
                        </pic:blipFill>
                        <pic:spPr>
                          <a:xfrm rot="3600000">
                            <a:off x="0" y="0"/>
                            <a:ext cx="483235" cy="1261110"/>
                          </a:xfrm>
                          <a:prstGeom prst="rect">
                            <a:avLst/>
                          </a:prstGeom>
                          <a:noFill/>
                          <a:ln>
                            <a:noFill/>
                          </a:ln>
                        </pic:spPr>
                      </pic:pic>
                    </a:graphicData>
                  </a:graphic>
                </wp:inline>
              </w:drawing>
            </w:r>
          </w:p>
        </w:tc>
      </w:tr>
      <w:tr w14:paraId="3837B0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6" w:hRule="atLeast"/>
        </w:trPr>
        <w:tc>
          <w:tcPr>
            <w:tcW w:w="927" w:type="pct"/>
            <w:vAlign w:val="center"/>
          </w:tcPr>
          <w:p w14:paraId="3DAF9A27">
            <w:pPr>
              <w:spacing w:line="240" w:lineRule="auto"/>
              <w:ind w:firstLine="0" w:firstLineChars="0"/>
              <w:jc w:val="center"/>
              <w:rPr>
                <w:rFonts w:hint="eastAsia"/>
                <w:sz w:val="21"/>
                <w:szCs w:val="21"/>
              </w:rPr>
            </w:pPr>
            <w:r>
              <w:rPr>
                <w:rFonts w:hint="eastAsia"/>
                <w:sz w:val="21"/>
                <w:szCs w:val="21"/>
              </w:rPr>
              <w:t>在线COD传感器</w:t>
            </w:r>
          </w:p>
        </w:tc>
        <w:tc>
          <w:tcPr>
            <w:tcW w:w="2456" w:type="pct"/>
            <w:vAlign w:val="center"/>
          </w:tcPr>
          <w:p w14:paraId="14B99AB8">
            <w:pPr>
              <w:spacing w:line="240" w:lineRule="auto"/>
              <w:ind w:firstLine="0" w:firstLineChars="0"/>
              <w:rPr>
                <w:rFonts w:hint="eastAsia"/>
                <w:sz w:val="21"/>
                <w:szCs w:val="21"/>
              </w:rPr>
            </w:pPr>
            <w:r>
              <w:rPr>
                <w:sz w:val="21"/>
                <w:szCs w:val="21"/>
              </w:rPr>
              <w:t>原理：</w:t>
            </w:r>
            <w:r>
              <w:rPr>
                <w:rFonts w:hint="eastAsia"/>
                <w:sz w:val="21"/>
                <w:szCs w:val="21"/>
              </w:rPr>
              <w:t>双波长紫外吸收法</w:t>
            </w:r>
          </w:p>
          <w:p w14:paraId="2F714270">
            <w:pPr>
              <w:spacing w:line="240" w:lineRule="auto"/>
              <w:ind w:firstLine="0" w:firstLineChars="0"/>
              <w:rPr>
                <w:rFonts w:hint="eastAsia"/>
                <w:sz w:val="21"/>
                <w:szCs w:val="21"/>
              </w:rPr>
            </w:pPr>
            <w:r>
              <w:rPr>
                <w:sz w:val="21"/>
                <w:szCs w:val="21"/>
              </w:rPr>
              <w:t>量程：</w:t>
            </w:r>
            <w:r>
              <w:rPr>
                <w:rFonts w:hint="eastAsia"/>
                <w:sz w:val="21"/>
                <w:szCs w:val="21"/>
              </w:rPr>
              <w:t>0～500.0 mg/L</w:t>
            </w:r>
          </w:p>
          <w:p w14:paraId="270E8201">
            <w:pPr>
              <w:spacing w:line="240" w:lineRule="auto"/>
              <w:ind w:firstLine="0" w:firstLineChars="0"/>
              <w:rPr>
                <w:rFonts w:hint="eastAsia"/>
                <w:sz w:val="21"/>
                <w:szCs w:val="21"/>
              </w:rPr>
            </w:pPr>
            <w:r>
              <w:rPr>
                <w:sz w:val="21"/>
                <w:szCs w:val="21"/>
              </w:rPr>
              <w:t>精度：</w:t>
            </w:r>
            <w:r>
              <w:rPr>
                <w:rFonts w:hint="eastAsia"/>
                <w:sz w:val="21"/>
                <w:szCs w:val="21"/>
              </w:rPr>
              <w:t>读数的±5%</w:t>
            </w:r>
          </w:p>
        </w:tc>
        <w:tc>
          <w:tcPr>
            <w:tcW w:w="1616" w:type="pct"/>
            <w:vAlign w:val="center"/>
          </w:tcPr>
          <w:p w14:paraId="729E267E">
            <w:pPr>
              <w:spacing w:line="240" w:lineRule="auto"/>
              <w:ind w:firstLine="0" w:firstLineChars="0"/>
              <w:jc w:val="center"/>
              <w:rPr>
                <w:rFonts w:hint="eastAsia"/>
                <w:sz w:val="21"/>
                <w:szCs w:val="21"/>
              </w:rPr>
            </w:pPr>
            <w:r>
              <w:rPr>
                <w:rFonts w:hint="eastAsia" w:ascii="Times New Roman" w:hAnsi="Times New Roman"/>
              </w:rPr>
              <w:drawing>
                <wp:inline distT="0" distB="0" distL="114300" distR="114300">
                  <wp:extent cx="211455" cy="1327150"/>
                  <wp:effectExtent l="0" t="326390" r="0" b="391795"/>
                  <wp:docPr id="31" name="图片 1" descr="COD-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COD-408"/>
                          <pic:cNvPicPr>
                            <a:picLocks noChangeAspect="1"/>
                          </pic:cNvPicPr>
                        </pic:nvPicPr>
                        <pic:blipFill>
                          <a:blip r:embed="rId24"/>
                          <a:stretch>
                            <a:fillRect/>
                          </a:stretch>
                        </pic:blipFill>
                        <pic:spPr>
                          <a:xfrm rot="3120000" flipH="1">
                            <a:off x="0" y="0"/>
                            <a:ext cx="211455" cy="1327150"/>
                          </a:xfrm>
                          <a:prstGeom prst="rect">
                            <a:avLst/>
                          </a:prstGeom>
                          <a:noFill/>
                          <a:ln>
                            <a:noFill/>
                          </a:ln>
                        </pic:spPr>
                      </pic:pic>
                    </a:graphicData>
                  </a:graphic>
                </wp:inline>
              </w:drawing>
            </w:r>
          </w:p>
        </w:tc>
      </w:tr>
      <w:tr w14:paraId="2E2C9B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66" w:hRule="atLeast"/>
        </w:trPr>
        <w:tc>
          <w:tcPr>
            <w:tcW w:w="927" w:type="pct"/>
            <w:vAlign w:val="center"/>
          </w:tcPr>
          <w:p w14:paraId="4B7DDA88">
            <w:pPr>
              <w:spacing w:line="240" w:lineRule="auto"/>
              <w:ind w:firstLine="0" w:firstLineChars="0"/>
              <w:jc w:val="center"/>
              <w:rPr>
                <w:rFonts w:hint="eastAsia"/>
                <w:sz w:val="21"/>
                <w:szCs w:val="21"/>
              </w:rPr>
            </w:pPr>
            <w:r>
              <w:rPr>
                <w:rFonts w:hint="eastAsia"/>
                <w:sz w:val="21"/>
                <w:szCs w:val="21"/>
              </w:rPr>
              <w:t>在线氨氮传感器</w:t>
            </w:r>
          </w:p>
        </w:tc>
        <w:tc>
          <w:tcPr>
            <w:tcW w:w="2456" w:type="pct"/>
            <w:vAlign w:val="center"/>
          </w:tcPr>
          <w:p w14:paraId="36357929">
            <w:pPr>
              <w:spacing w:line="240" w:lineRule="auto"/>
              <w:ind w:firstLine="0" w:firstLineChars="0"/>
              <w:rPr>
                <w:rFonts w:hint="eastAsia"/>
                <w:sz w:val="21"/>
                <w:szCs w:val="21"/>
              </w:rPr>
            </w:pPr>
            <w:r>
              <w:rPr>
                <w:sz w:val="21"/>
                <w:szCs w:val="21"/>
              </w:rPr>
              <w:t>原理</w:t>
            </w:r>
            <w:r>
              <w:rPr>
                <w:rFonts w:hint="eastAsia"/>
                <w:sz w:val="21"/>
                <w:szCs w:val="21"/>
              </w:rPr>
              <w:t>：离子选择电极法</w:t>
            </w:r>
          </w:p>
          <w:p w14:paraId="3C75E6FF">
            <w:pPr>
              <w:spacing w:line="240" w:lineRule="auto"/>
              <w:ind w:firstLine="0" w:firstLineChars="0"/>
              <w:rPr>
                <w:rFonts w:hint="eastAsia"/>
                <w:sz w:val="21"/>
                <w:szCs w:val="21"/>
              </w:rPr>
            </w:pPr>
            <w:r>
              <w:rPr>
                <w:sz w:val="21"/>
                <w:szCs w:val="21"/>
              </w:rPr>
              <w:t>量程</w:t>
            </w:r>
            <w:r>
              <w:rPr>
                <w:rFonts w:hint="eastAsia"/>
                <w:sz w:val="21"/>
                <w:szCs w:val="21"/>
              </w:rPr>
              <w:t>：0～100.00 mg/L</w:t>
            </w:r>
          </w:p>
          <w:p w14:paraId="122B9AF5">
            <w:pPr>
              <w:spacing w:line="240" w:lineRule="auto"/>
              <w:ind w:firstLine="0" w:firstLineChars="0"/>
              <w:rPr>
                <w:rFonts w:hint="eastAsia"/>
                <w:sz w:val="21"/>
                <w:szCs w:val="21"/>
              </w:rPr>
            </w:pPr>
            <w:r>
              <w:rPr>
                <w:sz w:val="21"/>
                <w:szCs w:val="21"/>
              </w:rPr>
              <w:t>精度</w:t>
            </w:r>
            <w:r>
              <w:rPr>
                <w:rFonts w:hint="eastAsia"/>
                <w:sz w:val="21"/>
                <w:szCs w:val="21"/>
              </w:rPr>
              <w:t>：读数的±10%或±1 mg/L 以大者为准</w:t>
            </w:r>
          </w:p>
        </w:tc>
        <w:tc>
          <w:tcPr>
            <w:tcW w:w="1616" w:type="pct"/>
            <w:vAlign w:val="center"/>
          </w:tcPr>
          <w:p w14:paraId="2DE46612">
            <w:pPr>
              <w:spacing w:line="240" w:lineRule="auto"/>
              <w:ind w:firstLine="0" w:firstLineChars="0"/>
              <w:jc w:val="center"/>
              <w:rPr>
                <w:rFonts w:hint="eastAsia"/>
              </w:rPr>
            </w:pPr>
            <w:r>
              <w:drawing>
                <wp:inline distT="0" distB="0" distL="114300" distR="114300">
                  <wp:extent cx="294005" cy="1365885"/>
                  <wp:effectExtent l="0" t="365125" r="0" b="377190"/>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25"/>
                          <a:stretch>
                            <a:fillRect/>
                          </a:stretch>
                        </pic:blipFill>
                        <pic:spPr>
                          <a:xfrm rot="3300000">
                            <a:off x="0" y="0"/>
                            <a:ext cx="294005" cy="1365885"/>
                          </a:xfrm>
                          <a:prstGeom prst="rect">
                            <a:avLst/>
                          </a:prstGeom>
                          <a:noFill/>
                          <a:ln>
                            <a:noFill/>
                          </a:ln>
                        </pic:spPr>
                      </pic:pic>
                    </a:graphicData>
                  </a:graphic>
                </wp:inline>
              </w:drawing>
            </w:r>
          </w:p>
        </w:tc>
      </w:tr>
      <w:tr w14:paraId="47508C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927" w:type="pct"/>
            <w:shd w:val="clear" w:color="auto" w:fill="auto"/>
            <w:vAlign w:val="center"/>
          </w:tcPr>
          <w:p w14:paraId="6653C79F">
            <w:pPr>
              <w:spacing w:line="240" w:lineRule="auto"/>
              <w:ind w:firstLine="0" w:firstLineChars="0"/>
              <w:jc w:val="center"/>
              <w:rPr>
                <w:rFonts w:hint="eastAsia" w:ascii="宋体" w:hAnsi="宋体" w:eastAsia="宋体" w:cs="宋体"/>
                <w:kern w:val="2"/>
                <w:sz w:val="21"/>
                <w:szCs w:val="21"/>
                <w:lang w:val="en-US" w:eastAsia="zh-CN" w:bidi="ar-SA"/>
              </w:rPr>
            </w:pPr>
            <w:r>
              <w:rPr>
                <w:rFonts w:hint="eastAsia"/>
                <w:sz w:val="21"/>
                <w:szCs w:val="21"/>
              </w:rPr>
              <w:t>在线全光谱多参数传感器</w:t>
            </w:r>
          </w:p>
        </w:tc>
        <w:tc>
          <w:tcPr>
            <w:tcW w:w="2456" w:type="pct"/>
            <w:shd w:val="clear" w:color="auto" w:fill="auto"/>
            <w:vAlign w:val="center"/>
          </w:tcPr>
          <w:p w14:paraId="64BC0A7F">
            <w:pPr>
              <w:spacing w:line="240" w:lineRule="auto"/>
              <w:ind w:firstLine="0" w:firstLineChars="0"/>
              <w:jc w:val="left"/>
              <w:rPr>
                <w:rFonts w:hint="eastAsia"/>
                <w:sz w:val="21"/>
                <w:szCs w:val="21"/>
              </w:rPr>
            </w:pPr>
            <w:r>
              <w:rPr>
                <w:sz w:val="21"/>
                <w:szCs w:val="21"/>
              </w:rPr>
              <w:t>原理</w:t>
            </w:r>
            <w:r>
              <w:rPr>
                <w:rFonts w:hint="eastAsia"/>
                <w:sz w:val="21"/>
                <w:szCs w:val="21"/>
              </w:rPr>
              <w:t>：全光谱吸收法</w:t>
            </w:r>
          </w:p>
          <w:p w14:paraId="692072C0">
            <w:pPr>
              <w:spacing w:line="240" w:lineRule="auto"/>
              <w:ind w:firstLine="0" w:firstLineChars="0"/>
              <w:jc w:val="left"/>
              <w:rPr>
                <w:rFonts w:hint="eastAsia"/>
                <w:sz w:val="21"/>
                <w:szCs w:val="21"/>
              </w:rPr>
            </w:pPr>
            <w:r>
              <w:rPr>
                <w:sz w:val="21"/>
                <w:szCs w:val="21"/>
              </w:rPr>
              <w:t>量程</w:t>
            </w:r>
            <w:r>
              <w:rPr>
                <w:rFonts w:hint="eastAsia"/>
                <w:sz w:val="21"/>
                <w:szCs w:val="21"/>
              </w:rPr>
              <w:t>：</w:t>
            </w:r>
          </w:p>
          <w:p w14:paraId="4D66F9E4">
            <w:pPr>
              <w:spacing w:line="240" w:lineRule="auto"/>
              <w:ind w:firstLine="0" w:firstLineChars="0"/>
              <w:jc w:val="left"/>
              <w:rPr>
                <w:rFonts w:hint="eastAsia"/>
                <w:sz w:val="21"/>
                <w:szCs w:val="21"/>
              </w:rPr>
            </w:pPr>
            <w:r>
              <w:rPr>
                <w:rFonts w:hint="eastAsia"/>
                <w:sz w:val="21"/>
                <w:szCs w:val="21"/>
              </w:rPr>
              <w:t>COD：0～200mg/Lequiv. KHP；色度：0～500Hazen；TOC：0～150mg/L；浊度：0～400NTU；BOD：0～150mg/L；UV254：0～1.5AU；TP：0～15mg/L；TN：0～100mg/L；NHN：0～80mg/L；硝酸盐：0～15mg/L；亚硝酸盐：0～10mg/L；CODMn：0～100mg/L</w:t>
            </w:r>
          </w:p>
          <w:p w14:paraId="5546D088">
            <w:pPr>
              <w:spacing w:line="240" w:lineRule="auto"/>
              <w:ind w:firstLine="0" w:firstLineChars="0"/>
              <w:jc w:val="left"/>
              <w:rPr>
                <w:rFonts w:hint="eastAsia" w:ascii="宋体" w:hAnsi="宋体" w:eastAsia="宋体" w:cs="宋体"/>
                <w:kern w:val="2"/>
                <w:sz w:val="21"/>
                <w:szCs w:val="21"/>
                <w:lang w:val="en-US" w:eastAsia="zh-CN" w:bidi="ar-SA"/>
              </w:rPr>
            </w:pPr>
            <w:r>
              <w:rPr>
                <w:sz w:val="21"/>
                <w:szCs w:val="21"/>
              </w:rPr>
              <w:t>精度</w:t>
            </w:r>
            <w:r>
              <w:rPr>
                <w:rFonts w:hint="eastAsia"/>
                <w:sz w:val="21"/>
                <w:szCs w:val="21"/>
              </w:rPr>
              <w:t>：±5%F.S.</w:t>
            </w:r>
          </w:p>
        </w:tc>
        <w:tc>
          <w:tcPr>
            <w:tcW w:w="1616" w:type="pct"/>
            <w:shd w:val="clear" w:color="auto" w:fill="auto"/>
            <w:vAlign w:val="center"/>
          </w:tcPr>
          <w:p w14:paraId="58E6B9EE">
            <w:pPr>
              <w:autoSpaceDE w:val="0"/>
              <w:spacing w:beforeAutospacing="1" w:afterAutospacing="1"/>
              <w:ind w:firstLine="0" w:firstLineChars="0"/>
              <w:jc w:val="center"/>
              <w:rPr>
                <w:rFonts w:hint="eastAsia" w:ascii="宋体" w:hAnsi="宋体" w:eastAsia="宋体" w:cs="宋体"/>
                <w:kern w:val="2"/>
                <w:sz w:val="28"/>
                <w:szCs w:val="28"/>
                <w:lang w:val="en-US" w:eastAsia="zh-CN" w:bidi="ar"/>
              </w:rPr>
            </w:pPr>
            <w:r>
              <w:rPr>
                <w:rFonts w:hint="default" w:ascii="Times New Roman" w:hAnsi="Times New Roman" w:eastAsia="宋体" w:cs="Times New Roman"/>
                <w:lang w:val="en-US" w:eastAsia="zh-CN"/>
              </w:rPr>
              <w:drawing>
                <wp:inline distT="0" distB="0" distL="114300" distR="114300">
                  <wp:extent cx="426085" cy="1622425"/>
                  <wp:effectExtent l="0" t="0" r="0" b="0"/>
                  <wp:docPr id="6" name="图片 7" descr="C:/Users/lina/Desktop/FUV-408-.pngFUV-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C:/Users/lina/Desktop/FUV-408-.pngFUV-408-"/>
                          <pic:cNvPicPr>
                            <a:picLocks noChangeAspect="1"/>
                          </pic:cNvPicPr>
                        </pic:nvPicPr>
                        <pic:blipFill>
                          <a:blip r:embed="rId26"/>
                          <a:srcRect l="29555" r="30036"/>
                          <a:stretch>
                            <a:fillRect/>
                          </a:stretch>
                        </pic:blipFill>
                        <pic:spPr>
                          <a:xfrm>
                            <a:off x="0" y="0"/>
                            <a:ext cx="426085" cy="1622425"/>
                          </a:xfrm>
                          <a:prstGeom prst="rect">
                            <a:avLst/>
                          </a:prstGeom>
                          <a:noFill/>
                          <a:ln>
                            <a:noFill/>
                          </a:ln>
                        </pic:spPr>
                      </pic:pic>
                    </a:graphicData>
                  </a:graphic>
                </wp:inline>
              </w:drawing>
            </w:r>
          </w:p>
        </w:tc>
      </w:tr>
      <w:tr w14:paraId="3B9BE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927" w:type="pct"/>
            <w:vAlign w:val="center"/>
          </w:tcPr>
          <w:p w14:paraId="118CBA8B">
            <w:pPr>
              <w:spacing w:line="240" w:lineRule="auto"/>
              <w:ind w:firstLine="0" w:firstLineChars="0"/>
              <w:jc w:val="center"/>
              <w:rPr>
                <w:rFonts w:hint="eastAsia"/>
                <w:sz w:val="21"/>
                <w:szCs w:val="21"/>
              </w:rPr>
            </w:pPr>
            <w:r>
              <w:rPr>
                <w:rFonts w:hint="eastAsia"/>
                <w:sz w:val="21"/>
                <w:szCs w:val="21"/>
              </w:rPr>
              <w:t>多普勒流量计</w:t>
            </w:r>
          </w:p>
        </w:tc>
        <w:tc>
          <w:tcPr>
            <w:tcW w:w="2456" w:type="pct"/>
            <w:vAlign w:val="center"/>
          </w:tcPr>
          <w:p w14:paraId="5EDD2FC6">
            <w:pPr>
              <w:spacing w:line="240" w:lineRule="auto"/>
              <w:ind w:firstLine="0" w:firstLineChars="0"/>
              <w:rPr>
                <w:rFonts w:hint="eastAsia"/>
                <w:sz w:val="21"/>
                <w:szCs w:val="21"/>
              </w:rPr>
            </w:pPr>
            <w:r>
              <w:rPr>
                <w:sz w:val="21"/>
                <w:szCs w:val="21"/>
              </w:rPr>
              <w:t>流速量程：0.02～6.5m/s</w:t>
            </w:r>
          </w:p>
          <w:p w14:paraId="667EB17E">
            <w:pPr>
              <w:spacing w:line="240" w:lineRule="auto"/>
              <w:ind w:firstLine="0" w:firstLineChars="0"/>
              <w:rPr>
                <w:rFonts w:hint="eastAsia"/>
                <w:sz w:val="21"/>
                <w:szCs w:val="21"/>
              </w:rPr>
            </w:pPr>
            <w:r>
              <w:rPr>
                <w:sz w:val="21"/>
                <w:szCs w:val="21"/>
              </w:rPr>
              <w:t>流速精度：± 1.0%、 ±0.01m/s</w:t>
            </w:r>
          </w:p>
          <w:p w14:paraId="256C2490">
            <w:pPr>
              <w:spacing w:line="240" w:lineRule="auto"/>
              <w:ind w:firstLine="0" w:firstLineChars="0"/>
              <w:rPr>
                <w:rFonts w:hint="eastAsia"/>
                <w:sz w:val="21"/>
                <w:szCs w:val="21"/>
              </w:rPr>
            </w:pPr>
            <w:r>
              <w:rPr>
                <w:sz w:val="21"/>
                <w:szCs w:val="21"/>
              </w:rPr>
              <w:t>静压液位量程：0.01~10m</w:t>
            </w:r>
          </w:p>
          <w:p w14:paraId="40C37078">
            <w:pPr>
              <w:spacing w:line="240" w:lineRule="auto"/>
              <w:ind w:firstLine="0" w:firstLineChars="0"/>
              <w:rPr>
                <w:rFonts w:hint="eastAsia"/>
                <w:sz w:val="21"/>
                <w:szCs w:val="21"/>
              </w:rPr>
            </w:pPr>
            <w:r>
              <w:rPr>
                <w:sz w:val="21"/>
                <w:szCs w:val="21"/>
              </w:rPr>
              <w:t>静压液位分辨率</w:t>
            </w:r>
            <w:r>
              <w:rPr>
                <w:sz w:val="21"/>
                <w:szCs w:val="21"/>
              </w:rPr>
              <w:tab/>
            </w:r>
            <w:r>
              <w:rPr>
                <w:sz w:val="21"/>
                <w:szCs w:val="21"/>
              </w:rPr>
              <w:t>0.001m</w:t>
            </w:r>
          </w:p>
        </w:tc>
        <w:tc>
          <w:tcPr>
            <w:tcW w:w="1616" w:type="pct"/>
            <w:vAlign w:val="center"/>
          </w:tcPr>
          <w:p w14:paraId="24BE825D">
            <w:pPr>
              <w:spacing w:line="240" w:lineRule="auto"/>
              <w:ind w:firstLine="0" w:firstLineChars="0"/>
              <w:jc w:val="center"/>
              <w:rPr>
                <w:rFonts w:hint="eastAsia"/>
              </w:rPr>
            </w:pPr>
            <w:r>
              <w:drawing>
                <wp:inline distT="0" distB="0" distL="114300" distR="114300">
                  <wp:extent cx="1100455" cy="955675"/>
                  <wp:effectExtent l="0" t="0" r="12065" b="444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27"/>
                          <a:stretch>
                            <a:fillRect/>
                          </a:stretch>
                        </pic:blipFill>
                        <pic:spPr>
                          <a:xfrm>
                            <a:off x="0" y="0"/>
                            <a:ext cx="1100455" cy="955675"/>
                          </a:xfrm>
                          <a:prstGeom prst="rect">
                            <a:avLst/>
                          </a:prstGeom>
                          <a:noFill/>
                          <a:ln>
                            <a:noFill/>
                          </a:ln>
                        </pic:spPr>
                      </pic:pic>
                    </a:graphicData>
                  </a:graphic>
                </wp:inline>
              </w:drawing>
            </w:r>
          </w:p>
        </w:tc>
      </w:tr>
      <w:tr w14:paraId="04FD08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927" w:type="pct"/>
            <w:vAlign w:val="center"/>
          </w:tcPr>
          <w:p w14:paraId="67784E82">
            <w:pPr>
              <w:spacing w:line="240" w:lineRule="auto"/>
              <w:ind w:firstLine="0" w:firstLineChars="0"/>
              <w:jc w:val="center"/>
              <w:rPr>
                <w:rFonts w:hint="eastAsia"/>
                <w:sz w:val="21"/>
                <w:szCs w:val="21"/>
              </w:rPr>
            </w:pPr>
            <w:r>
              <w:rPr>
                <w:rFonts w:hint="eastAsia"/>
                <w:sz w:val="21"/>
                <w:szCs w:val="21"/>
              </w:rPr>
              <w:t>超声波雷达流量计</w:t>
            </w:r>
          </w:p>
        </w:tc>
        <w:tc>
          <w:tcPr>
            <w:tcW w:w="2456" w:type="pct"/>
            <w:vAlign w:val="center"/>
          </w:tcPr>
          <w:p w14:paraId="0D68B675">
            <w:pPr>
              <w:spacing w:line="240" w:lineRule="auto"/>
              <w:ind w:firstLine="0" w:firstLineChars="0"/>
              <w:rPr>
                <w:rFonts w:hint="eastAsia"/>
                <w:sz w:val="21"/>
                <w:szCs w:val="21"/>
              </w:rPr>
            </w:pPr>
            <w:r>
              <w:rPr>
                <w:rFonts w:hint="eastAsia"/>
                <w:sz w:val="21"/>
                <w:szCs w:val="21"/>
              </w:rPr>
              <w:t>雷达测速范围：0.1-20m/s</w:t>
            </w:r>
          </w:p>
          <w:p w14:paraId="052C6932">
            <w:pPr>
              <w:spacing w:line="240" w:lineRule="auto"/>
              <w:ind w:firstLine="0" w:firstLineChars="0"/>
              <w:rPr>
                <w:rFonts w:hint="eastAsia"/>
                <w:sz w:val="21"/>
                <w:szCs w:val="21"/>
              </w:rPr>
            </w:pPr>
            <w:r>
              <w:rPr>
                <w:rFonts w:hint="eastAsia"/>
                <w:sz w:val="21"/>
                <w:szCs w:val="21"/>
              </w:rPr>
              <w:t>雷达测速精度：0.01m/s</w:t>
            </w:r>
          </w:p>
          <w:p w14:paraId="13CC499B">
            <w:pPr>
              <w:spacing w:line="240" w:lineRule="auto"/>
              <w:ind w:firstLine="0" w:firstLineChars="0"/>
              <w:rPr>
                <w:rFonts w:hint="eastAsia"/>
                <w:sz w:val="21"/>
                <w:szCs w:val="21"/>
              </w:rPr>
            </w:pPr>
            <w:r>
              <w:rPr>
                <w:rFonts w:hint="eastAsia"/>
                <w:sz w:val="21"/>
                <w:szCs w:val="21"/>
              </w:rPr>
              <w:t>雷达测速分辨力：0.001m/s</w:t>
            </w:r>
          </w:p>
          <w:p w14:paraId="1F3079C1">
            <w:pPr>
              <w:spacing w:line="240" w:lineRule="auto"/>
              <w:ind w:firstLine="0" w:firstLineChars="0"/>
              <w:rPr>
                <w:rFonts w:hint="eastAsia"/>
                <w:sz w:val="21"/>
                <w:szCs w:val="21"/>
              </w:rPr>
            </w:pPr>
            <w:r>
              <w:rPr>
                <w:rFonts w:hint="eastAsia"/>
                <w:sz w:val="21"/>
                <w:szCs w:val="21"/>
              </w:rPr>
              <w:t>流速方向识别：双向自动识别</w:t>
            </w:r>
          </w:p>
          <w:p w14:paraId="21BBAEAB">
            <w:pPr>
              <w:spacing w:line="240" w:lineRule="auto"/>
              <w:ind w:firstLine="0" w:firstLineChars="0"/>
              <w:rPr>
                <w:rFonts w:hint="eastAsia"/>
                <w:sz w:val="21"/>
                <w:szCs w:val="21"/>
              </w:rPr>
            </w:pPr>
            <w:r>
              <w:rPr>
                <w:rFonts w:hint="eastAsia"/>
                <w:sz w:val="21"/>
                <w:szCs w:val="21"/>
              </w:rPr>
              <w:t>雷达测距范围：0-20m</w:t>
            </w:r>
          </w:p>
          <w:p w14:paraId="38288986">
            <w:pPr>
              <w:spacing w:line="240" w:lineRule="auto"/>
              <w:ind w:firstLine="0" w:firstLineChars="0"/>
              <w:rPr>
                <w:rFonts w:hint="eastAsia"/>
                <w:sz w:val="21"/>
                <w:szCs w:val="21"/>
              </w:rPr>
            </w:pPr>
            <w:r>
              <w:rPr>
                <w:rFonts w:hint="eastAsia"/>
                <w:sz w:val="21"/>
                <w:szCs w:val="21"/>
              </w:rPr>
              <w:t>雷达距离精度：±2mm</w:t>
            </w:r>
          </w:p>
          <w:p w14:paraId="0630A463">
            <w:pPr>
              <w:spacing w:line="240" w:lineRule="auto"/>
              <w:ind w:firstLine="0" w:firstLineChars="0"/>
              <w:rPr>
                <w:rFonts w:hint="eastAsia"/>
                <w:sz w:val="21"/>
                <w:szCs w:val="21"/>
              </w:rPr>
            </w:pPr>
            <w:r>
              <w:rPr>
                <w:rFonts w:hint="eastAsia"/>
                <w:sz w:val="21"/>
                <w:szCs w:val="21"/>
              </w:rPr>
              <w:t>雷达测距分辨率：1mm</w:t>
            </w:r>
          </w:p>
          <w:p w14:paraId="131F211D">
            <w:pPr>
              <w:spacing w:line="240" w:lineRule="auto"/>
              <w:ind w:firstLine="0" w:firstLineChars="0"/>
              <w:rPr>
                <w:rFonts w:hint="eastAsia"/>
                <w:sz w:val="21"/>
                <w:szCs w:val="21"/>
              </w:rPr>
            </w:pPr>
            <w:r>
              <w:rPr>
                <w:rFonts w:hint="eastAsia"/>
                <w:sz w:val="21"/>
                <w:szCs w:val="21"/>
              </w:rPr>
              <w:t>超声波测速范围：0.02~6.5m/s</w:t>
            </w:r>
          </w:p>
          <w:p w14:paraId="2C462363">
            <w:pPr>
              <w:spacing w:line="240" w:lineRule="auto"/>
              <w:ind w:firstLine="0" w:firstLineChars="0"/>
              <w:rPr>
                <w:rFonts w:hint="eastAsia"/>
                <w:sz w:val="21"/>
                <w:szCs w:val="21"/>
              </w:rPr>
            </w:pPr>
            <w:r>
              <w:rPr>
                <w:rFonts w:hint="eastAsia"/>
                <w:sz w:val="21"/>
                <w:szCs w:val="21"/>
              </w:rPr>
              <w:t>超声波测速精度：±0.01m/s</w:t>
            </w:r>
          </w:p>
          <w:p w14:paraId="19C85C3E">
            <w:pPr>
              <w:spacing w:line="240" w:lineRule="auto"/>
              <w:ind w:firstLine="0" w:firstLineChars="0"/>
              <w:rPr>
                <w:rFonts w:hint="eastAsia"/>
                <w:sz w:val="21"/>
                <w:szCs w:val="21"/>
              </w:rPr>
            </w:pPr>
            <w:r>
              <w:rPr>
                <w:rFonts w:hint="eastAsia"/>
                <w:sz w:val="21"/>
                <w:szCs w:val="21"/>
              </w:rPr>
              <w:t>超声波水位量程：0.03-5m</w:t>
            </w:r>
          </w:p>
        </w:tc>
        <w:tc>
          <w:tcPr>
            <w:tcW w:w="1616" w:type="pct"/>
            <w:vAlign w:val="center"/>
          </w:tcPr>
          <w:p w14:paraId="368770BE">
            <w:pPr>
              <w:spacing w:line="240" w:lineRule="auto"/>
              <w:ind w:firstLine="0" w:firstLineChars="0"/>
              <w:jc w:val="center"/>
              <w:rPr>
                <w:rFonts w:hint="eastAsia"/>
              </w:rPr>
            </w:pPr>
            <w:r>
              <w:drawing>
                <wp:inline distT="0" distB="0" distL="114300" distR="114300">
                  <wp:extent cx="1100455" cy="781050"/>
                  <wp:effectExtent l="0" t="0" r="12065" b="11430"/>
                  <wp:docPr id="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pic:cNvPicPr>
                            <a:picLocks noChangeAspect="1"/>
                          </pic:cNvPicPr>
                        </pic:nvPicPr>
                        <pic:blipFill>
                          <a:blip r:embed="rId28"/>
                          <a:stretch>
                            <a:fillRect/>
                          </a:stretch>
                        </pic:blipFill>
                        <pic:spPr>
                          <a:xfrm>
                            <a:off x="0" y="0"/>
                            <a:ext cx="1100455" cy="781050"/>
                          </a:xfrm>
                          <a:prstGeom prst="rect">
                            <a:avLst/>
                          </a:prstGeom>
                          <a:noFill/>
                          <a:ln>
                            <a:noFill/>
                          </a:ln>
                        </pic:spPr>
                      </pic:pic>
                    </a:graphicData>
                  </a:graphic>
                </wp:inline>
              </w:drawing>
            </w:r>
          </w:p>
        </w:tc>
      </w:tr>
      <w:tr w14:paraId="06DD4A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927" w:type="pct"/>
            <w:vAlign w:val="center"/>
          </w:tcPr>
          <w:p w14:paraId="7A2A0108">
            <w:pPr>
              <w:spacing w:line="240" w:lineRule="auto"/>
              <w:ind w:firstLine="0" w:firstLineChars="0"/>
              <w:jc w:val="center"/>
              <w:rPr>
                <w:rFonts w:hint="eastAsia"/>
                <w:sz w:val="21"/>
                <w:szCs w:val="21"/>
              </w:rPr>
            </w:pPr>
            <w:r>
              <w:rPr>
                <w:rFonts w:hint="eastAsia"/>
                <w:sz w:val="21"/>
                <w:szCs w:val="21"/>
              </w:rPr>
              <w:t>静压式液位计</w:t>
            </w:r>
          </w:p>
        </w:tc>
        <w:tc>
          <w:tcPr>
            <w:tcW w:w="2456" w:type="pct"/>
            <w:vAlign w:val="center"/>
          </w:tcPr>
          <w:p w14:paraId="38767FDA">
            <w:pPr>
              <w:spacing w:line="240" w:lineRule="auto"/>
              <w:ind w:firstLine="0" w:firstLineChars="0"/>
              <w:rPr>
                <w:rFonts w:hint="eastAsia"/>
                <w:sz w:val="21"/>
                <w:szCs w:val="21"/>
              </w:rPr>
            </w:pPr>
            <w:r>
              <w:rPr>
                <w:sz w:val="21"/>
                <w:szCs w:val="21"/>
              </w:rPr>
              <w:t>原理：</w:t>
            </w:r>
            <w:r>
              <w:rPr>
                <w:rFonts w:hint="eastAsia"/>
                <w:sz w:val="21"/>
                <w:szCs w:val="21"/>
              </w:rPr>
              <w:t>压力式</w:t>
            </w:r>
          </w:p>
          <w:p w14:paraId="3513900F">
            <w:pPr>
              <w:spacing w:line="240" w:lineRule="auto"/>
              <w:ind w:firstLine="0" w:firstLineChars="0"/>
              <w:rPr>
                <w:rFonts w:hint="eastAsia"/>
                <w:sz w:val="21"/>
                <w:szCs w:val="21"/>
              </w:rPr>
            </w:pPr>
            <w:r>
              <w:rPr>
                <w:rFonts w:hint="eastAsia"/>
                <w:sz w:val="21"/>
                <w:szCs w:val="21"/>
              </w:rPr>
              <w:t>精度：±0.1% F·S</w:t>
            </w:r>
          </w:p>
          <w:p w14:paraId="4A8A5C53">
            <w:pPr>
              <w:spacing w:line="240" w:lineRule="auto"/>
              <w:ind w:firstLine="0" w:firstLineChars="0"/>
              <w:rPr>
                <w:rFonts w:hint="eastAsia"/>
                <w:sz w:val="21"/>
                <w:szCs w:val="21"/>
              </w:rPr>
            </w:pPr>
            <w:r>
              <w:rPr>
                <w:rFonts w:hint="eastAsia"/>
                <w:sz w:val="21"/>
                <w:szCs w:val="21"/>
              </w:rPr>
              <w:t>量程：0～65m</w:t>
            </w:r>
          </w:p>
        </w:tc>
        <w:tc>
          <w:tcPr>
            <w:tcW w:w="1616" w:type="pct"/>
            <w:vAlign w:val="center"/>
          </w:tcPr>
          <w:p w14:paraId="3904C3EE">
            <w:pPr>
              <w:spacing w:line="240" w:lineRule="auto"/>
              <w:ind w:firstLine="0" w:firstLineChars="0"/>
              <w:jc w:val="center"/>
              <w:rPr>
                <w:rFonts w:hint="eastAsia"/>
              </w:rPr>
            </w:pPr>
            <w:r>
              <w:rPr>
                <w:rFonts w:hint="eastAsia"/>
              </w:rPr>
              <w:drawing>
                <wp:inline distT="0" distB="0" distL="114300" distR="114300">
                  <wp:extent cx="509270" cy="1211580"/>
                  <wp:effectExtent l="0" t="0" r="7620" b="0"/>
                  <wp:docPr id="34" name="图片 34" descr="lQLPJxaeIUjXQtrNBrXNAvuwEcnNSGTb6ekDBCWB_4AnAA_763_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lQLPJxaeIUjXQtrNBrXNAvuwEcnNSGTb6ekDBCWB_4AnAA_763_1717"/>
                          <pic:cNvPicPr>
                            <a:picLocks noChangeAspect="1"/>
                          </pic:cNvPicPr>
                        </pic:nvPicPr>
                        <pic:blipFill>
                          <a:blip r:embed="rId29"/>
                          <a:srcRect l="5326"/>
                          <a:stretch>
                            <a:fillRect/>
                          </a:stretch>
                        </pic:blipFill>
                        <pic:spPr>
                          <a:xfrm rot="5400000">
                            <a:off x="0" y="0"/>
                            <a:ext cx="509270" cy="1211580"/>
                          </a:xfrm>
                          <a:prstGeom prst="rect">
                            <a:avLst/>
                          </a:prstGeom>
                        </pic:spPr>
                      </pic:pic>
                    </a:graphicData>
                  </a:graphic>
                </wp:inline>
              </w:drawing>
            </w:r>
          </w:p>
        </w:tc>
      </w:tr>
      <w:tr w14:paraId="26C20B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843" w:hRule="atLeast"/>
        </w:trPr>
        <w:tc>
          <w:tcPr>
            <w:tcW w:w="927" w:type="pct"/>
            <w:vAlign w:val="center"/>
          </w:tcPr>
          <w:p w14:paraId="728EE6F7">
            <w:pPr>
              <w:spacing w:line="240" w:lineRule="auto"/>
              <w:ind w:firstLine="0" w:firstLineChars="0"/>
              <w:jc w:val="center"/>
              <w:rPr>
                <w:rFonts w:hint="eastAsia"/>
                <w:sz w:val="21"/>
                <w:szCs w:val="21"/>
              </w:rPr>
            </w:pPr>
            <w:r>
              <w:rPr>
                <w:rFonts w:hint="eastAsia"/>
                <w:sz w:val="21"/>
                <w:szCs w:val="21"/>
              </w:rPr>
              <w:t>雷达液位计</w:t>
            </w:r>
          </w:p>
        </w:tc>
        <w:tc>
          <w:tcPr>
            <w:tcW w:w="2456" w:type="pct"/>
            <w:shd w:val="clear" w:color="auto" w:fill="auto"/>
            <w:vAlign w:val="center"/>
          </w:tcPr>
          <w:p w14:paraId="6F3F7F46">
            <w:pPr>
              <w:spacing w:line="240" w:lineRule="auto"/>
              <w:ind w:firstLine="0" w:firstLineChars="0"/>
              <w:rPr>
                <w:rFonts w:hint="eastAsia"/>
                <w:sz w:val="21"/>
                <w:szCs w:val="21"/>
              </w:rPr>
            </w:pPr>
            <w:r>
              <w:rPr>
                <w:sz w:val="21"/>
                <w:szCs w:val="21"/>
              </w:rPr>
              <w:t>测量范围：0.1m～65m</w:t>
            </w:r>
          </w:p>
          <w:p w14:paraId="72028FD8">
            <w:pPr>
              <w:spacing w:line="240" w:lineRule="auto"/>
              <w:ind w:firstLine="0" w:firstLineChars="0"/>
              <w:rPr>
                <w:rFonts w:hint="eastAsia"/>
                <w:sz w:val="21"/>
                <w:szCs w:val="21"/>
              </w:rPr>
            </w:pPr>
            <w:r>
              <w:rPr>
                <w:sz w:val="21"/>
                <w:szCs w:val="21"/>
              </w:rPr>
              <w:t>测量精度：±1mm</w:t>
            </w:r>
          </w:p>
          <w:p w14:paraId="67555591">
            <w:pPr>
              <w:spacing w:line="240" w:lineRule="auto"/>
              <w:ind w:firstLine="0" w:firstLineChars="0"/>
              <w:rPr>
                <w:rFonts w:hint="eastAsia"/>
                <w:sz w:val="21"/>
                <w:szCs w:val="21"/>
              </w:rPr>
            </w:pPr>
            <w:r>
              <w:rPr>
                <w:sz w:val="21"/>
                <w:szCs w:val="21"/>
              </w:rPr>
              <w:t>波束角度：6°</w:t>
            </w:r>
          </w:p>
        </w:tc>
        <w:tc>
          <w:tcPr>
            <w:tcW w:w="1616" w:type="pct"/>
            <w:shd w:val="clear" w:color="auto" w:fill="auto"/>
            <w:vAlign w:val="center"/>
          </w:tcPr>
          <w:p w14:paraId="4FC07E81">
            <w:pPr>
              <w:spacing w:line="240" w:lineRule="auto"/>
              <w:ind w:firstLine="0" w:firstLineChars="0"/>
              <w:jc w:val="center"/>
              <w:rPr>
                <w:rFonts w:hint="eastAsia"/>
              </w:rPr>
            </w:pPr>
            <w:r>
              <w:rPr>
                <w:rFonts w:hint="eastAsia" w:ascii="Times New Roman" w:hAnsi="Times New Roman"/>
              </w:rPr>
              <w:drawing>
                <wp:inline distT="0" distB="0" distL="114300" distR="114300">
                  <wp:extent cx="657225" cy="665480"/>
                  <wp:effectExtent l="0" t="0" r="13335" b="5080"/>
                  <wp:docPr id="35" name="图片 3" descr="微信图片_2024081710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 descr="微信图片_20240817103716"/>
                          <pic:cNvPicPr>
                            <a:picLocks noChangeAspect="1"/>
                          </pic:cNvPicPr>
                        </pic:nvPicPr>
                        <pic:blipFill>
                          <a:blip r:embed="rId30"/>
                          <a:stretch>
                            <a:fillRect/>
                          </a:stretch>
                        </pic:blipFill>
                        <pic:spPr>
                          <a:xfrm>
                            <a:off x="0" y="0"/>
                            <a:ext cx="657225" cy="665480"/>
                          </a:xfrm>
                          <a:prstGeom prst="rect">
                            <a:avLst/>
                          </a:prstGeom>
                          <a:noFill/>
                          <a:ln>
                            <a:noFill/>
                          </a:ln>
                        </pic:spPr>
                      </pic:pic>
                    </a:graphicData>
                  </a:graphic>
                </wp:inline>
              </w:drawing>
            </w:r>
          </w:p>
        </w:tc>
      </w:tr>
      <w:tr w14:paraId="3BABC4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66" w:hRule="atLeast"/>
        </w:trPr>
        <w:tc>
          <w:tcPr>
            <w:tcW w:w="927" w:type="pct"/>
            <w:vAlign w:val="center"/>
          </w:tcPr>
          <w:p w14:paraId="7D30E864">
            <w:pPr>
              <w:spacing w:line="240" w:lineRule="auto"/>
              <w:ind w:firstLine="0" w:firstLineChars="0"/>
              <w:jc w:val="center"/>
              <w:rPr>
                <w:rFonts w:hint="eastAsia"/>
                <w:sz w:val="21"/>
                <w:szCs w:val="21"/>
              </w:rPr>
            </w:pPr>
            <w:r>
              <w:rPr>
                <w:rFonts w:hint="eastAsia"/>
                <w:sz w:val="21"/>
                <w:szCs w:val="21"/>
              </w:rPr>
              <w:t>井盖异动传感器</w:t>
            </w:r>
          </w:p>
        </w:tc>
        <w:tc>
          <w:tcPr>
            <w:tcW w:w="2456" w:type="pct"/>
            <w:vAlign w:val="center"/>
          </w:tcPr>
          <w:p w14:paraId="58503F82">
            <w:pPr>
              <w:spacing w:line="240" w:lineRule="auto"/>
              <w:ind w:firstLine="0" w:firstLineChars="0"/>
              <w:rPr>
                <w:rFonts w:hint="eastAsia"/>
                <w:sz w:val="21"/>
                <w:szCs w:val="21"/>
              </w:rPr>
            </w:pPr>
            <w:r>
              <w:rPr>
                <w:rFonts w:hint="eastAsia"/>
                <w:sz w:val="21"/>
                <w:szCs w:val="21"/>
              </w:rPr>
              <w:t>测量轴：X轴、Y轴</w:t>
            </w:r>
          </w:p>
          <w:p w14:paraId="19A14FBF">
            <w:pPr>
              <w:spacing w:line="240" w:lineRule="auto"/>
              <w:ind w:firstLine="0" w:firstLineChars="0"/>
              <w:rPr>
                <w:rFonts w:hint="eastAsia"/>
                <w:sz w:val="21"/>
                <w:szCs w:val="21"/>
              </w:rPr>
            </w:pPr>
            <w:r>
              <w:rPr>
                <w:rFonts w:hint="eastAsia"/>
                <w:sz w:val="21"/>
                <w:szCs w:val="21"/>
              </w:rPr>
              <w:t>测量范围：±90°</w:t>
            </w:r>
          </w:p>
          <w:p w14:paraId="5C7D0CFB">
            <w:pPr>
              <w:spacing w:line="240" w:lineRule="auto"/>
              <w:ind w:firstLine="0" w:firstLineChars="0"/>
              <w:rPr>
                <w:rFonts w:hint="eastAsia"/>
                <w:sz w:val="21"/>
                <w:szCs w:val="21"/>
              </w:rPr>
            </w:pPr>
            <w:r>
              <w:rPr>
                <w:rFonts w:hint="eastAsia"/>
                <w:sz w:val="21"/>
                <w:szCs w:val="21"/>
              </w:rPr>
              <w:t>分辨率：0.01°</w:t>
            </w:r>
          </w:p>
          <w:p w14:paraId="4467D4AC">
            <w:pPr>
              <w:spacing w:line="240" w:lineRule="auto"/>
              <w:ind w:firstLine="0" w:firstLineChars="0"/>
              <w:rPr>
                <w:rFonts w:hint="eastAsia"/>
                <w:sz w:val="21"/>
                <w:szCs w:val="21"/>
              </w:rPr>
            </w:pPr>
            <w:r>
              <w:rPr>
                <w:rFonts w:hint="eastAsia"/>
                <w:sz w:val="21"/>
                <w:szCs w:val="21"/>
              </w:rPr>
              <w:t>测量精度：0.05°（静态）</w:t>
            </w:r>
          </w:p>
        </w:tc>
        <w:tc>
          <w:tcPr>
            <w:tcW w:w="1616" w:type="pct"/>
            <w:vAlign w:val="center"/>
          </w:tcPr>
          <w:p w14:paraId="5E569C01">
            <w:pPr>
              <w:spacing w:line="240" w:lineRule="auto"/>
              <w:ind w:firstLine="0" w:firstLineChars="0"/>
              <w:jc w:val="center"/>
              <w:rPr>
                <w:rFonts w:hint="eastAsia"/>
              </w:rPr>
            </w:pPr>
            <w:r>
              <w:drawing>
                <wp:inline distT="0" distB="0" distL="114300" distR="114300">
                  <wp:extent cx="701040" cy="694055"/>
                  <wp:effectExtent l="0" t="0" r="0" b="698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pic:cNvPicPr>
                        </pic:nvPicPr>
                        <pic:blipFill>
                          <a:blip r:embed="rId31"/>
                          <a:stretch>
                            <a:fillRect/>
                          </a:stretch>
                        </pic:blipFill>
                        <pic:spPr>
                          <a:xfrm>
                            <a:off x="0" y="0"/>
                            <a:ext cx="701040" cy="694055"/>
                          </a:xfrm>
                          <a:prstGeom prst="rect">
                            <a:avLst/>
                          </a:prstGeom>
                          <a:noFill/>
                          <a:ln>
                            <a:noFill/>
                          </a:ln>
                        </pic:spPr>
                      </pic:pic>
                    </a:graphicData>
                  </a:graphic>
                </wp:inline>
              </w:drawing>
            </w:r>
          </w:p>
        </w:tc>
      </w:tr>
      <w:tr w14:paraId="3C754A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927" w:type="pct"/>
            <w:shd w:val="clear" w:color="auto" w:fill="auto"/>
            <w:vAlign w:val="center"/>
          </w:tcPr>
          <w:p w14:paraId="4791EF2E">
            <w:pPr>
              <w:spacing w:line="240" w:lineRule="auto"/>
              <w:ind w:firstLine="0" w:firstLineChars="0"/>
              <w:jc w:val="center"/>
              <w:rPr>
                <w:rFonts w:hint="eastAsia"/>
                <w:sz w:val="21"/>
                <w:szCs w:val="21"/>
              </w:rPr>
            </w:pPr>
            <w:r>
              <w:rPr>
                <w:rFonts w:hint="eastAsia"/>
                <w:sz w:val="21"/>
                <w:szCs w:val="21"/>
              </w:rPr>
              <w:t>甲烷浓度传感器</w:t>
            </w:r>
          </w:p>
        </w:tc>
        <w:tc>
          <w:tcPr>
            <w:tcW w:w="2456" w:type="pct"/>
            <w:shd w:val="clear" w:color="auto" w:fill="auto"/>
            <w:vAlign w:val="center"/>
          </w:tcPr>
          <w:p w14:paraId="449182B7">
            <w:pPr>
              <w:spacing w:line="240" w:lineRule="auto"/>
              <w:ind w:firstLine="0" w:firstLineChars="0"/>
              <w:rPr>
                <w:rFonts w:hint="eastAsia"/>
                <w:sz w:val="21"/>
                <w:szCs w:val="21"/>
              </w:rPr>
            </w:pPr>
            <w:r>
              <w:rPr>
                <w:rFonts w:hint="eastAsia"/>
                <w:sz w:val="21"/>
                <w:szCs w:val="21"/>
              </w:rPr>
              <w:t>甲烷测量范围：0~100%LEL</w:t>
            </w:r>
          </w:p>
          <w:p w14:paraId="1D507981">
            <w:pPr>
              <w:spacing w:line="240" w:lineRule="auto"/>
              <w:ind w:firstLine="0" w:firstLineChars="0"/>
              <w:rPr>
                <w:rFonts w:hint="eastAsia"/>
                <w:sz w:val="21"/>
                <w:szCs w:val="21"/>
              </w:rPr>
            </w:pPr>
            <w:r>
              <w:rPr>
                <w:rFonts w:hint="eastAsia"/>
                <w:sz w:val="21"/>
                <w:szCs w:val="21"/>
              </w:rPr>
              <w:t>甲烷精度：土5%FS</w:t>
            </w:r>
          </w:p>
          <w:p w14:paraId="3352073B">
            <w:pPr>
              <w:spacing w:line="240" w:lineRule="auto"/>
              <w:ind w:firstLine="0" w:firstLineChars="0"/>
              <w:rPr>
                <w:rFonts w:hint="eastAsia"/>
                <w:sz w:val="21"/>
                <w:szCs w:val="21"/>
              </w:rPr>
            </w:pPr>
            <w:r>
              <w:rPr>
                <w:rFonts w:hint="eastAsia"/>
                <w:sz w:val="21"/>
                <w:szCs w:val="21"/>
              </w:rPr>
              <w:t>分辨率：1%LEL</w:t>
            </w:r>
          </w:p>
        </w:tc>
        <w:tc>
          <w:tcPr>
            <w:tcW w:w="1616" w:type="pct"/>
            <w:shd w:val="clear" w:color="auto" w:fill="auto"/>
            <w:vAlign w:val="center"/>
          </w:tcPr>
          <w:p w14:paraId="6CEC3334">
            <w:pPr>
              <w:spacing w:line="240" w:lineRule="auto"/>
              <w:ind w:firstLine="0" w:firstLineChars="0"/>
              <w:jc w:val="center"/>
              <w:rPr>
                <w:rFonts w:hint="eastAsia"/>
              </w:rPr>
            </w:pPr>
            <w:r>
              <w:drawing>
                <wp:inline distT="0" distB="0" distL="114300" distR="114300">
                  <wp:extent cx="798830" cy="862330"/>
                  <wp:effectExtent l="0" t="0" r="8890" b="635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32"/>
                          <a:stretch>
                            <a:fillRect/>
                          </a:stretch>
                        </pic:blipFill>
                        <pic:spPr>
                          <a:xfrm>
                            <a:off x="0" y="0"/>
                            <a:ext cx="798830" cy="862330"/>
                          </a:xfrm>
                          <a:prstGeom prst="rect">
                            <a:avLst/>
                          </a:prstGeom>
                          <a:noFill/>
                          <a:ln>
                            <a:noFill/>
                          </a:ln>
                        </pic:spPr>
                      </pic:pic>
                    </a:graphicData>
                  </a:graphic>
                </wp:inline>
              </w:drawing>
            </w:r>
          </w:p>
        </w:tc>
      </w:tr>
      <w:tr w14:paraId="02977D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5000" w:type="pct"/>
            <w:gridSpan w:val="3"/>
            <w:shd w:val="clear" w:color="auto" w:fill="auto"/>
            <w:vAlign w:val="center"/>
          </w:tcPr>
          <w:p w14:paraId="0C0340CA">
            <w:pPr>
              <w:spacing w:line="240" w:lineRule="auto"/>
              <w:ind w:firstLine="0" w:firstLineChars="0"/>
              <w:jc w:val="center"/>
              <w:rPr>
                <w:sz w:val="21"/>
                <w:szCs w:val="21"/>
              </w:rPr>
            </w:pPr>
            <w:r>
              <w:rPr>
                <w:rFonts w:hint="eastAsia"/>
                <w:b/>
                <w:bCs/>
                <w:sz w:val="21"/>
                <w:szCs w:val="21"/>
                <w:lang w:val="en-US" w:eastAsia="zh-CN"/>
              </w:rPr>
              <w:t>便携监测设备</w:t>
            </w:r>
          </w:p>
        </w:tc>
      </w:tr>
      <w:tr w14:paraId="15B705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927" w:type="pct"/>
            <w:shd w:val="clear" w:color="auto" w:fill="auto"/>
            <w:vAlign w:val="center"/>
          </w:tcPr>
          <w:p w14:paraId="6F4D4562">
            <w:pPr>
              <w:spacing w:line="240" w:lineRule="auto"/>
              <w:ind w:firstLine="0" w:firstLineChars="0"/>
              <w:jc w:val="center"/>
              <w:rPr>
                <w:rFonts w:hint="eastAsia"/>
                <w:sz w:val="21"/>
                <w:szCs w:val="21"/>
              </w:rPr>
            </w:pPr>
            <w:r>
              <w:rPr>
                <w:rFonts w:hint="eastAsia"/>
                <w:sz w:val="21"/>
                <w:szCs w:val="21"/>
              </w:rPr>
              <w:t>便携式多参数分析仪</w:t>
            </w:r>
          </w:p>
        </w:tc>
        <w:tc>
          <w:tcPr>
            <w:tcW w:w="2456" w:type="pct"/>
            <w:shd w:val="clear" w:color="auto" w:fill="auto"/>
            <w:vAlign w:val="center"/>
          </w:tcPr>
          <w:p w14:paraId="72E8291F">
            <w:pPr>
              <w:spacing w:line="240" w:lineRule="auto"/>
              <w:ind w:firstLine="0" w:firstLineChars="0"/>
              <w:rPr>
                <w:rFonts w:hint="eastAsia"/>
                <w:sz w:val="21"/>
                <w:szCs w:val="21"/>
              </w:rPr>
            </w:pPr>
            <w:r>
              <w:rPr>
                <w:rFonts w:hint="eastAsia"/>
                <w:sz w:val="21"/>
                <w:szCs w:val="21"/>
              </w:rPr>
              <w:t>检测参数：COD、 高锰酸盐指数、氨氮、总磷、总氮、硝酸盐氮、亚硝酸盐氮、磷酸盐、硫酸盐、亚硫酸盐、硫化物、余氯、重金属（铜镍锌锰）等</w:t>
            </w:r>
          </w:p>
          <w:p w14:paraId="56F80DE4">
            <w:pPr>
              <w:spacing w:line="240" w:lineRule="auto"/>
              <w:ind w:firstLine="0" w:firstLineChars="0"/>
              <w:jc w:val="left"/>
              <w:rPr>
                <w:rFonts w:hint="eastAsia"/>
                <w:sz w:val="21"/>
                <w:szCs w:val="21"/>
              </w:rPr>
            </w:pPr>
            <w:r>
              <w:rPr>
                <w:rFonts w:hint="eastAsia"/>
                <w:sz w:val="21"/>
                <w:szCs w:val="21"/>
              </w:rPr>
              <w:t>工作波长范围：420nm 520nm，580nm，610nm；波长半宽度：5±2（nm）；</w:t>
            </w:r>
          </w:p>
          <w:p w14:paraId="6E0AE3DC">
            <w:pPr>
              <w:spacing w:line="240" w:lineRule="auto"/>
              <w:ind w:firstLine="0" w:firstLineChars="0"/>
              <w:jc w:val="left"/>
              <w:rPr>
                <w:rFonts w:hint="eastAsia"/>
                <w:sz w:val="21"/>
                <w:szCs w:val="21"/>
              </w:rPr>
            </w:pPr>
            <w:r>
              <w:rPr>
                <w:rFonts w:hint="eastAsia"/>
                <w:sz w:val="21"/>
                <w:szCs w:val="21"/>
              </w:rPr>
              <w:t>仪器的检测范围：吸光度值0.000-3.000；</w:t>
            </w:r>
          </w:p>
          <w:p w14:paraId="195AD219">
            <w:pPr>
              <w:spacing w:line="240" w:lineRule="auto"/>
              <w:ind w:firstLine="0" w:firstLineChars="0"/>
              <w:jc w:val="left"/>
              <w:rPr>
                <w:rFonts w:hint="eastAsia"/>
                <w:sz w:val="21"/>
                <w:szCs w:val="21"/>
              </w:rPr>
            </w:pPr>
            <w:r>
              <w:rPr>
                <w:rFonts w:hint="eastAsia"/>
                <w:sz w:val="21"/>
                <w:szCs w:val="21"/>
              </w:rPr>
              <w:t>光源灯：冷光源；</w:t>
            </w:r>
          </w:p>
          <w:p w14:paraId="1D2F30DD">
            <w:pPr>
              <w:spacing w:line="240" w:lineRule="auto"/>
              <w:ind w:firstLine="0" w:firstLineChars="0"/>
              <w:jc w:val="left"/>
              <w:rPr>
                <w:rFonts w:hint="eastAsia"/>
                <w:sz w:val="21"/>
                <w:szCs w:val="21"/>
              </w:rPr>
            </w:pPr>
            <w:r>
              <w:rPr>
                <w:rFonts w:hint="eastAsia"/>
                <w:sz w:val="21"/>
                <w:szCs w:val="21"/>
              </w:rPr>
              <w:t>分辨率：0.001；</w:t>
            </w:r>
          </w:p>
        </w:tc>
        <w:tc>
          <w:tcPr>
            <w:tcW w:w="1616" w:type="pct"/>
            <w:shd w:val="clear" w:color="auto" w:fill="auto"/>
            <w:vAlign w:val="center"/>
          </w:tcPr>
          <w:p w14:paraId="1EB1646E">
            <w:pPr>
              <w:autoSpaceDE w:val="0"/>
              <w:spacing w:beforeAutospacing="1" w:afterAutospacing="1"/>
              <w:ind w:firstLine="0" w:firstLineChars="0"/>
              <w:jc w:val="center"/>
            </w:pPr>
            <w:r>
              <w:rPr>
                <w:rFonts w:hint="eastAsia"/>
                <w:sz w:val="28"/>
                <w:szCs w:val="28"/>
                <w:lang w:bidi="ar"/>
              </w:rPr>
              <w:drawing>
                <wp:inline distT="0" distB="0" distL="114300" distR="114300">
                  <wp:extent cx="934720" cy="1299845"/>
                  <wp:effectExtent l="0" t="0" r="10160" b="10795"/>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33"/>
                          <a:stretch>
                            <a:fillRect/>
                          </a:stretch>
                        </pic:blipFill>
                        <pic:spPr>
                          <a:xfrm>
                            <a:off x="0" y="0"/>
                            <a:ext cx="934720" cy="1299845"/>
                          </a:xfrm>
                          <a:prstGeom prst="rect">
                            <a:avLst/>
                          </a:prstGeom>
                          <a:noFill/>
                          <a:ln w="9525">
                            <a:noFill/>
                          </a:ln>
                        </pic:spPr>
                      </pic:pic>
                    </a:graphicData>
                  </a:graphic>
                </wp:inline>
              </w:drawing>
            </w:r>
          </w:p>
        </w:tc>
      </w:tr>
      <w:tr w14:paraId="542918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927" w:type="pct"/>
            <w:shd w:val="clear" w:color="auto" w:fill="auto"/>
            <w:vAlign w:val="center"/>
          </w:tcPr>
          <w:p w14:paraId="78104E92">
            <w:pPr>
              <w:spacing w:line="240" w:lineRule="auto"/>
              <w:ind w:firstLine="0" w:firstLineChars="0"/>
              <w:jc w:val="center"/>
              <w:rPr>
                <w:rFonts w:hint="eastAsia"/>
                <w:sz w:val="21"/>
                <w:szCs w:val="21"/>
              </w:rPr>
            </w:pPr>
            <w:r>
              <w:rPr>
                <w:rFonts w:hint="eastAsia"/>
                <w:sz w:val="21"/>
                <w:szCs w:val="21"/>
                <w:lang w:val="en-US" w:eastAsia="zh-CN"/>
              </w:rPr>
              <w:t>手持</w:t>
            </w:r>
            <w:r>
              <w:rPr>
                <w:rFonts w:hint="eastAsia"/>
                <w:sz w:val="21"/>
                <w:szCs w:val="21"/>
              </w:rPr>
              <w:t>式多参数检测仪</w:t>
            </w:r>
          </w:p>
        </w:tc>
        <w:tc>
          <w:tcPr>
            <w:tcW w:w="2456" w:type="pct"/>
            <w:shd w:val="clear" w:color="auto" w:fill="auto"/>
            <w:vAlign w:val="center"/>
          </w:tcPr>
          <w:p w14:paraId="6B2AE15E">
            <w:pPr>
              <w:spacing w:line="240" w:lineRule="auto"/>
              <w:ind w:firstLine="0" w:firstLineChars="0"/>
              <w:jc w:val="left"/>
              <w:rPr>
                <w:rFonts w:hint="eastAsia"/>
                <w:sz w:val="21"/>
                <w:szCs w:val="21"/>
              </w:rPr>
            </w:pPr>
            <w:r>
              <w:rPr>
                <w:rFonts w:hint="eastAsia"/>
                <w:sz w:val="21"/>
                <w:szCs w:val="21"/>
              </w:rPr>
              <w:t>显示：3.3 英寸单色液晶显示屏</w:t>
            </w:r>
          </w:p>
          <w:p w14:paraId="5406EB07">
            <w:pPr>
              <w:spacing w:line="240" w:lineRule="auto"/>
              <w:ind w:firstLine="0" w:firstLineChars="0"/>
              <w:jc w:val="left"/>
              <w:rPr>
                <w:rFonts w:hint="eastAsia"/>
                <w:sz w:val="21"/>
                <w:szCs w:val="21"/>
              </w:rPr>
            </w:pPr>
            <w:r>
              <w:rPr>
                <w:rFonts w:hint="eastAsia"/>
                <w:sz w:val="21"/>
                <w:szCs w:val="21"/>
              </w:rPr>
              <w:t>外形尺寸：200mm*101mm*36mm</w:t>
            </w:r>
          </w:p>
          <w:p w14:paraId="35677B7A">
            <w:pPr>
              <w:spacing w:line="240" w:lineRule="auto"/>
              <w:ind w:firstLine="0" w:firstLineChars="0"/>
              <w:jc w:val="left"/>
              <w:rPr>
                <w:rFonts w:hint="eastAsia"/>
                <w:sz w:val="21"/>
                <w:szCs w:val="21"/>
              </w:rPr>
            </w:pPr>
            <w:r>
              <w:rPr>
                <w:rFonts w:hint="eastAsia"/>
                <w:sz w:val="21"/>
                <w:szCs w:val="21"/>
              </w:rPr>
              <w:t>防护等级：IP67</w:t>
            </w:r>
          </w:p>
          <w:p w14:paraId="48793139">
            <w:pPr>
              <w:spacing w:line="240" w:lineRule="auto"/>
              <w:ind w:firstLine="0" w:firstLineChars="0"/>
              <w:jc w:val="left"/>
              <w:rPr>
                <w:rFonts w:hint="default" w:eastAsia="宋体"/>
                <w:sz w:val="21"/>
                <w:szCs w:val="21"/>
                <w:lang w:val="en-US" w:eastAsia="zh-CN"/>
              </w:rPr>
            </w:pPr>
            <w:r>
              <w:rPr>
                <w:rFonts w:hint="eastAsia"/>
                <w:sz w:val="21"/>
                <w:szCs w:val="21"/>
                <w:lang w:val="en-US" w:eastAsia="zh-CN"/>
              </w:rPr>
              <w:t>连接设备：全系传感器式设备</w:t>
            </w:r>
          </w:p>
        </w:tc>
        <w:tc>
          <w:tcPr>
            <w:tcW w:w="1616" w:type="pct"/>
            <w:shd w:val="clear" w:color="auto" w:fill="auto"/>
            <w:vAlign w:val="center"/>
          </w:tcPr>
          <w:p w14:paraId="4F3DD261">
            <w:pPr>
              <w:autoSpaceDE w:val="0"/>
              <w:spacing w:beforeAutospacing="1" w:afterAutospacing="1"/>
              <w:ind w:firstLine="0" w:firstLineChars="0"/>
              <w:jc w:val="center"/>
            </w:pPr>
            <w:r>
              <w:rPr>
                <w:rFonts w:hint="eastAsia"/>
                <w:sz w:val="28"/>
                <w:szCs w:val="28"/>
                <w:lang w:bidi="ar"/>
              </w:rPr>
              <w:drawing>
                <wp:inline distT="0" distB="0" distL="114300" distR="114300">
                  <wp:extent cx="613410" cy="1115695"/>
                  <wp:effectExtent l="0" t="0" r="11430" b="12065"/>
                  <wp:docPr id="17"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IMG_257"/>
                          <pic:cNvPicPr>
                            <a:picLocks noChangeAspect="1"/>
                          </pic:cNvPicPr>
                        </pic:nvPicPr>
                        <pic:blipFill>
                          <a:blip r:embed="rId34"/>
                          <a:stretch>
                            <a:fillRect/>
                          </a:stretch>
                        </pic:blipFill>
                        <pic:spPr>
                          <a:xfrm>
                            <a:off x="0" y="0"/>
                            <a:ext cx="613410" cy="1115695"/>
                          </a:xfrm>
                          <a:prstGeom prst="rect">
                            <a:avLst/>
                          </a:prstGeom>
                          <a:noFill/>
                          <a:ln w="9525">
                            <a:noFill/>
                          </a:ln>
                        </pic:spPr>
                      </pic:pic>
                    </a:graphicData>
                  </a:graphic>
                </wp:inline>
              </w:drawing>
            </w:r>
          </w:p>
        </w:tc>
      </w:tr>
    </w:tbl>
    <w:p w14:paraId="2D31A011">
      <w:pPr>
        <w:widowControl/>
        <w:ind w:firstLine="0" w:firstLineChars="0"/>
        <w:jc w:val="left"/>
        <w:rPr>
          <w:rFonts w:hint="eastAsia"/>
          <w:b/>
        </w:rPr>
      </w:pPr>
    </w:p>
    <w:p w14:paraId="6C84104D">
      <w:pPr>
        <w:pStyle w:val="3"/>
        <w:rPr>
          <w:rFonts w:hint="eastAsia"/>
        </w:rPr>
      </w:pPr>
      <w:bookmarkStart w:id="14" w:name="_Toc15098"/>
      <w:r>
        <w:rPr>
          <w:rFonts w:hint="eastAsia"/>
        </w:rPr>
        <w:t>场景适应性</w:t>
      </w:r>
      <w:bookmarkEnd w:id="14"/>
    </w:p>
    <w:p w14:paraId="21724C17">
      <w:pPr>
        <w:ind w:firstLine="480"/>
        <w:rPr>
          <w:rFonts w:hint="eastAsia"/>
        </w:rPr>
      </w:pPr>
      <w:r>
        <w:rPr>
          <w:rFonts w:hint="eastAsia"/>
        </w:rPr>
        <w:t>智慧排水管网末梢监测系统通过多种设备协同工作，在水质预警和水质污染溯源方面展现出强大的场景适应性，有效保障城市排水系统的稳定运行和水环境安全。</w:t>
      </w:r>
    </w:p>
    <w:p w14:paraId="38DDDA69">
      <w:pPr>
        <w:ind w:firstLine="482"/>
        <w:rPr>
          <w:rFonts w:hint="eastAsia"/>
        </w:rPr>
      </w:pPr>
      <w:r>
        <w:rPr>
          <w:rFonts w:hint="eastAsia"/>
          <w:b/>
          <w:bCs/>
        </w:rPr>
        <w:t>1. 水质水量预警：</w:t>
      </w:r>
      <w:r>
        <w:rPr>
          <w:rFonts w:hint="eastAsia"/>
        </w:rPr>
        <w:t>针对排水管网末梢的复杂环境，系统配备的多种传感器能实时、精准监测水质水量。在线pH传感器、在线COD传感器、在线氨氮传感器等，可对污水的酸碱度、化学需氧量、氨氮含量等关键指标进行高频次监测，结合超声波多普勒流量计、超声波雷达流量计、静压式液位计和雷达液位计等设备，实现对排水流量和水位的精确测量。当监测数据超出预设阈值，系统迅速发出预警。在暴雨期间，能及时发现管网超负荷运行导致的溢流风险，提前通知管理人员采取措施，避免污水直排河道，降低对下游水体、生态环境和居民健康的威胁。</w:t>
      </w:r>
    </w:p>
    <w:p w14:paraId="3210AFA2">
      <w:pPr>
        <w:ind w:firstLine="480"/>
        <w:rPr>
          <w:rFonts w:hint="eastAsia"/>
        </w:rPr>
      </w:pPr>
      <w:r>
        <w:rPr>
          <w:rFonts w:hint="eastAsia"/>
        </w:rPr>
        <w:t>多参数水质传感器：在排水管网末梢部署在线 pH 传感器、在线 COD 传感器、在线氨氮传感器等多种水质传感器，可实时监测污水的酸碱度、化学需氧量、氨氮含量等关键指标。这些传感器能快速捕捉水质变化，如当污水中 COD 含量突然升高，可能预示着工业废水混入，传感器可立即将数据传输给监测系统 。</w:t>
      </w:r>
    </w:p>
    <w:p w14:paraId="452EAA40">
      <w:pPr>
        <w:ind w:firstLine="480"/>
        <w:rPr>
          <w:rFonts w:hint="eastAsia"/>
        </w:rPr>
      </w:pPr>
      <w:r>
        <w:rPr>
          <w:rFonts w:hint="eastAsia"/>
        </w:rPr>
        <w:t>流量与水位传感器：利用超声波多普勒流量计、超声波雷达流量计监测排水流量，通过静压式液位计、雷达液位计测量水位。在暴雨期间，流量和水位传感器能及时监测到管网水量变化，若流量或水位超出正常范围，系统可快速响应 。</w:t>
      </w:r>
    </w:p>
    <w:p w14:paraId="2A462F45">
      <w:pPr>
        <w:ind w:firstLine="482"/>
        <w:rPr>
          <w:rFonts w:hint="eastAsia"/>
        </w:rPr>
      </w:pPr>
      <w:r>
        <w:rPr>
          <w:rFonts w:hint="eastAsia"/>
          <w:b/>
          <w:bCs/>
        </w:rPr>
        <w:t>2. 水质污染溯源：</w:t>
      </w:r>
      <w:r>
        <w:rPr>
          <w:rFonts w:hint="eastAsia"/>
        </w:rPr>
        <w:t xml:space="preserve">借助管网GIS系统，系统将各监测点的实时数据进行整合分析。一旦发现水质异常，利用传感器数据和管网拓扑结构，快速定位污染源头。如通过分析不同监测点的污染物浓度变化和时间先后顺序，结合水流方向，精准判断是工业企业偷排、管网混接还是雨污分流失效等原因造成的污染。通过溯源明确责任主体，为环保执法提供有力证据，同时也为管网改造和养护提供数据支持，优化管网设计，提高排水系统运行效率。 </w:t>
      </w:r>
    </w:p>
    <w:p w14:paraId="6190319F">
      <w:pPr>
        <w:ind w:firstLine="480"/>
        <w:rPr>
          <w:rFonts w:hint="eastAsia"/>
        </w:rPr>
      </w:pPr>
      <w:r>
        <w:rPr>
          <w:rFonts w:hint="eastAsia"/>
        </w:rPr>
        <w:t>基于监测数据的分析方法</w:t>
      </w:r>
    </w:p>
    <w:p w14:paraId="73CC8C81">
      <w:pPr>
        <w:ind w:firstLine="480"/>
        <w:rPr>
          <w:rFonts w:hint="eastAsia"/>
        </w:rPr>
      </w:pPr>
      <w:r>
        <w:rPr>
          <w:rFonts w:hint="eastAsia"/>
        </w:rPr>
        <w:t>多参数监测数据分析：在排水管网末梢布置多种水质监测传感器，如在线 pH 传感器、在线 COD 传感器、在线氨氮传感器等，实时获取 pH 值、化学需氧量、氨氮含量等多参数数据。通过分析这些数据的变化趋势、浓度分布以及不同参数之间的相关性，判断是否存在污染以及可能的污染类型。若某区域 pH 值异常且 COD、氨氮浓度升高，可能暗示工业废水或生活污水的混入。对比不同监测点的数据，结合水流方向，可初步确定污染源头所在的大致范围。若上游监测点数据正常，下游某点出现异常，污染源头大概率在上下游监测点之间的区域。</w:t>
      </w:r>
    </w:p>
    <w:p w14:paraId="093738B6">
      <w:pPr>
        <w:ind w:firstLine="480"/>
        <w:rPr>
          <w:rFonts w:hint="eastAsia"/>
        </w:rPr>
      </w:pPr>
      <w:r>
        <w:rPr>
          <w:rFonts w:hint="eastAsia"/>
        </w:rPr>
        <w:t>指纹识别技术：每种污染源都有独特的化学组成特征，类似 “指纹”。分析污水中的化学物质，如特定的重金属、有机污染物、同位素等成分及其比例，可识别污染源。某些工业生产会排放含有特定重金属组合的废水，通过检测污水中的重金属指纹，就能判断是否来自该工业污染源。通过建立指纹数据库，将监测数据与之比对，能更快速准确地溯源。</w:t>
      </w:r>
    </w:p>
    <w:p w14:paraId="26875DBC">
      <w:pPr>
        <w:pStyle w:val="2"/>
        <w:rPr>
          <w:rFonts w:hint="eastAsia"/>
        </w:rPr>
      </w:pPr>
      <w:bookmarkStart w:id="15" w:name="_Toc12844"/>
      <w:bookmarkStart w:id="16" w:name="_Toc27010"/>
      <w:r>
        <w:rPr>
          <w:rFonts w:hint="eastAsia"/>
        </w:rPr>
        <w:t>设备寿命及维护</w:t>
      </w:r>
      <w:bookmarkEnd w:id="15"/>
      <w:bookmarkEnd w:id="16"/>
    </w:p>
    <w:p w14:paraId="3223B0F1">
      <w:pPr>
        <w:pStyle w:val="3"/>
        <w:rPr>
          <w:rFonts w:hint="eastAsia"/>
        </w:rPr>
      </w:pPr>
      <w:bookmarkStart w:id="17" w:name="_Toc26165"/>
      <w:r>
        <w:rPr>
          <w:rFonts w:hint="eastAsia"/>
        </w:rPr>
        <w:t>设备寿命周期与维护周期表</w:t>
      </w:r>
      <w:bookmarkEnd w:id="17"/>
    </w:p>
    <w:tbl>
      <w:tblPr>
        <w:tblStyle w:val="20"/>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828"/>
        <w:gridCol w:w="2839"/>
        <w:gridCol w:w="2852"/>
      </w:tblGrid>
      <w:tr w14:paraId="469475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0" w:type="pct"/>
            <w:vAlign w:val="center"/>
          </w:tcPr>
          <w:p w14:paraId="1E47D782">
            <w:pPr>
              <w:spacing w:line="240" w:lineRule="auto"/>
              <w:ind w:firstLine="0" w:firstLineChars="0"/>
              <w:jc w:val="center"/>
              <w:rPr>
                <w:rFonts w:hint="eastAsia"/>
                <w:b/>
                <w:bCs/>
                <w:sz w:val="21"/>
                <w:szCs w:val="21"/>
              </w:rPr>
            </w:pPr>
            <w:r>
              <w:rPr>
                <w:rFonts w:hint="eastAsia"/>
                <w:b/>
                <w:bCs/>
                <w:sz w:val="21"/>
                <w:szCs w:val="21"/>
              </w:rPr>
              <w:t>设备名称</w:t>
            </w:r>
          </w:p>
        </w:tc>
        <w:tc>
          <w:tcPr>
            <w:tcW w:w="1666" w:type="pct"/>
            <w:vAlign w:val="center"/>
          </w:tcPr>
          <w:p w14:paraId="4523546B">
            <w:pPr>
              <w:spacing w:line="240" w:lineRule="auto"/>
              <w:ind w:firstLine="0" w:firstLineChars="0"/>
              <w:jc w:val="center"/>
              <w:rPr>
                <w:rFonts w:hint="eastAsia"/>
                <w:b/>
                <w:bCs/>
                <w:sz w:val="21"/>
                <w:szCs w:val="21"/>
              </w:rPr>
            </w:pPr>
            <w:r>
              <w:rPr>
                <w:rFonts w:hint="eastAsia"/>
                <w:b/>
                <w:bCs/>
                <w:sz w:val="21"/>
                <w:szCs w:val="21"/>
              </w:rPr>
              <w:t>维护周期</w:t>
            </w:r>
          </w:p>
        </w:tc>
        <w:tc>
          <w:tcPr>
            <w:tcW w:w="1672" w:type="pct"/>
            <w:vAlign w:val="center"/>
          </w:tcPr>
          <w:p w14:paraId="776A5D91">
            <w:pPr>
              <w:spacing w:line="240" w:lineRule="auto"/>
              <w:ind w:firstLine="0" w:firstLineChars="0"/>
              <w:jc w:val="center"/>
              <w:rPr>
                <w:rFonts w:hint="eastAsia"/>
                <w:b/>
                <w:bCs/>
                <w:sz w:val="21"/>
                <w:szCs w:val="21"/>
              </w:rPr>
            </w:pPr>
            <w:r>
              <w:rPr>
                <w:rFonts w:hint="eastAsia"/>
                <w:b/>
                <w:bCs/>
                <w:sz w:val="21"/>
                <w:szCs w:val="21"/>
              </w:rPr>
              <w:t>使用寿命</w:t>
            </w:r>
          </w:p>
        </w:tc>
      </w:tr>
      <w:tr w14:paraId="3FD543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shd w:val="clear" w:color="auto" w:fill="auto"/>
            <w:vAlign w:val="center"/>
          </w:tcPr>
          <w:p w14:paraId="7972619F">
            <w:pPr>
              <w:widowControl/>
              <w:spacing w:line="240" w:lineRule="auto"/>
              <w:ind w:firstLine="0" w:firstLineChars="0"/>
              <w:jc w:val="center"/>
              <w:textAlignment w:val="center"/>
              <w:rPr>
                <w:rFonts w:hint="eastAsia"/>
                <w:color w:val="000000"/>
                <w:kern w:val="0"/>
                <w:sz w:val="22"/>
                <w:szCs w:val="22"/>
                <w:lang w:bidi="ar"/>
              </w:rPr>
            </w:pPr>
            <w:r>
              <w:rPr>
                <w:rFonts w:hint="eastAsia" w:ascii="宋体" w:hAnsi="宋体" w:eastAsia="宋体" w:cs="宋体"/>
                <w:b/>
                <w:bCs/>
                <w:color w:val="000000"/>
                <w:kern w:val="0"/>
                <w:sz w:val="21"/>
                <w:szCs w:val="21"/>
                <w:lang w:val="en-US" w:eastAsia="zh-CN" w:bidi="ar"/>
              </w:rPr>
              <w:t>井下水质监测预警站</w:t>
            </w:r>
          </w:p>
        </w:tc>
      </w:tr>
      <w:tr w14:paraId="3B8ECC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0" w:type="pct"/>
            <w:shd w:val="clear" w:color="auto" w:fill="auto"/>
            <w:vAlign w:val="center"/>
          </w:tcPr>
          <w:p w14:paraId="1C3ADE2B">
            <w:pPr>
              <w:spacing w:line="240" w:lineRule="auto"/>
              <w:ind w:firstLine="0" w:firstLineChars="0"/>
              <w:jc w:val="center"/>
              <w:rPr>
                <w:rFonts w:hint="eastAsia"/>
                <w:sz w:val="22"/>
                <w:szCs w:val="22"/>
              </w:rPr>
            </w:pPr>
            <w:r>
              <w:rPr>
                <w:rFonts w:hint="eastAsia"/>
                <w:sz w:val="22"/>
                <w:szCs w:val="22"/>
              </w:rPr>
              <w:t>长续航版电池模块</w:t>
            </w:r>
          </w:p>
        </w:tc>
        <w:tc>
          <w:tcPr>
            <w:tcW w:w="1666" w:type="pct"/>
            <w:shd w:val="clear" w:color="auto" w:fill="auto"/>
            <w:vAlign w:val="center"/>
          </w:tcPr>
          <w:p w14:paraId="7C3B6E54">
            <w:pPr>
              <w:widowControl/>
              <w:spacing w:line="240" w:lineRule="auto"/>
              <w:ind w:firstLine="0" w:firstLineChars="0"/>
              <w:jc w:val="center"/>
              <w:textAlignment w:val="center"/>
              <w:rPr>
                <w:rFonts w:hint="default" w:eastAsia="宋体"/>
                <w:color w:val="000000"/>
                <w:kern w:val="0"/>
                <w:sz w:val="22"/>
                <w:szCs w:val="22"/>
                <w:lang w:val="en-US" w:eastAsia="zh-CN" w:bidi="ar"/>
              </w:rPr>
            </w:pPr>
            <w:r>
              <w:rPr>
                <w:rFonts w:hint="eastAsia"/>
                <w:color w:val="000000"/>
                <w:kern w:val="0"/>
                <w:sz w:val="22"/>
                <w:szCs w:val="22"/>
                <w:lang w:val="en-US" w:eastAsia="zh-CN" w:bidi="ar"/>
              </w:rPr>
              <w:t>1年</w:t>
            </w:r>
          </w:p>
        </w:tc>
        <w:tc>
          <w:tcPr>
            <w:tcW w:w="1672" w:type="pct"/>
            <w:shd w:val="clear" w:color="auto" w:fill="auto"/>
            <w:vAlign w:val="center"/>
          </w:tcPr>
          <w:p w14:paraId="0F0485D4">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1年</w:t>
            </w:r>
          </w:p>
        </w:tc>
      </w:tr>
      <w:tr w14:paraId="6AF544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0" w:type="pct"/>
            <w:shd w:val="clear" w:color="auto" w:fill="auto"/>
            <w:vAlign w:val="center"/>
          </w:tcPr>
          <w:p w14:paraId="0768D6A6">
            <w:pPr>
              <w:spacing w:line="240" w:lineRule="auto"/>
              <w:ind w:firstLine="0" w:firstLineChars="0"/>
              <w:jc w:val="center"/>
              <w:rPr>
                <w:rFonts w:hint="eastAsia"/>
                <w:sz w:val="22"/>
                <w:szCs w:val="22"/>
              </w:rPr>
            </w:pPr>
            <w:r>
              <w:rPr>
                <w:rFonts w:hint="eastAsia"/>
                <w:sz w:val="22"/>
                <w:szCs w:val="22"/>
              </w:rPr>
              <w:t>充电版电池模块</w:t>
            </w:r>
          </w:p>
        </w:tc>
        <w:tc>
          <w:tcPr>
            <w:tcW w:w="1666" w:type="pct"/>
            <w:shd w:val="clear" w:color="auto" w:fill="auto"/>
            <w:vAlign w:val="center"/>
          </w:tcPr>
          <w:p w14:paraId="1BCADBA0">
            <w:pPr>
              <w:widowControl/>
              <w:spacing w:line="240" w:lineRule="auto"/>
              <w:ind w:firstLine="0" w:firstLineChars="0"/>
              <w:jc w:val="center"/>
              <w:textAlignment w:val="center"/>
              <w:rPr>
                <w:rFonts w:hint="eastAsia" w:eastAsia="宋体"/>
                <w:color w:val="000000"/>
                <w:kern w:val="0"/>
                <w:sz w:val="22"/>
                <w:szCs w:val="22"/>
                <w:lang w:val="en-US" w:eastAsia="zh-CN" w:bidi="ar"/>
              </w:rPr>
            </w:pPr>
            <w:r>
              <w:rPr>
                <w:rFonts w:hint="eastAsia"/>
                <w:color w:val="000000"/>
                <w:kern w:val="0"/>
                <w:sz w:val="22"/>
                <w:szCs w:val="22"/>
                <w:lang w:val="en-US" w:eastAsia="zh-CN" w:bidi="ar"/>
              </w:rPr>
              <w:t>6</w:t>
            </w:r>
            <w:r>
              <w:rPr>
                <w:rFonts w:hint="eastAsia"/>
                <w:color w:val="000000"/>
                <w:kern w:val="0"/>
                <w:sz w:val="22"/>
                <w:szCs w:val="22"/>
                <w:lang w:bidi="ar"/>
              </w:rPr>
              <w:t>个月/次</w:t>
            </w:r>
          </w:p>
        </w:tc>
        <w:tc>
          <w:tcPr>
            <w:tcW w:w="1672" w:type="pct"/>
            <w:shd w:val="clear" w:color="auto" w:fill="auto"/>
            <w:vAlign w:val="center"/>
          </w:tcPr>
          <w:p w14:paraId="0E528D23">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2-3年</w:t>
            </w:r>
          </w:p>
        </w:tc>
      </w:tr>
      <w:tr w14:paraId="538468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shd w:val="clear" w:color="auto" w:fill="auto"/>
            <w:vAlign w:val="center"/>
          </w:tcPr>
          <w:p w14:paraId="29C3FD05">
            <w:pPr>
              <w:widowControl/>
              <w:spacing w:line="240" w:lineRule="auto"/>
              <w:ind w:firstLine="0" w:firstLineChars="0"/>
              <w:jc w:val="center"/>
              <w:textAlignment w:val="center"/>
              <w:rPr>
                <w:rFonts w:hint="eastAsia"/>
                <w:color w:val="000000"/>
                <w:kern w:val="0"/>
                <w:sz w:val="22"/>
                <w:szCs w:val="22"/>
                <w:lang w:bidi="ar"/>
              </w:rPr>
            </w:pPr>
            <w:r>
              <w:rPr>
                <w:rFonts w:hint="eastAsia"/>
                <w:b/>
                <w:bCs/>
                <w:color w:val="000000"/>
                <w:kern w:val="0"/>
                <w:sz w:val="21"/>
                <w:szCs w:val="21"/>
                <w:lang w:val="en-US" w:eastAsia="zh-CN" w:bidi="ar"/>
              </w:rPr>
              <w:t>在线监测设备</w:t>
            </w:r>
          </w:p>
        </w:tc>
      </w:tr>
      <w:tr w14:paraId="1342D0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0" w:type="pct"/>
            <w:shd w:val="clear" w:color="auto" w:fill="auto"/>
            <w:vAlign w:val="center"/>
          </w:tcPr>
          <w:p w14:paraId="486F191C">
            <w:pPr>
              <w:spacing w:line="240" w:lineRule="auto"/>
              <w:ind w:firstLine="0" w:firstLineChars="0"/>
              <w:jc w:val="center"/>
              <w:rPr>
                <w:rFonts w:hint="eastAsia"/>
                <w:sz w:val="22"/>
                <w:szCs w:val="22"/>
              </w:rPr>
            </w:pPr>
            <w:r>
              <w:rPr>
                <w:rFonts w:hint="eastAsia"/>
                <w:sz w:val="22"/>
                <w:szCs w:val="22"/>
              </w:rPr>
              <w:t>在线PH传感器</w:t>
            </w:r>
          </w:p>
        </w:tc>
        <w:tc>
          <w:tcPr>
            <w:tcW w:w="1666" w:type="pct"/>
            <w:shd w:val="clear" w:color="auto" w:fill="auto"/>
            <w:vAlign w:val="center"/>
          </w:tcPr>
          <w:p w14:paraId="6923346A">
            <w:pPr>
              <w:widowControl/>
              <w:spacing w:line="240" w:lineRule="auto"/>
              <w:ind w:firstLine="0" w:firstLineChars="0"/>
              <w:jc w:val="center"/>
              <w:textAlignment w:val="center"/>
              <w:rPr>
                <w:rFonts w:hint="eastAsia"/>
              </w:rPr>
            </w:pPr>
            <w:r>
              <w:rPr>
                <w:rFonts w:hint="eastAsia"/>
                <w:color w:val="000000"/>
                <w:kern w:val="0"/>
                <w:sz w:val="22"/>
                <w:szCs w:val="22"/>
                <w:lang w:bidi="ar"/>
              </w:rPr>
              <w:t>3-4个月/次</w:t>
            </w:r>
          </w:p>
        </w:tc>
        <w:tc>
          <w:tcPr>
            <w:tcW w:w="1672" w:type="pct"/>
            <w:shd w:val="clear" w:color="auto" w:fill="auto"/>
            <w:vAlign w:val="center"/>
          </w:tcPr>
          <w:p w14:paraId="069EC045">
            <w:pPr>
              <w:widowControl/>
              <w:spacing w:line="240" w:lineRule="auto"/>
              <w:ind w:firstLine="0" w:firstLineChars="0"/>
              <w:jc w:val="center"/>
              <w:textAlignment w:val="center"/>
              <w:rPr>
                <w:rFonts w:hint="eastAsia"/>
              </w:rPr>
            </w:pPr>
            <w:r>
              <w:rPr>
                <w:rFonts w:hint="eastAsia"/>
                <w:color w:val="000000"/>
                <w:kern w:val="0"/>
                <w:sz w:val="22"/>
                <w:szCs w:val="22"/>
                <w:lang w:bidi="ar"/>
              </w:rPr>
              <w:t>1年</w:t>
            </w:r>
          </w:p>
        </w:tc>
      </w:tr>
      <w:tr w14:paraId="0BA119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0" w:type="pct"/>
            <w:shd w:val="clear" w:color="auto" w:fill="auto"/>
            <w:vAlign w:val="center"/>
          </w:tcPr>
          <w:p w14:paraId="05555D2E">
            <w:pPr>
              <w:spacing w:line="240" w:lineRule="auto"/>
              <w:ind w:firstLine="0" w:firstLineChars="0"/>
              <w:jc w:val="center"/>
              <w:rPr>
                <w:rFonts w:hint="eastAsia"/>
                <w:sz w:val="22"/>
                <w:szCs w:val="22"/>
              </w:rPr>
            </w:pPr>
            <w:r>
              <w:rPr>
                <w:rFonts w:hint="eastAsia"/>
                <w:sz w:val="22"/>
                <w:szCs w:val="22"/>
              </w:rPr>
              <w:t>在线溶解氧传感器</w:t>
            </w:r>
          </w:p>
        </w:tc>
        <w:tc>
          <w:tcPr>
            <w:tcW w:w="1666" w:type="pct"/>
            <w:shd w:val="clear" w:color="auto" w:fill="auto"/>
            <w:vAlign w:val="center"/>
          </w:tcPr>
          <w:p w14:paraId="36E45BB8">
            <w:pPr>
              <w:widowControl/>
              <w:spacing w:line="240" w:lineRule="auto"/>
              <w:ind w:firstLine="0" w:firstLineChars="0"/>
              <w:jc w:val="center"/>
              <w:textAlignment w:val="center"/>
              <w:rPr>
                <w:rFonts w:hint="eastAsia"/>
                <w:sz w:val="21"/>
                <w:szCs w:val="21"/>
              </w:rPr>
            </w:pPr>
            <w:r>
              <w:rPr>
                <w:rFonts w:hint="eastAsia"/>
                <w:color w:val="000000"/>
                <w:kern w:val="0"/>
                <w:sz w:val="22"/>
                <w:szCs w:val="22"/>
                <w:lang w:bidi="ar"/>
              </w:rPr>
              <w:t>3-4个月/次</w:t>
            </w:r>
          </w:p>
        </w:tc>
        <w:tc>
          <w:tcPr>
            <w:tcW w:w="1672" w:type="pct"/>
            <w:shd w:val="clear" w:color="auto" w:fill="auto"/>
            <w:vAlign w:val="center"/>
          </w:tcPr>
          <w:p w14:paraId="719F698C">
            <w:pPr>
              <w:widowControl/>
              <w:spacing w:line="240" w:lineRule="auto"/>
              <w:ind w:firstLine="0" w:firstLineChars="0"/>
              <w:jc w:val="center"/>
              <w:textAlignment w:val="center"/>
              <w:rPr>
                <w:rFonts w:hint="eastAsia"/>
                <w:sz w:val="21"/>
                <w:szCs w:val="21"/>
              </w:rPr>
            </w:pPr>
            <w:r>
              <w:rPr>
                <w:rFonts w:hint="eastAsia"/>
                <w:color w:val="000000"/>
                <w:kern w:val="0"/>
                <w:sz w:val="22"/>
                <w:szCs w:val="22"/>
                <w:lang w:bidi="ar"/>
              </w:rPr>
              <w:t>2-3年</w:t>
            </w:r>
          </w:p>
        </w:tc>
      </w:tr>
      <w:tr w14:paraId="3C1CBA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0" w:type="pct"/>
            <w:shd w:val="clear" w:color="auto" w:fill="auto"/>
            <w:vAlign w:val="center"/>
          </w:tcPr>
          <w:p w14:paraId="3E5DC2BC">
            <w:pPr>
              <w:spacing w:line="240" w:lineRule="auto"/>
              <w:ind w:firstLine="0" w:firstLineChars="0"/>
              <w:jc w:val="center"/>
              <w:rPr>
                <w:rFonts w:hint="eastAsia"/>
                <w:sz w:val="22"/>
                <w:szCs w:val="22"/>
              </w:rPr>
            </w:pPr>
            <w:r>
              <w:rPr>
                <w:rFonts w:hint="eastAsia"/>
                <w:sz w:val="22"/>
                <w:szCs w:val="22"/>
              </w:rPr>
              <w:t>在线电导率传感器</w:t>
            </w:r>
          </w:p>
        </w:tc>
        <w:tc>
          <w:tcPr>
            <w:tcW w:w="1666" w:type="pct"/>
            <w:shd w:val="clear" w:color="auto" w:fill="auto"/>
            <w:vAlign w:val="center"/>
          </w:tcPr>
          <w:p w14:paraId="2E048CF3">
            <w:pPr>
              <w:widowControl/>
              <w:spacing w:line="240" w:lineRule="auto"/>
              <w:ind w:firstLine="0" w:firstLineChars="0"/>
              <w:jc w:val="center"/>
              <w:textAlignment w:val="center"/>
              <w:rPr>
                <w:rFonts w:hint="eastAsia"/>
              </w:rPr>
            </w:pPr>
            <w:r>
              <w:rPr>
                <w:rFonts w:hint="eastAsia"/>
                <w:color w:val="000000"/>
                <w:kern w:val="0"/>
                <w:sz w:val="22"/>
                <w:szCs w:val="22"/>
                <w:lang w:bidi="ar"/>
              </w:rPr>
              <w:t>3-4个月/次</w:t>
            </w:r>
          </w:p>
        </w:tc>
        <w:tc>
          <w:tcPr>
            <w:tcW w:w="1672" w:type="pct"/>
            <w:shd w:val="clear" w:color="auto" w:fill="auto"/>
            <w:vAlign w:val="center"/>
          </w:tcPr>
          <w:p w14:paraId="7FA01A45">
            <w:pPr>
              <w:widowControl/>
              <w:spacing w:line="240" w:lineRule="auto"/>
              <w:ind w:firstLine="0" w:firstLineChars="0"/>
              <w:jc w:val="center"/>
              <w:textAlignment w:val="center"/>
              <w:rPr>
                <w:rFonts w:hint="eastAsia"/>
              </w:rPr>
            </w:pPr>
            <w:r>
              <w:rPr>
                <w:rFonts w:hint="eastAsia"/>
                <w:color w:val="000000"/>
                <w:kern w:val="0"/>
                <w:sz w:val="22"/>
                <w:szCs w:val="22"/>
                <w:lang w:bidi="ar"/>
              </w:rPr>
              <w:t>2-3年</w:t>
            </w:r>
          </w:p>
        </w:tc>
      </w:tr>
      <w:tr w14:paraId="7F6B56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0" w:type="pct"/>
            <w:shd w:val="clear" w:color="auto" w:fill="auto"/>
            <w:vAlign w:val="center"/>
          </w:tcPr>
          <w:p w14:paraId="3531A6F5">
            <w:pPr>
              <w:spacing w:line="240" w:lineRule="auto"/>
              <w:ind w:firstLine="0" w:firstLineChars="0"/>
              <w:jc w:val="center"/>
              <w:rPr>
                <w:rFonts w:hint="eastAsia"/>
                <w:sz w:val="22"/>
                <w:szCs w:val="22"/>
              </w:rPr>
            </w:pPr>
            <w:r>
              <w:rPr>
                <w:rFonts w:hint="eastAsia"/>
                <w:sz w:val="22"/>
                <w:szCs w:val="22"/>
              </w:rPr>
              <w:t>在线浊度传感器</w:t>
            </w:r>
          </w:p>
        </w:tc>
        <w:tc>
          <w:tcPr>
            <w:tcW w:w="1666" w:type="pct"/>
            <w:shd w:val="clear" w:color="auto" w:fill="auto"/>
            <w:vAlign w:val="center"/>
          </w:tcPr>
          <w:p w14:paraId="4CDEDC5F">
            <w:pPr>
              <w:widowControl/>
              <w:spacing w:line="240" w:lineRule="auto"/>
              <w:ind w:firstLine="0" w:firstLineChars="0"/>
              <w:jc w:val="center"/>
              <w:textAlignment w:val="center"/>
              <w:rPr>
                <w:rFonts w:hint="eastAsia"/>
                <w:sz w:val="21"/>
                <w:szCs w:val="21"/>
              </w:rPr>
            </w:pPr>
            <w:r>
              <w:rPr>
                <w:rFonts w:hint="eastAsia"/>
                <w:color w:val="000000"/>
                <w:kern w:val="0"/>
                <w:sz w:val="22"/>
                <w:szCs w:val="22"/>
                <w:lang w:bidi="ar"/>
              </w:rPr>
              <w:t>3-4个月/次</w:t>
            </w:r>
          </w:p>
        </w:tc>
        <w:tc>
          <w:tcPr>
            <w:tcW w:w="1672" w:type="pct"/>
            <w:shd w:val="clear" w:color="auto" w:fill="auto"/>
            <w:vAlign w:val="center"/>
          </w:tcPr>
          <w:p w14:paraId="1CB8FA69">
            <w:pPr>
              <w:widowControl/>
              <w:spacing w:line="240" w:lineRule="auto"/>
              <w:ind w:firstLine="0" w:firstLineChars="0"/>
              <w:jc w:val="center"/>
              <w:textAlignment w:val="center"/>
              <w:rPr>
                <w:rFonts w:hint="eastAsia"/>
                <w:sz w:val="21"/>
                <w:szCs w:val="21"/>
              </w:rPr>
            </w:pPr>
            <w:r>
              <w:rPr>
                <w:rFonts w:hint="eastAsia"/>
                <w:color w:val="000000"/>
                <w:kern w:val="0"/>
                <w:sz w:val="22"/>
                <w:szCs w:val="22"/>
                <w:lang w:bidi="ar"/>
              </w:rPr>
              <w:t>2-3年</w:t>
            </w:r>
          </w:p>
        </w:tc>
      </w:tr>
      <w:tr w14:paraId="3977F0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0" w:type="pct"/>
            <w:vAlign w:val="center"/>
          </w:tcPr>
          <w:p w14:paraId="53D1FF20">
            <w:pPr>
              <w:spacing w:line="240" w:lineRule="auto"/>
              <w:ind w:firstLine="0" w:firstLineChars="0"/>
              <w:jc w:val="center"/>
              <w:rPr>
                <w:rFonts w:hint="eastAsia"/>
                <w:sz w:val="22"/>
                <w:szCs w:val="22"/>
              </w:rPr>
            </w:pPr>
            <w:r>
              <w:rPr>
                <w:rFonts w:hint="eastAsia"/>
                <w:sz w:val="22"/>
                <w:szCs w:val="22"/>
              </w:rPr>
              <w:t>在线悬浮物传感器</w:t>
            </w:r>
          </w:p>
        </w:tc>
        <w:tc>
          <w:tcPr>
            <w:tcW w:w="1666" w:type="pct"/>
            <w:vAlign w:val="center"/>
          </w:tcPr>
          <w:p w14:paraId="3A3561F1">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3-4个月/次</w:t>
            </w:r>
          </w:p>
        </w:tc>
        <w:tc>
          <w:tcPr>
            <w:tcW w:w="1672" w:type="pct"/>
            <w:vAlign w:val="center"/>
          </w:tcPr>
          <w:p w14:paraId="2CFB22EF">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2-3年</w:t>
            </w:r>
          </w:p>
        </w:tc>
      </w:tr>
      <w:tr w14:paraId="174A006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0" w:type="pct"/>
            <w:vAlign w:val="center"/>
          </w:tcPr>
          <w:p w14:paraId="494422DD">
            <w:pPr>
              <w:spacing w:line="240" w:lineRule="auto"/>
              <w:ind w:firstLine="0" w:firstLineChars="0"/>
              <w:jc w:val="center"/>
              <w:rPr>
                <w:rFonts w:hint="eastAsia"/>
                <w:sz w:val="22"/>
                <w:szCs w:val="22"/>
              </w:rPr>
            </w:pPr>
            <w:r>
              <w:rPr>
                <w:rFonts w:hint="eastAsia"/>
                <w:sz w:val="22"/>
                <w:szCs w:val="22"/>
              </w:rPr>
              <w:t>在线水中油传感器</w:t>
            </w:r>
          </w:p>
        </w:tc>
        <w:tc>
          <w:tcPr>
            <w:tcW w:w="1666" w:type="pct"/>
            <w:vAlign w:val="center"/>
          </w:tcPr>
          <w:p w14:paraId="55FA624F">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3-4个月/次</w:t>
            </w:r>
          </w:p>
        </w:tc>
        <w:tc>
          <w:tcPr>
            <w:tcW w:w="1672" w:type="pct"/>
            <w:vAlign w:val="center"/>
          </w:tcPr>
          <w:p w14:paraId="019A4B5E">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2-3年</w:t>
            </w:r>
          </w:p>
        </w:tc>
      </w:tr>
      <w:tr w14:paraId="1759AC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0" w:type="pct"/>
            <w:vAlign w:val="center"/>
          </w:tcPr>
          <w:p w14:paraId="0CFD8207">
            <w:pPr>
              <w:widowControl/>
              <w:spacing w:line="240" w:lineRule="auto"/>
              <w:ind w:firstLine="0" w:firstLineChars="0"/>
              <w:jc w:val="center"/>
              <w:textAlignment w:val="center"/>
              <w:rPr>
                <w:rFonts w:hint="eastAsia"/>
                <w:sz w:val="22"/>
                <w:szCs w:val="22"/>
              </w:rPr>
            </w:pPr>
            <w:r>
              <w:rPr>
                <w:rFonts w:hint="eastAsia"/>
                <w:color w:val="000000"/>
                <w:kern w:val="0"/>
                <w:sz w:val="22"/>
                <w:szCs w:val="22"/>
                <w:lang w:bidi="ar"/>
              </w:rPr>
              <w:t>在线透明度传感器</w:t>
            </w:r>
          </w:p>
        </w:tc>
        <w:tc>
          <w:tcPr>
            <w:tcW w:w="1666" w:type="pct"/>
            <w:vAlign w:val="center"/>
          </w:tcPr>
          <w:p w14:paraId="7471FE06">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3-4个月/次</w:t>
            </w:r>
          </w:p>
        </w:tc>
        <w:tc>
          <w:tcPr>
            <w:tcW w:w="1672" w:type="pct"/>
            <w:vAlign w:val="center"/>
          </w:tcPr>
          <w:p w14:paraId="542B2C92">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2-3年</w:t>
            </w:r>
          </w:p>
        </w:tc>
      </w:tr>
      <w:tr w14:paraId="42D816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0" w:type="pct"/>
            <w:vAlign w:val="center"/>
          </w:tcPr>
          <w:p w14:paraId="664E387B">
            <w:pPr>
              <w:spacing w:line="240" w:lineRule="auto"/>
              <w:ind w:firstLine="0" w:firstLineChars="0"/>
              <w:jc w:val="center"/>
              <w:rPr>
                <w:rFonts w:hint="eastAsia"/>
                <w:sz w:val="22"/>
                <w:szCs w:val="22"/>
              </w:rPr>
            </w:pPr>
            <w:r>
              <w:rPr>
                <w:rFonts w:hint="eastAsia"/>
                <w:sz w:val="22"/>
                <w:szCs w:val="22"/>
              </w:rPr>
              <w:t>在线COD传感器</w:t>
            </w:r>
          </w:p>
        </w:tc>
        <w:tc>
          <w:tcPr>
            <w:tcW w:w="1666" w:type="pct"/>
            <w:vAlign w:val="center"/>
          </w:tcPr>
          <w:p w14:paraId="61D9A6F7">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3-4个月/次</w:t>
            </w:r>
          </w:p>
        </w:tc>
        <w:tc>
          <w:tcPr>
            <w:tcW w:w="1672" w:type="pct"/>
            <w:vAlign w:val="center"/>
          </w:tcPr>
          <w:p w14:paraId="75E73B3A">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2-3年</w:t>
            </w:r>
          </w:p>
        </w:tc>
      </w:tr>
      <w:tr w14:paraId="166932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0" w:type="pct"/>
            <w:vAlign w:val="center"/>
          </w:tcPr>
          <w:p w14:paraId="76EAFFBA">
            <w:pPr>
              <w:spacing w:line="240" w:lineRule="auto"/>
              <w:ind w:firstLine="0" w:firstLineChars="0"/>
              <w:jc w:val="center"/>
              <w:rPr>
                <w:rFonts w:hint="eastAsia"/>
                <w:sz w:val="22"/>
                <w:szCs w:val="22"/>
              </w:rPr>
            </w:pPr>
            <w:r>
              <w:rPr>
                <w:rFonts w:hint="eastAsia"/>
                <w:sz w:val="22"/>
                <w:szCs w:val="22"/>
              </w:rPr>
              <w:t>在线氨氮传感器</w:t>
            </w:r>
          </w:p>
        </w:tc>
        <w:tc>
          <w:tcPr>
            <w:tcW w:w="1666" w:type="pct"/>
            <w:vAlign w:val="center"/>
          </w:tcPr>
          <w:p w14:paraId="30617FB4">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3-4个月/次</w:t>
            </w:r>
          </w:p>
        </w:tc>
        <w:tc>
          <w:tcPr>
            <w:tcW w:w="1672" w:type="pct"/>
            <w:vAlign w:val="center"/>
          </w:tcPr>
          <w:p w14:paraId="276CDD0E">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半年</w:t>
            </w:r>
          </w:p>
        </w:tc>
      </w:tr>
      <w:tr w14:paraId="73D237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0" w:type="pct"/>
            <w:vAlign w:val="center"/>
          </w:tcPr>
          <w:p w14:paraId="72F1D01B">
            <w:pPr>
              <w:spacing w:line="240" w:lineRule="auto"/>
              <w:ind w:firstLine="0" w:firstLineChars="0"/>
              <w:jc w:val="center"/>
              <w:rPr>
                <w:rFonts w:hint="eastAsia"/>
                <w:sz w:val="22"/>
                <w:szCs w:val="22"/>
              </w:rPr>
            </w:pPr>
            <w:r>
              <w:rPr>
                <w:rFonts w:hint="eastAsia"/>
                <w:sz w:val="22"/>
                <w:szCs w:val="22"/>
              </w:rPr>
              <w:t>多普勒流量计</w:t>
            </w:r>
          </w:p>
        </w:tc>
        <w:tc>
          <w:tcPr>
            <w:tcW w:w="1666" w:type="pct"/>
            <w:vAlign w:val="center"/>
          </w:tcPr>
          <w:p w14:paraId="41C99F15">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3-4个月/次</w:t>
            </w:r>
          </w:p>
        </w:tc>
        <w:tc>
          <w:tcPr>
            <w:tcW w:w="1672" w:type="pct"/>
            <w:vAlign w:val="center"/>
          </w:tcPr>
          <w:p w14:paraId="6EE8CB75">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3-5年</w:t>
            </w:r>
          </w:p>
        </w:tc>
      </w:tr>
      <w:tr w14:paraId="040685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0" w:type="pct"/>
            <w:vAlign w:val="center"/>
          </w:tcPr>
          <w:p w14:paraId="62B1781F">
            <w:pPr>
              <w:spacing w:line="240" w:lineRule="auto"/>
              <w:ind w:firstLine="0" w:firstLineChars="0"/>
              <w:jc w:val="center"/>
              <w:rPr>
                <w:rFonts w:hint="eastAsia"/>
                <w:sz w:val="22"/>
                <w:szCs w:val="22"/>
              </w:rPr>
            </w:pPr>
            <w:r>
              <w:rPr>
                <w:rFonts w:hint="eastAsia"/>
                <w:sz w:val="22"/>
                <w:szCs w:val="22"/>
              </w:rPr>
              <w:t>超声波雷达流量计</w:t>
            </w:r>
          </w:p>
        </w:tc>
        <w:tc>
          <w:tcPr>
            <w:tcW w:w="1666" w:type="pct"/>
            <w:vAlign w:val="center"/>
          </w:tcPr>
          <w:p w14:paraId="4D5A2017">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3-4个月/次</w:t>
            </w:r>
          </w:p>
        </w:tc>
        <w:tc>
          <w:tcPr>
            <w:tcW w:w="1672" w:type="pct"/>
            <w:vAlign w:val="center"/>
          </w:tcPr>
          <w:p w14:paraId="158E029A">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3-5年</w:t>
            </w:r>
          </w:p>
        </w:tc>
      </w:tr>
      <w:tr w14:paraId="56A07C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0" w:type="pct"/>
            <w:vAlign w:val="center"/>
          </w:tcPr>
          <w:p w14:paraId="092F9772">
            <w:pPr>
              <w:spacing w:line="240" w:lineRule="auto"/>
              <w:ind w:firstLine="0" w:firstLineChars="0"/>
              <w:jc w:val="center"/>
              <w:rPr>
                <w:rFonts w:hint="eastAsia"/>
                <w:sz w:val="22"/>
                <w:szCs w:val="22"/>
              </w:rPr>
            </w:pPr>
            <w:r>
              <w:rPr>
                <w:rFonts w:hint="eastAsia"/>
                <w:sz w:val="22"/>
                <w:szCs w:val="22"/>
              </w:rPr>
              <w:t>静压式液位计</w:t>
            </w:r>
          </w:p>
        </w:tc>
        <w:tc>
          <w:tcPr>
            <w:tcW w:w="1666" w:type="pct"/>
            <w:shd w:val="clear" w:color="auto" w:fill="auto"/>
            <w:vAlign w:val="center"/>
          </w:tcPr>
          <w:p w14:paraId="01D19535">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3-4个月/次</w:t>
            </w:r>
          </w:p>
        </w:tc>
        <w:tc>
          <w:tcPr>
            <w:tcW w:w="1672" w:type="pct"/>
            <w:shd w:val="clear" w:color="auto" w:fill="auto"/>
            <w:vAlign w:val="center"/>
          </w:tcPr>
          <w:p w14:paraId="6055CCD9">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3-5年</w:t>
            </w:r>
          </w:p>
        </w:tc>
      </w:tr>
      <w:tr w14:paraId="3C8A59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0" w:type="pct"/>
            <w:vAlign w:val="center"/>
          </w:tcPr>
          <w:p w14:paraId="65CE3E50">
            <w:pPr>
              <w:spacing w:line="240" w:lineRule="auto"/>
              <w:ind w:firstLine="0" w:firstLineChars="0"/>
              <w:jc w:val="center"/>
              <w:rPr>
                <w:rFonts w:hint="eastAsia"/>
                <w:sz w:val="22"/>
                <w:szCs w:val="22"/>
              </w:rPr>
            </w:pPr>
            <w:r>
              <w:rPr>
                <w:rFonts w:hint="eastAsia"/>
                <w:sz w:val="22"/>
                <w:szCs w:val="22"/>
              </w:rPr>
              <w:t>雷达液位计</w:t>
            </w:r>
          </w:p>
        </w:tc>
        <w:tc>
          <w:tcPr>
            <w:tcW w:w="1666" w:type="pct"/>
            <w:shd w:val="clear" w:color="auto" w:fill="auto"/>
            <w:vAlign w:val="center"/>
          </w:tcPr>
          <w:p w14:paraId="34396BD0">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3-4个月/次</w:t>
            </w:r>
          </w:p>
        </w:tc>
        <w:tc>
          <w:tcPr>
            <w:tcW w:w="1672" w:type="pct"/>
            <w:shd w:val="clear" w:color="auto" w:fill="auto"/>
            <w:vAlign w:val="center"/>
          </w:tcPr>
          <w:p w14:paraId="19E9E1DB">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3-5年</w:t>
            </w:r>
          </w:p>
        </w:tc>
      </w:tr>
      <w:tr w14:paraId="660D29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60" w:type="pct"/>
            <w:vAlign w:val="center"/>
          </w:tcPr>
          <w:p w14:paraId="2297DC77">
            <w:pPr>
              <w:spacing w:line="240" w:lineRule="auto"/>
              <w:ind w:firstLine="0" w:firstLineChars="0"/>
              <w:jc w:val="center"/>
              <w:rPr>
                <w:rFonts w:hint="eastAsia"/>
                <w:sz w:val="22"/>
                <w:szCs w:val="22"/>
              </w:rPr>
            </w:pPr>
            <w:r>
              <w:rPr>
                <w:rFonts w:hint="eastAsia"/>
                <w:sz w:val="22"/>
                <w:szCs w:val="22"/>
              </w:rPr>
              <w:t>井盖异动传感器</w:t>
            </w:r>
          </w:p>
        </w:tc>
        <w:tc>
          <w:tcPr>
            <w:tcW w:w="1666" w:type="pct"/>
            <w:shd w:val="clear" w:color="auto" w:fill="auto"/>
            <w:vAlign w:val="center"/>
          </w:tcPr>
          <w:p w14:paraId="36F182B8">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3-4个月/次</w:t>
            </w:r>
          </w:p>
        </w:tc>
        <w:tc>
          <w:tcPr>
            <w:tcW w:w="1672" w:type="pct"/>
            <w:shd w:val="clear" w:color="auto" w:fill="auto"/>
            <w:vAlign w:val="center"/>
          </w:tcPr>
          <w:p w14:paraId="6A309D3D">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2-3年</w:t>
            </w:r>
          </w:p>
        </w:tc>
      </w:tr>
      <w:tr w14:paraId="7E6BDA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660" w:type="pct"/>
            <w:vAlign w:val="center"/>
          </w:tcPr>
          <w:p w14:paraId="21FF810E">
            <w:pPr>
              <w:spacing w:line="240" w:lineRule="auto"/>
              <w:ind w:firstLine="0" w:firstLineChars="0"/>
              <w:jc w:val="center"/>
              <w:rPr>
                <w:rFonts w:hint="eastAsia"/>
                <w:sz w:val="22"/>
                <w:szCs w:val="22"/>
              </w:rPr>
            </w:pPr>
            <w:r>
              <w:rPr>
                <w:rFonts w:hint="eastAsia"/>
                <w:sz w:val="22"/>
                <w:szCs w:val="22"/>
              </w:rPr>
              <w:t>甲烷浓度传感器</w:t>
            </w:r>
          </w:p>
        </w:tc>
        <w:tc>
          <w:tcPr>
            <w:tcW w:w="1666" w:type="pct"/>
            <w:shd w:val="clear" w:color="auto" w:fill="auto"/>
            <w:vAlign w:val="center"/>
          </w:tcPr>
          <w:p w14:paraId="6206BB78">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3-4个月/次</w:t>
            </w:r>
          </w:p>
        </w:tc>
        <w:tc>
          <w:tcPr>
            <w:tcW w:w="1672" w:type="pct"/>
            <w:shd w:val="clear" w:color="auto" w:fill="auto"/>
            <w:vAlign w:val="center"/>
          </w:tcPr>
          <w:p w14:paraId="3752CC14">
            <w:pPr>
              <w:widowControl/>
              <w:spacing w:line="240" w:lineRule="auto"/>
              <w:ind w:firstLine="0" w:firstLineChars="0"/>
              <w:jc w:val="center"/>
              <w:textAlignment w:val="center"/>
              <w:rPr>
                <w:rFonts w:hint="eastAsia"/>
                <w:color w:val="000000"/>
                <w:kern w:val="0"/>
                <w:sz w:val="22"/>
                <w:szCs w:val="22"/>
                <w:lang w:bidi="ar"/>
              </w:rPr>
            </w:pPr>
            <w:r>
              <w:rPr>
                <w:rFonts w:hint="eastAsia"/>
                <w:color w:val="000000"/>
                <w:kern w:val="0"/>
                <w:sz w:val="22"/>
                <w:szCs w:val="22"/>
                <w:lang w:bidi="ar"/>
              </w:rPr>
              <w:t>2-3年</w:t>
            </w:r>
          </w:p>
        </w:tc>
      </w:tr>
      <w:tr w14:paraId="429407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5000" w:type="pct"/>
            <w:gridSpan w:val="3"/>
            <w:vAlign w:val="center"/>
          </w:tcPr>
          <w:p w14:paraId="2997CE2B">
            <w:pPr>
              <w:widowControl/>
              <w:spacing w:line="240" w:lineRule="auto"/>
              <w:ind w:firstLine="0" w:firstLineChars="0"/>
              <w:jc w:val="center"/>
              <w:textAlignment w:val="center"/>
              <w:rPr>
                <w:rFonts w:hint="eastAsia"/>
                <w:color w:val="000000"/>
                <w:kern w:val="0"/>
                <w:sz w:val="22"/>
                <w:szCs w:val="22"/>
                <w:lang w:bidi="ar"/>
              </w:rPr>
            </w:pPr>
            <w:r>
              <w:rPr>
                <w:rFonts w:hint="eastAsia"/>
                <w:b/>
                <w:bCs/>
                <w:sz w:val="21"/>
                <w:szCs w:val="21"/>
                <w:lang w:val="en-US" w:eastAsia="zh-CN"/>
              </w:rPr>
              <w:t>便携监测设备</w:t>
            </w:r>
          </w:p>
        </w:tc>
      </w:tr>
      <w:tr w14:paraId="61D06D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1660" w:type="pct"/>
            <w:shd w:val="clear" w:color="auto" w:fill="auto"/>
            <w:vAlign w:val="center"/>
          </w:tcPr>
          <w:p w14:paraId="474A626B">
            <w:pPr>
              <w:widowControl/>
              <w:spacing w:line="240" w:lineRule="auto"/>
              <w:ind w:firstLine="0" w:firstLineChars="0"/>
              <w:jc w:val="center"/>
              <w:textAlignment w:val="center"/>
              <w:rPr>
                <w:rFonts w:hint="eastAsia" w:ascii="宋体" w:hAnsi="宋体" w:eastAsia="宋体" w:cs="宋体"/>
                <w:kern w:val="2"/>
                <w:sz w:val="22"/>
                <w:szCs w:val="22"/>
                <w:lang w:val="en-US" w:eastAsia="zh-CN" w:bidi="ar-SA"/>
              </w:rPr>
            </w:pPr>
            <w:r>
              <w:rPr>
                <w:rFonts w:hint="eastAsia"/>
                <w:sz w:val="21"/>
                <w:szCs w:val="21"/>
              </w:rPr>
              <w:t>便携式多参数分析仪</w:t>
            </w:r>
          </w:p>
        </w:tc>
        <w:tc>
          <w:tcPr>
            <w:tcW w:w="1666" w:type="pct"/>
            <w:shd w:val="clear" w:color="auto" w:fill="auto"/>
            <w:vAlign w:val="center"/>
          </w:tcPr>
          <w:p w14:paraId="3D4F9B9C">
            <w:pPr>
              <w:widowControl/>
              <w:spacing w:line="240" w:lineRule="auto"/>
              <w:ind w:firstLine="0" w:firstLineChars="0"/>
              <w:jc w:val="center"/>
              <w:textAlignment w:val="center"/>
              <w:rPr>
                <w:rFonts w:hint="eastAsia" w:ascii="宋体" w:hAnsi="宋体" w:eastAsia="宋体" w:cs="宋体"/>
                <w:color w:val="000000"/>
                <w:kern w:val="0"/>
                <w:sz w:val="22"/>
                <w:szCs w:val="22"/>
                <w:lang w:val="en-US" w:eastAsia="zh-CN" w:bidi="ar"/>
              </w:rPr>
            </w:pPr>
            <w:r>
              <w:rPr>
                <w:rFonts w:hint="eastAsia"/>
                <w:color w:val="000000"/>
                <w:kern w:val="0"/>
                <w:sz w:val="22"/>
                <w:szCs w:val="22"/>
                <w:lang w:bidi="ar"/>
              </w:rPr>
              <w:t>3-4个月/次</w:t>
            </w:r>
          </w:p>
        </w:tc>
        <w:tc>
          <w:tcPr>
            <w:tcW w:w="1672" w:type="pct"/>
            <w:shd w:val="clear" w:color="auto" w:fill="auto"/>
            <w:vAlign w:val="center"/>
          </w:tcPr>
          <w:p w14:paraId="6035AEA5">
            <w:pPr>
              <w:widowControl/>
              <w:spacing w:line="240" w:lineRule="auto"/>
              <w:ind w:firstLine="0" w:firstLineChars="0"/>
              <w:jc w:val="center"/>
              <w:textAlignment w:val="center"/>
              <w:rPr>
                <w:rFonts w:hint="eastAsia" w:ascii="宋体" w:hAnsi="宋体" w:eastAsia="宋体" w:cs="宋体"/>
                <w:color w:val="000000"/>
                <w:kern w:val="0"/>
                <w:sz w:val="22"/>
                <w:szCs w:val="22"/>
                <w:lang w:val="en-US" w:eastAsia="zh-CN" w:bidi="ar"/>
              </w:rPr>
            </w:pPr>
            <w:r>
              <w:rPr>
                <w:rFonts w:hint="eastAsia"/>
                <w:color w:val="000000"/>
                <w:kern w:val="0"/>
                <w:sz w:val="22"/>
                <w:szCs w:val="22"/>
                <w:lang w:bidi="ar"/>
              </w:rPr>
              <w:t>2-3年</w:t>
            </w:r>
          </w:p>
        </w:tc>
      </w:tr>
    </w:tbl>
    <w:p w14:paraId="0AB5EBE1">
      <w:pPr>
        <w:ind w:firstLine="480"/>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rPr>
        <w:t>注：</w:t>
      </w:r>
      <w:r>
        <w:rPr>
          <w:rFonts w:hint="eastAsia" w:ascii="宋体" w:hAnsi="宋体" w:eastAsia="宋体" w:cs="宋体"/>
          <w:b w:val="0"/>
          <w:bCs w:val="0"/>
          <w:color w:val="000000"/>
          <w:kern w:val="0"/>
          <w:sz w:val="21"/>
          <w:szCs w:val="21"/>
          <w:highlight w:val="none"/>
          <w:lang w:val="en-US" w:eastAsia="zh-CN" w:bidi="ar"/>
        </w:rPr>
        <w:t>井下水质监测预警站</w:t>
      </w:r>
      <w:r>
        <w:rPr>
          <w:rFonts w:hint="eastAsia" w:ascii="宋体" w:hAnsi="宋体" w:eastAsia="宋体" w:cs="宋体"/>
          <w:b w:val="0"/>
          <w:bCs w:val="0"/>
          <w:sz w:val="21"/>
          <w:szCs w:val="21"/>
          <w:highlight w:val="none"/>
        </w:rPr>
        <w:t>电池模块维护周期/使用寿命</w:t>
      </w:r>
      <w:r>
        <w:rPr>
          <w:rFonts w:hint="eastAsia" w:ascii="宋体" w:hAnsi="宋体" w:eastAsia="宋体" w:cs="宋体"/>
          <w:b w:val="0"/>
          <w:bCs w:val="0"/>
          <w:sz w:val="21"/>
          <w:szCs w:val="21"/>
          <w:highlight w:val="none"/>
          <w:lang w:val="en-US" w:eastAsia="zh-CN"/>
        </w:rPr>
        <w:t>为特定工况下数值</w:t>
      </w:r>
      <w:r>
        <w:rPr>
          <w:rFonts w:hint="eastAsia" w:cs="宋体"/>
          <w:b w:val="0"/>
          <w:bCs w:val="0"/>
          <w:sz w:val="21"/>
          <w:szCs w:val="21"/>
          <w:highlight w:val="none"/>
          <w:lang w:val="en-US" w:eastAsia="zh-CN"/>
        </w:rPr>
        <w:t>。</w:t>
      </w:r>
    </w:p>
    <w:p w14:paraId="0026BE88">
      <w:pPr>
        <w:pStyle w:val="3"/>
        <w:rPr>
          <w:rFonts w:hint="eastAsia"/>
        </w:rPr>
      </w:pPr>
      <w:bookmarkStart w:id="18" w:name="_Toc19311"/>
      <w:r>
        <w:rPr>
          <w:rFonts w:hint="eastAsia"/>
        </w:rPr>
        <w:t>设备日常维护</w:t>
      </w:r>
      <w:bookmarkEnd w:id="18"/>
    </w:p>
    <w:p w14:paraId="696805D3">
      <w:pPr>
        <w:ind w:firstLine="0" w:firstLineChars="0"/>
        <w:rPr>
          <w:rFonts w:hint="eastAsia"/>
          <w:b/>
          <w:bCs/>
        </w:rPr>
      </w:pPr>
      <w:r>
        <w:rPr>
          <w:rFonts w:hint="eastAsia"/>
          <w:b/>
          <w:bCs/>
        </w:rPr>
        <w:t>在线PH传感器</w:t>
      </w:r>
    </w:p>
    <w:p w14:paraId="56B4661D">
      <w:pPr>
        <w:ind w:firstLine="480"/>
        <w:rPr>
          <w:rFonts w:hint="eastAsia"/>
        </w:rPr>
      </w:pPr>
      <w:r>
        <w:rPr>
          <w:rFonts w:hint="eastAsia"/>
        </w:rPr>
        <w:t>（1）测量前用蒸馏水洗净并擦干传感器，插入被测液1/3深度，防杂质污染。</w:t>
      </w:r>
    </w:p>
    <w:p w14:paraId="61BE556D">
      <w:pPr>
        <w:ind w:firstLine="480"/>
        <w:rPr>
          <w:rFonts w:hint="eastAsia"/>
        </w:rPr>
      </w:pPr>
      <w:r>
        <w:rPr>
          <w:rFonts w:hint="eastAsia"/>
        </w:rPr>
        <w:t>（2）闲置保养，洗净后浸泡于3mol/L氯化钾溶液中（保护套或容器），维持电极性能。</w:t>
      </w:r>
    </w:p>
    <w:p w14:paraId="5DE03034">
      <w:pPr>
        <w:ind w:firstLine="0" w:firstLineChars="0"/>
        <w:rPr>
          <w:rFonts w:hint="eastAsia"/>
          <w:b/>
          <w:bCs/>
        </w:rPr>
      </w:pPr>
      <w:r>
        <w:rPr>
          <w:rFonts w:hint="eastAsia"/>
          <w:b/>
          <w:bCs/>
        </w:rPr>
        <w:t>在线溶解氧传感器</w:t>
      </w:r>
    </w:p>
    <w:p w14:paraId="7CA63386">
      <w:pPr>
        <w:ind w:firstLine="480"/>
        <w:rPr>
          <w:rFonts w:hint="eastAsia"/>
        </w:rPr>
      </w:pPr>
      <w:r>
        <w:rPr>
          <w:rFonts w:hint="eastAsia"/>
        </w:rPr>
        <w:t>（1）使用后及时安装电极保护套，保证套内海绵湿润；新传感器需在自来水中活化24小时，确保测试准确性。</w:t>
      </w:r>
    </w:p>
    <w:p w14:paraId="0F138675">
      <w:pPr>
        <w:ind w:firstLine="480"/>
        <w:rPr>
          <w:rFonts w:hint="eastAsia"/>
        </w:rPr>
      </w:pPr>
      <w:r>
        <w:rPr>
          <w:rFonts w:hint="eastAsia"/>
        </w:rPr>
        <w:t>（2）测试时将传感器置于水中，避免长时间测试空气；测量和校准时，防止荧光膜表面附着气泡；测试中避免荧光膜头受摩擦刮伤，野外测试时膜头离水底30公分以上。</w:t>
      </w:r>
    </w:p>
    <w:p w14:paraId="7B19E3D5">
      <w:pPr>
        <w:ind w:firstLine="480"/>
        <w:rPr>
          <w:rFonts w:hint="eastAsia"/>
        </w:rPr>
      </w:pPr>
      <w:r>
        <w:rPr>
          <w:rFonts w:hint="eastAsia"/>
        </w:rPr>
        <w:t>（3）检查线缆是否绷紧或与硬物摩擦，确保正常安装时线缆处于合适状态，防止内部电线断裂或表皮破损进水。</w:t>
      </w:r>
    </w:p>
    <w:p w14:paraId="2B465E76">
      <w:pPr>
        <w:ind w:firstLine="0" w:firstLineChars="0"/>
        <w:rPr>
          <w:rFonts w:hint="eastAsia"/>
          <w:b/>
          <w:bCs/>
        </w:rPr>
      </w:pPr>
      <w:r>
        <w:rPr>
          <w:rFonts w:hint="eastAsia"/>
          <w:b/>
          <w:bCs/>
        </w:rPr>
        <w:t>在线电导率传感器</w:t>
      </w:r>
    </w:p>
    <w:p w14:paraId="45A2A6EA">
      <w:pPr>
        <w:ind w:firstLine="480"/>
        <w:rPr>
          <w:rFonts w:hint="eastAsia"/>
        </w:rPr>
      </w:pPr>
      <w:r>
        <w:rPr>
          <w:rFonts w:hint="eastAsia"/>
        </w:rPr>
        <w:t xml:space="preserve">（1）用软毛刷清除附着物（防划伤），蒸馏水洗净后校准。  </w:t>
      </w:r>
    </w:p>
    <w:p w14:paraId="0BEA34E1">
      <w:pPr>
        <w:ind w:firstLine="480"/>
        <w:rPr>
          <w:rFonts w:hint="eastAsia"/>
        </w:rPr>
      </w:pPr>
      <w:r>
        <w:rPr>
          <w:rFonts w:hint="eastAsia"/>
        </w:rPr>
        <w:t>（2）根据工况调整校准频率，确保测量准确性。</w:t>
      </w:r>
    </w:p>
    <w:p w14:paraId="32FB555C">
      <w:pPr>
        <w:ind w:firstLine="0" w:firstLineChars="0"/>
        <w:rPr>
          <w:rFonts w:hint="eastAsia"/>
          <w:b/>
          <w:bCs/>
        </w:rPr>
      </w:pPr>
      <w:r>
        <w:rPr>
          <w:rFonts w:hint="eastAsia"/>
          <w:b/>
          <w:bCs/>
        </w:rPr>
        <w:t>在线浊度/悬浮物/水中油传感器</w:t>
      </w:r>
    </w:p>
    <w:p w14:paraId="6F06780C">
      <w:pPr>
        <w:ind w:firstLine="480"/>
        <w:rPr>
          <w:rFonts w:hint="eastAsia"/>
        </w:rPr>
      </w:pPr>
      <w:r>
        <w:rPr>
          <w:rFonts w:hint="eastAsia"/>
        </w:rPr>
        <w:t xml:space="preserve">（1）外表面清洁自来水冲洗表面，软布擦拭残留碎屑，顽固污垢可用稀释家用洗涤液清洗。  </w:t>
      </w:r>
    </w:p>
    <w:p w14:paraId="66384517">
      <w:pPr>
        <w:ind w:firstLine="480"/>
        <w:rPr>
          <w:rFonts w:hint="eastAsia"/>
        </w:rPr>
      </w:pPr>
      <w:r>
        <w:rPr>
          <w:rFonts w:hint="eastAsia"/>
        </w:rPr>
        <w:t xml:space="preserve">（2）线缆检查确保线缆松弛无绷紧，避免内部断裂导致故障。  </w:t>
      </w:r>
    </w:p>
    <w:p w14:paraId="17BF7061">
      <w:pPr>
        <w:ind w:firstLine="480"/>
        <w:rPr>
          <w:rFonts w:hint="eastAsia"/>
        </w:rPr>
      </w:pPr>
      <w:r>
        <w:rPr>
          <w:rFonts w:hint="eastAsia"/>
        </w:rPr>
        <w:t xml:space="preserve">（3）测量窗口维护检查测量窗口是否脏污，清洁刷是否正常工作。  </w:t>
      </w:r>
    </w:p>
    <w:p w14:paraId="2646F7BB">
      <w:pPr>
        <w:ind w:firstLine="0" w:firstLineChars="0"/>
        <w:rPr>
          <w:rFonts w:hint="eastAsia"/>
          <w:b/>
          <w:bCs/>
        </w:rPr>
      </w:pPr>
      <w:r>
        <w:rPr>
          <w:rFonts w:hint="eastAsia"/>
          <w:b/>
          <w:bCs/>
        </w:rPr>
        <w:t>在线透明度传感器</w:t>
      </w:r>
    </w:p>
    <w:p w14:paraId="0B9A8725">
      <w:pPr>
        <w:ind w:firstLine="480"/>
        <w:rPr>
          <w:rFonts w:hint="eastAsia"/>
        </w:rPr>
      </w:pPr>
      <w:bookmarkStart w:id="19" w:name="OLE_LINK5"/>
      <w:r>
        <w:rPr>
          <w:rFonts w:hint="eastAsia"/>
        </w:rPr>
        <w:t>（1）传感器外表面：用自来水清洗传感器的外表面，如果仍有碎屑残留，用湿润的软布进行擦拭，对于一些顽固的污垢，可以在自来水中加入一些家用洗涤液来清洗。</w:t>
      </w:r>
    </w:p>
    <w:p w14:paraId="423F517C">
      <w:pPr>
        <w:ind w:firstLine="480"/>
        <w:rPr>
          <w:rFonts w:hint="eastAsia"/>
        </w:rPr>
      </w:pPr>
      <w:r>
        <w:rPr>
          <w:rFonts w:hint="eastAsia"/>
        </w:rPr>
        <w:t>（2）检查传感器的线缆：正常工作时线缆不应绷紧，否则容易使线缆内部电线断裂，引起传感器不能正常工作。</w:t>
      </w:r>
    </w:p>
    <w:p w14:paraId="1225E0FC">
      <w:pPr>
        <w:ind w:firstLine="480"/>
        <w:rPr>
          <w:rFonts w:hint="eastAsia"/>
        </w:rPr>
      </w:pPr>
      <w:r>
        <w:rPr>
          <w:rFonts w:hint="eastAsia"/>
        </w:rPr>
        <w:t>（3）检查传感器的测量窗口是否有脏污，清洁刷是否正常。</w:t>
      </w:r>
    </w:p>
    <w:p w14:paraId="5234DC57">
      <w:pPr>
        <w:ind w:firstLine="480"/>
        <w:rPr>
          <w:rFonts w:hint="eastAsia"/>
        </w:rPr>
      </w:pPr>
      <w:r>
        <w:rPr>
          <w:rFonts w:hint="eastAsia"/>
        </w:rPr>
        <w:t>（4）检查传感器的清洁刷是否有所破损。</w:t>
      </w:r>
    </w:p>
    <w:p w14:paraId="50F5E9AB">
      <w:pPr>
        <w:ind w:firstLine="480"/>
        <w:rPr>
          <w:rFonts w:hint="eastAsia"/>
        </w:rPr>
      </w:pPr>
      <w:r>
        <w:rPr>
          <w:rFonts w:hint="eastAsia"/>
        </w:rPr>
        <w:t>（5）连续使用18个月，需返厂更换动密封装置。</w:t>
      </w:r>
    </w:p>
    <w:bookmarkEnd w:id="19"/>
    <w:p w14:paraId="05122CD3">
      <w:pPr>
        <w:ind w:firstLine="0" w:firstLineChars="0"/>
        <w:rPr>
          <w:rFonts w:hint="eastAsia"/>
          <w:b/>
          <w:bCs/>
        </w:rPr>
      </w:pPr>
      <w:r>
        <w:rPr>
          <w:rFonts w:hint="eastAsia"/>
          <w:b/>
          <w:bCs/>
        </w:rPr>
        <w:t>在线COD传感器</w:t>
      </w:r>
    </w:p>
    <w:p w14:paraId="254E5D1E">
      <w:pPr>
        <w:ind w:firstLine="480"/>
        <w:rPr>
          <w:rFonts w:hint="eastAsia"/>
        </w:rPr>
      </w:pPr>
      <w:r>
        <w:rPr>
          <w:rFonts w:hint="eastAsia"/>
        </w:rPr>
        <w:t>（1）测量时保证待测溶液完全没过 COD 的上、下石英片。</w:t>
      </w:r>
    </w:p>
    <w:p w14:paraId="4A56FFCB">
      <w:pPr>
        <w:ind w:firstLine="480"/>
        <w:rPr>
          <w:rFonts w:hint="eastAsia"/>
        </w:rPr>
      </w:pPr>
      <w:r>
        <w:rPr>
          <w:rFonts w:hint="eastAsia"/>
        </w:rPr>
        <w:t>（2）测量时确保 COD 的石英片干净，无异物、无气泡。</w:t>
      </w:r>
    </w:p>
    <w:p w14:paraId="069FFBEC">
      <w:pPr>
        <w:ind w:firstLine="0" w:firstLineChars="0"/>
        <w:rPr>
          <w:rFonts w:hint="eastAsia"/>
          <w:b/>
          <w:bCs/>
        </w:rPr>
      </w:pPr>
      <w:r>
        <w:rPr>
          <w:rFonts w:hint="eastAsia"/>
          <w:b/>
          <w:bCs/>
        </w:rPr>
        <w:t>在线氨氮传感器</w:t>
      </w:r>
    </w:p>
    <w:p w14:paraId="429032CC">
      <w:pPr>
        <w:ind w:firstLine="480"/>
        <w:rPr>
          <w:rFonts w:hint="eastAsia"/>
        </w:rPr>
      </w:pPr>
      <w:r>
        <w:rPr>
          <w:rFonts w:hint="eastAsia"/>
        </w:rPr>
        <w:t>（1）摘掉电极保护套，在清水中浸泡2小时活化，去离子水洗净后测试，初次用需在清水中泡30分钟以上、12小时以内。</w:t>
      </w:r>
    </w:p>
    <w:p w14:paraId="30F9A071">
      <w:pPr>
        <w:ind w:firstLine="480"/>
        <w:rPr>
          <w:rFonts w:hint="eastAsia"/>
        </w:rPr>
      </w:pPr>
      <w:r>
        <w:rPr>
          <w:rFonts w:hint="eastAsia"/>
        </w:rPr>
        <w:t>（2）长期（超两周）不用干燥储存，套上保护帽；短期不用放清水中浸泡；几天不用用含保护液外壳保存，下次用前清水泡30分钟以上。</w:t>
      </w:r>
    </w:p>
    <w:p w14:paraId="738CCAD7">
      <w:pPr>
        <w:ind w:firstLine="480"/>
        <w:rPr>
          <w:rFonts w:hint="eastAsia"/>
        </w:rPr>
      </w:pPr>
      <w:r>
        <w:rPr>
          <w:rFonts w:hint="eastAsia"/>
        </w:rPr>
        <w:t>（3）检查接线端子干燥情况，沾污时用无水酒精擦拭吹干。</w:t>
      </w:r>
    </w:p>
    <w:p w14:paraId="7B4E985B">
      <w:pPr>
        <w:ind w:firstLine="480"/>
        <w:rPr>
          <w:rFonts w:hint="eastAsia"/>
        </w:rPr>
      </w:pPr>
      <w:r>
        <w:rPr>
          <w:rFonts w:hint="eastAsia"/>
        </w:rPr>
        <w:t>（4）PVC膜半透明或有沉积物，用蒸馏水（或去离子水）冲洗。</w:t>
      </w:r>
    </w:p>
    <w:p w14:paraId="1137DDD0">
      <w:pPr>
        <w:ind w:firstLine="480"/>
        <w:rPr>
          <w:rFonts w:hint="eastAsia"/>
        </w:rPr>
      </w:pPr>
      <w:r>
        <w:rPr>
          <w:rFonts w:hint="eastAsia"/>
        </w:rPr>
        <w:t>（5）电极使用久出现测量误差，须进行校正。</w:t>
      </w:r>
    </w:p>
    <w:p w14:paraId="274526B1">
      <w:pPr>
        <w:ind w:firstLine="480"/>
        <w:rPr>
          <w:rFonts w:hint="eastAsia"/>
        </w:rPr>
      </w:pPr>
      <w:r>
        <w:rPr>
          <w:rFonts w:hint="eastAsia"/>
        </w:rPr>
        <w:t>（6）校准时放校准液中轻晃、静置，待读数稳定（约5分钟）再校准。</w:t>
      </w:r>
    </w:p>
    <w:p w14:paraId="22EA1BA2">
      <w:pPr>
        <w:ind w:firstLine="0" w:firstLineChars="0"/>
        <w:rPr>
          <w:rFonts w:hint="eastAsia"/>
          <w:b/>
          <w:bCs/>
        </w:rPr>
      </w:pPr>
      <w:r>
        <w:rPr>
          <w:rFonts w:hint="eastAsia"/>
          <w:b/>
          <w:bCs/>
        </w:rPr>
        <w:t>便携式多参数分析仪：</w:t>
      </w:r>
    </w:p>
    <w:p w14:paraId="0A32ECB2">
      <w:pPr>
        <w:ind w:firstLine="480"/>
        <w:rPr>
          <w:rFonts w:hint="eastAsia"/>
        </w:rPr>
      </w:pPr>
      <w:r>
        <w:rPr>
          <w:rFonts w:hint="eastAsia"/>
        </w:rPr>
        <w:t>（1）平常不用时拔掉电源插头。若有反应液体溅到载物台或仪器外壁，及时用湿抹布擦去，必要时消毒。每次使用完毕用湿抹布擦拭保持洁净。</w:t>
      </w:r>
    </w:p>
    <w:p w14:paraId="5EAF3025">
      <w:pPr>
        <w:ind w:firstLine="480"/>
        <w:rPr>
          <w:rFonts w:hint="eastAsia"/>
        </w:rPr>
      </w:pPr>
      <w:r>
        <w:rPr>
          <w:rFonts w:hint="eastAsia"/>
        </w:rPr>
        <w:t>（2）仪器有开机自检功能，出现故障时，依据故障提示或常见故障排查方法处理。如水质检测仪不能启动，检查电源；自检不正常，查看光源灯、重新设置波长值或更换滤光片；检测结果不正确，根据具体原因更换光源灯、滤光片、试剂，排除干扰源，重新校准标定或处理样本；</w:t>
      </w:r>
    </w:p>
    <w:p w14:paraId="01D6E039">
      <w:pPr>
        <w:ind w:firstLine="480"/>
        <w:rPr>
          <w:rFonts w:hint="eastAsia"/>
        </w:rPr>
      </w:pPr>
      <w:r>
        <w:rPr>
          <w:rFonts w:hint="eastAsia"/>
        </w:rPr>
        <w:t>（3）本仪器属于计量类仪器，出现检测结果超出规定范围、实验条件改变、用标准溶液检验出现误差等情形时，需使用标准溶液重新进行校准和标定，标液可选用国家标物中心发行的质控品、从厂家购买或用户自行配置（配置应严格按照对应检测项目最新版本的环境标准），以保证测定结果的准确性。</w:t>
      </w:r>
    </w:p>
    <w:p w14:paraId="2B64A9F3">
      <w:pPr>
        <w:ind w:firstLine="0" w:firstLineChars="0"/>
        <w:rPr>
          <w:rFonts w:hint="eastAsia"/>
          <w:b/>
          <w:bCs/>
        </w:rPr>
      </w:pPr>
      <w:r>
        <w:rPr>
          <w:rFonts w:hint="eastAsia"/>
          <w:b/>
          <w:bCs/>
        </w:rPr>
        <w:t>超声波多普勒流量计</w:t>
      </w:r>
    </w:p>
    <w:p w14:paraId="4FD88E72">
      <w:pPr>
        <w:ind w:firstLine="480"/>
        <w:rPr>
          <w:rFonts w:hint="eastAsia"/>
        </w:rPr>
      </w:pPr>
      <w:r>
        <w:rPr>
          <w:rFonts w:hint="eastAsia"/>
        </w:rPr>
        <w:t>（1）定期清理传感器表面，去除污垢、杂物，避免影响声波传输。使用软布或清水冲洗，避免刮伤。</w:t>
      </w:r>
    </w:p>
    <w:p w14:paraId="41DD7A9D">
      <w:pPr>
        <w:ind w:firstLine="480"/>
        <w:rPr>
          <w:rFonts w:hint="eastAsia"/>
        </w:rPr>
      </w:pPr>
      <w:r>
        <w:rPr>
          <w:rFonts w:hint="eastAsia"/>
        </w:rPr>
        <w:t>（2）查看传感器安装位置是否松动、偏移，确保其与管道贴合良好，保证测量精度。</w:t>
      </w:r>
    </w:p>
    <w:p w14:paraId="68B5B2A6">
      <w:pPr>
        <w:ind w:firstLine="480"/>
        <w:rPr>
          <w:rFonts w:hint="eastAsia"/>
        </w:rPr>
      </w:pPr>
      <w:r>
        <w:rPr>
          <w:rFonts w:hint="eastAsia"/>
        </w:rPr>
        <w:t>（3）检查连接线缆有无破损、老化，接线端是否松动，发现问题及时修复或更换。</w:t>
      </w:r>
    </w:p>
    <w:p w14:paraId="1D936D70">
      <w:pPr>
        <w:ind w:firstLine="480"/>
        <w:rPr>
          <w:rFonts w:hint="eastAsia"/>
        </w:rPr>
      </w:pPr>
      <w:r>
        <w:rPr>
          <w:rFonts w:hint="eastAsia"/>
        </w:rPr>
        <w:t>（4）按规定周期用标准器具校准，对比测量值与标准值，调整偏差，确保测量准确。</w:t>
      </w:r>
    </w:p>
    <w:p w14:paraId="3BDA2114">
      <w:pPr>
        <w:ind w:firstLine="480"/>
        <w:rPr>
          <w:rFonts w:hint="eastAsia"/>
        </w:rPr>
      </w:pPr>
      <w:r>
        <w:rPr>
          <w:rFonts w:hint="eastAsia"/>
        </w:rPr>
        <w:t>（5）关注测量数据，分析变化趋势，异常时排查设备故障或管道问题。</w:t>
      </w:r>
    </w:p>
    <w:p w14:paraId="3A33C95E">
      <w:pPr>
        <w:ind w:firstLine="0" w:firstLineChars="0"/>
        <w:rPr>
          <w:rFonts w:hint="eastAsia"/>
          <w:b/>
          <w:bCs/>
        </w:rPr>
      </w:pPr>
      <w:r>
        <w:rPr>
          <w:rFonts w:hint="eastAsia"/>
          <w:b/>
          <w:bCs/>
        </w:rPr>
        <w:t>静压式液位计</w:t>
      </w:r>
    </w:p>
    <w:p w14:paraId="6FC0F177">
      <w:pPr>
        <w:ind w:firstLine="480"/>
        <w:rPr>
          <w:rFonts w:hint="eastAsia"/>
        </w:rPr>
      </w:pPr>
      <w:r>
        <w:rPr>
          <w:rFonts w:hint="eastAsia"/>
        </w:rPr>
        <w:t>（1）定期读取液位计测量值并与实际对比，偏差大时依校准指令校准。</w:t>
      </w:r>
    </w:p>
    <w:p w14:paraId="57FC45A9">
      <w:pPr>
        <w:ind w:firstLine="480"/>
        <w:rPr>
          <w:rFonts w:hint="eastAsia"/>
        </w:rPr>
      </w:pPr>
      <w:r>
        <w:rPr>
          <w:rFonts w:hint="eastAsia"/>
        </w:rPr>
        <w:t>（2）查看电缆有无破损、老化，检查钢丝是否紧固。</w:t>
      </w:r>
    </w:p>
    <w:p w14:paraId="04093FBC">
      <w:pPr>
        <w:ind w:firstLine="480"/>
        <w:rPr>
          <w:rFonts w:hint="eastAsia"/>
        </w:rPr>
      </w:pPr>
      <w:r>
        <w:rPr>
          <w:rFonts w:hint="eastAsia"/>
        </w:rPr>
        <w:t>（3）定期清理井口防护罩，防止导气管堵塞（绝压型除外）。</w:t>
      </w:r>
    </w:p>
    <w:p w14:paraId="71DED2E1">
      <w:pPr>
        <w:ind w:firstLine="0" w:firstLineChars="0"/>
        <w:rPr>
          <w:rFonts w:hint="eastAsia"/>
          <w:b/>
          <w:bCs/>
        </w:rPr>
      </w:pPr>
      <w:r>
        <w:rPr>
          <w:rFonts w:hint="eastAsia"/>
          <w:b/>
          <w:bCs/>
        </w:rPr>
        <w:t>超声波雷达流量计/雷达液位计</w:t>
      </w:r>
    </w:p>
    <w:p w14:paraId="0C4CFBCD">
      <w:pPr>
        <w:ind w:firstLine="480"/>
        <w:rPr>
          <w:rFonts w:hint="eastAsia"/>
        </w:rPr>
      </w:pPr>
      <w:r>
        <w:rPr>
          <w:rFonts w:hint="eastAsia"/>
        </w:rPr>
        <w:t>（1）定期用柔软干布擦拭雷达流量计的天线和外壳，清除灰尘、污垢，避免影响信号发射与接收。若有顽固污渍，用湿布蘸温和清洁剂轻轻擦拭，之后擦干。</w:t>
      </w:r>
    </w:p>
    <w:p w14:paraId="006496E8">
      <w:pPr>
        <w:ind w:firstLine="480"/>
        <w:rPr>
          <w:rFonts w:hint="eastAsia"/>
        </w:rPr>
      </w:pPr>
      <w:r>
        <w:rPr>
          <w:rFonts w:hint="eastAsia"/>
        </w:rPr>
        <w:t>（2）检查安装位置是否偏移，确保设备稳固安装在指定位置，且对准测量区域。查看安装支架有无松动、变形，及时紧固或修复。</w:t>
      </w:r>
    </w:p>
    <w:p w14:paraId="2DFDF4EF">
      <w:pPr>
        <w:ind w:firstLine="480"/>
        <w:rPr>
          <w:rFonts w:hint="eastAsia"/>
        </w:rPr>
      </w:pPr>
      <w:r>
        <w:rPr>
          <w:rFonts w:hint="eastAsia"/>
        </w:rPr>
        <w:t>（3）检查连接线缆是否破损、老化，接线处是否松动。若发现问题，及时更换线缆或紧固接线，保证信号传输稳定。</w:t>
      </w:r>
    </w:p>
    <w:p w14:paraId="02AA4694">
      <w:pPr>
        <w:ind w:firstLine="480"/>
        <w:rPr>
          <w:rFonts w:hint="eastAsia"/>
        </w:rPr>
      </w:pPr>
      <w:r>
        <w:rPr>
          <w:rFonts w:hint="eastAsia"/>
        </w:rPr>
        <w:t>（4）定期分析测量数据，观察数据变化趋势。若数据异常波动或与实际不符，排查设备故障或测量环境变化因素。</w:t>
      </w:r>
    </w:p>
    <w:p w14:paraId="59623DC8">
      <w:pPr>
        <w:ind w:firstLine="0" w:firstLineChars="0"/>
        <w:rPr>
          <w:rFonts w:hint="eastAsia"/>
          <w:b/>
          <w:bCs/>
        </w:rPr>
      </w:pPr>
      <w:r>
        <w:rPr>
          <w:rFonts w:hint="eastAsia"/>
          <w:b/>
          <w:bCs/>
        </w:rPr>
        <w:t>井盖异动传感器</w:t>
      </w:r>
    </w:p>
    <w:p w14:paraId="28E90D55">
      <w:pPr>
        <w:ind w:firstLine="480"/>
        <w:rPr>
          <w:rFonts w:hint="eastAsia"/>
        </w:rPr>
      </w:pPr>
      <w:r>
        <w:rPr>
          <w:rFonts w:hint="eastAsia"/>
        </w:rPr>
        <w:t>（1）定期擦拭设备，查看外壳有无破损、变形，及时清理周边杂物。</w:t>
      </w:r>
    </w:p>
    <w:p w14:paraId="0FB14109">
      <w:pPr>
        <w:ind w:firstLine="480"/>
        <w:rPr>
          <w:rFonts w:hint="eastAsia"/>
        </w:rPr>
      </w:pPr>
      <w:r>
        <w:rPr>
          <w:rFonts w:hint="eastAsia"/>
        </w:rPr>
        <w:t>（2）检查设备与井盖、电源及其他部件连接是否稳固，线缆有无磨损、断裂。</w:t>
      </w:r>
    </w:p>
    <w:p w14:paraId="1E18B0DE">
      <w:pPr>
        <w:ind w:firstLine="480"/>
        <w:rPr>
          <w:rFonts w:hint="eastAsia"/>
        </w:rPr>
      </w:pPr>
      <w:r>
        <w:rPr>
          <w:rFonts w:hint="eastAsia"/>
        </w:rPr>
        <w:t>（3）定期触发设备的异动检测功能，检查是否能正常报警，测试通信功能，查看数据传输是否正常。</w:t>
      </w:r>
    </w:p>
    <w:p w14:paraId="3445E9C6">
      <w:pPr>
        <w:ind w:firstLine="0" w:firstLineChars="0"/>
        <w:rPr>
          <w:rFonts w:hint="eastAsia"/>
          <w:b/>
          <w:bCs/>
        </w:rPr>
      </w:pPr>
      <w:r>
        <w:rPr>
          <w:rFonts w:hint="eastAsia"/>
          <w:b/>
          <w:bCs/>
        </w:rPr>
        <w:t>甲烷浓度传感器</w:t>
      </w:r>
    </w:p>
    <w:p w14:paraId="79262273">
      <w:pPr>
        <w:ind w:firstLine="480"/>
        <w:rPr>
          <w:rFonts w:hint="eastAsia"/>
        </w:rPr>
      </w:pPr>
      <w:r>
        <w:rPr>
          <w:rFonts w:hint="eastAsia"/>
        </w:rPr>
        <w:t>（1）利用配套监测系统，实时查看数据波动，判断传感器是否正常工作。若数据异常，初步排查问题。</w:t>
      </w:r>
    </w:p>
    <w:p w14:paraId="47048798">
      <w:pPr>
        <w:ind w:firstLine="480"/>
        <w:rPr>
          <w:rFonts w:hint="eastAsia"/>
        </w:rPr>
      </w:pPr>
      <w:r>
        <w:rPr>
          <w:rFonts w:hint="eastAsia"/>
        </w:rPr>
        <w:t>（2）定期将传感器提升至井口，用校准设备进行快速校准检查，清洁表面可见污垢。</w:t>
      </w:r>
    </w:p>
    <w:p w14:paraId="13D2A8C4">
      <w:pPr>
        <w:ind w:firstLine="480"/>
        <w:rPr>
          <w:rFonts w:hint="eastAsia"/>
        </w:rPr>
      </w:pPr>
      <w:r>
        <w:rPr>
          <w:rFonts w:hint="eastAsia"/>
        </w:rPr>
        <w:t>（3）定期对比历史数据，分析测量趋势，预估传感器性能变化，若发现数据偏差大，准备下井维护。</w:t>
      </w:r>
    </w:p>
    <w:p w14:paraId="13A112D0">
      <w:pPr>
        <w:pStyle w:val="3"/>
        <w:rPr>
          <w:rFonts w:hint="eastAsia"/>
        </w:rPr>
      </w:pPr>
      <w:bookmarkStart w:id="20" w:name="_Toc9648"/>
      <w:bookmarkStart w:id="21" w:name="_Toc27951"/>
      <w:r>
        <w:rPr>
          <w:rFonts w:hint="eastAsia"/>
        </w:rPr>
        <w:t>设备维护注意事项</w:t>
      </w:r>
      <w:bookmarkEnd w:id="20"/>
      <w:bookmarkEnd w:id="21"/>
    </w:p>
    <w:p w14:paraId="255B8477">
      <w:pPr>
        <w:ind w:firstLine="0" w:firstLineChars="0"/>
        <w:rPr>
          <w:rFonts w:hint="eastAsia"/>
          <w:b/>
          <w:bCs/>
        </w:rPr>
      </w:pPr>
      <w:r>
        <w:rPr>
          <w:rFonts w:hint="eastAsia"/>
          <w:b/>
          <w:bCs/>
        </w:rPr>
        <w:t>在线PH传感器</w:t>
      </w:r>
    </w:p>
    <w:p w14:paraId="42F586F9">
      <w:pPr>
        <w:ind w:firstLine="480"/>
        <w:rPr>
          <w:rFonts w:hint="eastAsia"/>
        </w:rPr>
      </w:pPr>
      <w:r>
        <w:rPr>
          <w:rFonts w:hint="eastAsia"/>
        </w:rPr>
        <w:t>（1）用无水酒精擦拭接线端子上的沾污，确保干燥后使用。</w:t>
      </w:r>
    </w:p>
    <w:p w14:paraId="6047CBB5">
      <w:pPr>
        <w:ind w:firstLine="480"/>
        <w:rPr>
          <w:rFonts w:hint="eastAsia"/>
        </w:rPr>
      </w:pPr>
      <w:r>
        <w:rPr>
          <w:rFonts w:hint="eastAsia"/>
        </w:rPr>
        <w:t>（2）勿长期浸泡蒸馏水/蛋白质溶液，远离有机硅油脂。</w:t>
      </w:r>
    </w:p>
    <w:p w14:paraId="3D5EC302">
      <w:pPr>
        <w:ind w:firstLine="480"/>
        <w:rPr>
          <w:rFonts w:hint="eastAsia"/>
        </w:rPr>
      </w:pPr>
      <w:r>
        <w:rPr>
          <w:rFonts w:hint="eastAsia"/>
        </w:rPr>
        <w:t>（3）玻璃膜老化/沉积时，用稀盐酸清洗后水洗，必要时重新标定。</w:t>
      </w:r>
    </w:p>
    <w:p w14:paraId="776BFEE9">
      <w:pPr>
        <w:ind w:firstLine="0" w:firstLineChars="0"/>
        <w:rPr>
          <w:rFonts w:hint="eastAsia"/>
          <w:b/>
          <w:bCs/>
        </w:rPr>
      </w:pPr>
      <w:r>
        <w:rPr>
          <w:rFonts w:hint="eastAsia"/>
          <w:b/>
          <w:bCs/>
        </w:rPr>
        <w:t>在线溶解氧传感器</w:t>
      </w:r>
    </w:p>
    <w:p w14:paraId="051F3306">
      <w:pPr>
        <w:ind w:firstLine="480"/>
        <w:rPr>
          <w:rFonts w:hint="eastAsia"/>
        </w:rPr>
      </w:pPr>
      <w:r>
        <w:rPr>
          <w:rFonts w:hint="eastAsia"/>
        </w:rPr>
        <w:t>（1）传感器含有敏感部件，安装和测量时避免其受到剧烈机械撞击。</w:t>
      </w:r>
    </w:p>
    <w:p w14:paraId="18F522C2">
      <w:pPr>
        <w:ind w:firstLine="480"/>
        <w:rPr>
          <w:rFonts w:hint="eastAsia"/>
        </w:rPr>
      </w:pPr>
      <w:r>
        <w:rPr>
          <w:rFonts w:hint="eastAsia"/>
        </w:rPr>
        <w:t xml:space="preserve">（2）防止荧光帽内表面被阳光暴晒，不要用手触摸荧光膜；未做防水处理的接线端子不能没入水中，避免线缆进水影响设备正常工作。 </w:t>
      </w:r>
    </w:p>
    <w:p w14:paraId="0F431B16">
      <w:pPr>
        <w:ind w:firstLine="0" w:firstLineChars="0"/>
        <w:rPr>
          <w:rFonts w:hint="eastAsia"/>
          <w:b/>
          <w:bCs/>
        </w:rPr>
      </w:pPr>
      <w:r>
        <w:rPr>
          <w:rFonts w:hint="eastAsia"/>
          <w:b/>
          <w:bCs/>
        </w:rPr>
        <w:t>在线电导率传感器</w:t>
      </w:r>
    </w:p>
    <w:p w14:paraId="1C72CDB9">
      <w:pPr>
        <w:ind w:firstLine="480"/>
        <w:rPr>
          <w:rFonts w:hint="eastAsia"/>
        </w:rPr>
      </w:pPr>
      <w:r>
        <w:rPr>
          <w:rFonts w:hint="eastAsia"/>
        </w:rPr>
        <w:t xml:space="preserve">（1）校准与测试时电极需完全浸入标准液（无气泡），距容器底/壁≥2cm。  </w:t>
      </w:r>
    </w:p>
    <w:p w14:paraId="7B4AE48E">
      <w:pPr>
        <w:ind w:firstLine="480"/>
        <w:rPr>
          <w:rFonts w:hint="eastAsia"/>
        </w:rPr>
      </w:pPr>
      <w:r>
        <w:rPr>
          <w:rFonts w:hint="eastAsia"/>
        </w:rPr>
        <w:t xml:space="preserve">（2）石墨电极使用前需用自来水浸泡1小时，闲置时保持湿润。  </w:t>
      </w:r>
    </w:p>
    <w:p w14:paraId="032F1E31">
      <w:pPr>
        <w:ind w:firstLine="480"/>
        <w:rPr>
          <w:rFonts w:hint="eastAsia"/>
        </w:rPr>
      </w:pPr>
      <w:r>
        <w:rPr>
          <w:rFonts w:hint="eastAsia"/>
        </w:rPr>
        <w:t xml:space="preserve">（3） 非防水端子避免浸水，线缆需松弛固定，防止摩擦或断裂。  </w:t>
      </w:r>
    </w:p>
    <w:p w14:paraId="41A5E1FE">
      <w:pPr>
        <w:ind w:firstLine="480"/>
        <w:rPr>
          <w:rFonts w:hint="eastAsia"/>
        </w:rPr>
      </w:pPr>
      <w:r>
        <w:rPr>
          <w:rFonts w:hint="eastAsia"/>
        </w:rPr>
        <w:t xml:space="preserve">（4）避免与有机硅油脂接触。  </w:t>
      </w:r>
    </w:p>
    <w:p w14:paraId="13DB9CDA">
      <w:pPr>
        <w:ind w:firstLine="0" w:firstLineChars="0"/>
        <w:rPr>
          <w:rFonts w:hint="eastAsia"/>
          <w:b/>
          <w:bCs/>
        </w:rPr>
      </w:pPr>
      <w:r>
        <w:rPr>
          <w:rFonts w:hint="eastAsia"/>
          <w:b/>
          <w:bCs/>
        </w:rPr>
        <w:t>在线浊度/悬浮物/水中油传感器</w:t>
      </w:r>
    </w:p>
    <w:p w14:paraId="6B1D1DED">
      <w:pPr>
        <w:ind w:firstLine="480"/>
        <w:rPr>
          <w:rFonts w:hint="eastAsia"/>
        </w:rPr>
      </w:pPr>
      <w:r>
        <w:rPr>
          <w:rFonts w:hint="eastAsia"/>
        </w:rPr>
        <w:t xml:space="preserve">（1）使用时取下保护套，闲置时及时安装，防止探头划伤。  </w:t>
      </w:r>
    </w:p>
    <w:p w14:paraId="5711F8EB">
      <w:pPr>
        <w:ind w:firstLine="480"/>
        <w:rPr>
          <w:rFonts w:hint="eastAsia"/>
        </w:rPr>
      </w:pPr>
      <w:r>
        <w:rPr>
          <w:rFonts w:hint="eastAsia"/>
        </w:rPr>
        <w:t xml:space="preserve">（2）避免探头附着气泡，保持探头离容器底/壁≥100mm。  </w:t>
      </w:r>
    </w:p>
    <w:p w14:paraId="678737E5">
      <w:pPr>
        <w:ind w:firstLine="480"/>
        <w:rPr>
          <w:rFonts w:hint="eastAsia"/>
        </w:rPr>
      </w:pPr>
      <w:r>
        <w:rPr>
          <w:rFonts w:hint="eastAsia"/>
        </w:rPr>
        <w:t xml:space="preserve">（3）避免剧烈撞击，防止光学/电子部件损坏。  </w:t>
      </w:r>
    </w:p>
    <w:p w14:paraId="497834F1">
      <w:pPr>
        <w:ind w:firstLine="480"/>
        <w:rPr>
          <w:rFonts w:hint="eastAsia"/>
        </w:rPr>
      </w:pPr>
      <w:r>
        <w:rPr>
          <w:rFonts w:hint="eastAsia"/>
        </w:rPr>
        <w:t xml:space="preserve">（4）禁止在含荧光物质的容器中测试，防止干扰。  </w:t>
      </w:r>
    </w:p>
    <w:p w14:paraId="2393D8D8">
      <w:pPr>
        <w:ind w:firstLine="0" w:firstLineChars="0"/>
        <w:rPr>
          <w:rFonts w:hint="eastAsia"/>
          <w:b/>
          <w:bCs/>
        </w:rPr>
      </w:pPr>
      <w:r>
        <w:rPr>
          <w:rFonts w:hint="eastAsia"/>
          <w:b/>
          <w:bCs/>
        </w:rPr>
        <w:t>在线透明度传感器</w:t>
      </w:r>
    </w:p>
    <w:p w14:paraId="79F2A165">
      <w:pPr>
        <w:ind w:firstLine="480"/>
        <w:rPr>
          <w:rFonts w:hint="eastAsia"/>
        </w:rPr>
      </w:pPr>
      <w:r>
        <w:rPr>
          <w:rFonts w:hint="eastAsia"/>
        </w:rPr>
        <w:t>（1）测试时避免探头测量区域上附着气泡。</w:t>
      </w:r>
    </w:p>
    <w:p w14:paraId="6C26921B">
      <w:pPr>
        <w:ind w:firstLine="480"/>
        <w:rPr>
          <w:rFonts w:hint="eastAsia"/>
        </w:rPr>
      </w:pPr>
      <w:r>
        <w:rPr>
          <w:rFonts w:hint="eastAsia"/>
        </w:rPr>
        <w:t>（2）测试时探头离容器的底和壁最少100mm以上。</w:t>
      </w:r>
    </w:p>
    <w:p w14:paraId="1EBFFDBD">
      <w:pPr>
        <w:ind w:firstLine="480"/>
        <w:rPr>
          <w:rFonts w:hint="eastAsia"/>
        </w:rPr>
      </w:pPr>
      <w:r>
        <w:rPr>
          <w:rFonts w:hint="eastAsia"/>
        </w:rPr>
        <w:t>（3）传感器中含有敏感的光学部件和电子部件，确保安装或测量时其不要受到剧烈的机械撞击。</w:t>
      </w:r>
    </w:p>
    <w:p w14:paraId="4675ECBD">
      <w:pPr>
        <w:ind w:firstLine="480"/>
        <w:rPr>
          <w:rFonts w:hint="eastAsia"/>
        </w:rPr>
      </w:pPr>
      <w:r>
        <w:rPr>
          <w:rFonts w:hint="eastAsia"/>
        </w:rPr>
        <w:t>（4）避免在含荧光物质的容器中测试。</w:t>
      </w:r>
    </w:p>
    <w:p w14:paraId="3507E787">
      <w:pPr>
        <w:ind w:firstLine="480"/>
        <w:rPr>
          <w:rFonts w:hint="eastAsia"/>
        </w:rPr>
      </w:pPr>
      <w:r>
        <w:rPr>
          <w:rFonts w:hint="eastAsia"/>
        </w:rPr>
        <w:t>（5）未做防水处理的接线端子，不应没入水中，会导致线缆内部进水。传感器正常安装时线缆不应绷紧或与周围硬物摩擦，否则容易使线缆内部电线断裂或表皮破损进水，引起传感器不能正常工作。</w:t>
      </w:r>
    </w:p>
    <w:p w14:paraId="0B49E9DB">
      <w:pPr>
        <w:ind w:firstLine="480"/>
        <w:rPr>
          <w:rFonts w:hint="eastAsia"/>
        </w:rPr>
      </w:pPr>
      <w:r>
        <w:rPr>
          <w:rFonts w:hint="eastAsia"/>
        </w:rPr>
        <w:t>（6）使用12VDC电源供电时，尾线线缆极限长度为150M。若使用线缆超过该长度，建议适当增加电压以保证传感器能正常工作。</w:t>
      </w:r>
    </w:p>
    <w:p w14:paraId="2D9D38CC">
      <w:pPr>
        <w:ind w:firstLine="0" w:firstLineChars="0"/>
        <w:rPr>
          <w:rFonts w:hint="eastAsia"/>
          <w:b/>
          <w:bCs/>
        </w:rPr>
      </w:pPr>
      <w:r>
        <w:rPr>
          <w:rFonts w:hint="eastAsia"/>
          <w:b/>
          <w:bCs/>
        </w:rPr>
        <w:t>在线COD传感器</w:t>
      </w:r>
    </w:p>
    <w:p w14:paraId="0398B378">
      <w:pPr>
        <w:ind w:firstLine="480"/>
        <w:rPr>
          <w:rFonts w:hint="eastAsia"/>
        </w:rPr>
      </w:pPr>
      <w:r>
        <w:rPr>
          <w:rFonts w:hint="eastAsia"/>
        </w:rPr>
        <w:t>（1）水流较急时固定传感器，防止损坏。</w:t>
      </w:r>
    </w:p>
    <w:p w14:paraId="1429AF67">
      <w:pPr>
        <w:ind w:firstLine="480"/>
        <w:rPr>
          <w:rFonts w:hint="eastAsia"/>
        </w:rPr>
      </w:pPr>
      <w:r>
        <w:rPr>
          <w:rFonts w:hint="eastAsia"/>
        </w:rPr>
        <w:t>（2） 禁止用传感器电缆吊装传感器，确保线缆接头紧固。</w:t>
      </w:r>
    </w:p>
    <w:p w14:paraId="1E3ACDB9">
      <w:pPr>
        <w:ind w:firstLine="480"/>
        <w:rPr>
          <w:rFonts w:hint="eastAsia"/>
        </w:rPr>
      </w:pPr>
      <w:r>
        <w:rPr>
          <w:rFonts w:hint="eastAsia"/>
        </w:rPr>
        <w:t>（3） 探头含敏感光学和电子部件，避免受到剧烈机械撞击，且探头内部无需用户维护。</w:t>
      </w:r>
    </w:p>
    <w:p w14:paraId="50F2FABD">
      <w:pPr>
        <w:ind w:firstLine="480"/>
        <w:rPr>
          <w:rFonts w:hint="eastAsia"/>
        </w:rPr>
      </w:pPr>
      <w:r>
        <w:rPr>
          <w:rFonts w:hint="eastAsia"/>
        </w:rPr>
        <w:t>（4）使用中避免对传感器直接施加机械应力。</w:t>
      </w:r>
    </w:p>
    <w:p w14:paraId="1489F7E9">
      <w:pPr>
        <w:ind w:firstLine="480"/>
        <w:rPr>
          <w:rFonts w:hint="eastAsia"/>
        </w:rPr>
      </w:pPr>
      <w:r>
        <w:rPr>
          <w:rFonts w:hint="eastAsia"/>
        </w:rPr>
        <w:t xml:space="preserve">（5）传感器用 12VDC 电源供电时尾线线缆极限长度 150M，超长度需适当增加电压以保证正常工作 。 </w:t>
      </w:r>
    </w:p>
    <w:p w14:paraId="0BF8518E">
      <w:pPr>
        <w:ind w:firstLine="0" w:firstLineChars="0"/>
        <w:rPr>
          <w:rFonts w:hint="eastAsia"/>
          <w:b/>
          <w:bCs/>
        </w:rPr>
      </w:pPr>
      <w:r>
        <w:rPr>
          <w:rFonts w:hint="eastAsia"/>
          <w:b/>
          <w:bCs/>
        </w:rPr>
        <w:t>在线氨氮传感器</w:t>
      </w:r>
    </w:p>
    <w:p w14:paraId="505D78FF">
      <w:pPr>
        <w:ind w:firstLine="480"/>
        <w:rPr>
          <w:rFonts w:hint="eastAsia"/>
        </w:rPr>
      </w:pPr>
      <w:r>
        <w:rPr>
          <w:rFonts w:hint="eastAsia"/>
        </w:rPr>
        <w:t>（1）膜头用去离子水清洗，勿碰伤，测量时距底部至少2cm，敏感膜内无气泡，可轻敲除泡。</w:t>
      </w:r>
    </w:p>
    <w:p w14:paraId="2CF7A242">
      <w:pPr>
        <w:ind w:firstLine="480"/>
        <w:rPr>
          <w:rFonts w:hint="eastAsia"/>
        </w:rPr>
      </w:pPr>
      <w:r>
        <w:rPr>
          <w:rFonts w:hint="eastAsia"/>
        </w:rPr>
        <w:t>（2）避免放腐蚀性、能腐蚀PVC溶液（如强酸），酮类及饱和有机物溶液（如四氢呋喃、蛋白质溶液），强电磁和核辐射环境；不建议在成分复杂液体（如海水、电镀废水）长期放置。</w:t>
      </w:r>
    </w:p>
    <w:p w14:paraId="33188CBA">
      <w:pPr>
        <w:ind w:firstLine="480"/>
        <w:rPr>
          <w:rFonts w:hint="eastAsia"/>
        </w:rPr>
      </w:pPr>
      <w:r>
        <w:rPr>
          <w:rFonts w:hint="eastAsia"/>
        </w:rPr>
        <w:t>（3）检查通讯时，两电极须浸泡在溶液中。</w:t>
      </w:r>
    </w:p>
    <w:p w14:paraId="4FDB91BD">
      <w:pPr>
        <w:ind w:firstLine="480"/>
        <w:rPr>
          <w:rFonts w:hint="eastAsia"/>
        </w:rPr>
      </w:pPr>
      <w:r>
        <w:rPr>
          <w:rFonts w:hint="eastAsia"/>
        </w:rPr>
        <w:t>（4）标液有使用次数限制，1mg/L的2次/瓶、10mg/L的4次/瓶、100mg/L的6次/瓶。</w:t>
      </w:r>
    </w:p>
    <w:p w14:paraId="3572D528">
      <w:pPr>
        <w:ind w:firstLine="480"/>
        <w:rPr>
          <w:rFonts w:hint="eastAsia"/>
        </w:rPr>
      </w:pPr>
      <w:r>
        <w:rPr>
          <w:rFonts w:hint="eastAsia"/>
        </w:rPr>
        <w:t xml:space="preserve">（5）注意保护参比电极外漏白色布条，勿揪出损坏。 </w:t>
      </w:r>
    </w:p>
    <w:p w14:paraId="11681CAD">
      <w:pPr>
        <w:ind w:firstLine="480"/>
        <w:rPr>
          <w:rFonts w:hint="eastAsia"/>
        </w:rPr>
      </w:pPr>
      <w:r>
        <w:rPr>
          <w:rFonts w:hint="eastAsia"/>
        </w:rPr>
        <w:t>（6）防止电极长期浸泡在蒸馏水或蛋白质溶液中，避免与有机硅油脂接触。</w:t>
      </w:r>
    </w:p>
    <w:p w14:paraId="6220D4B7">
      <w:pPr>
        <w:ind w:firstLine="0" w:firstLineChars="0"/>
        <w:rPr>
          <w:rFonts w:hint="eastAsia"/>
          <w:b/>
          <w:bCs/>
        </w:rPr>
      </w:pPr>
      <w:r>
        <w:rPr>
          <w:rFonts w:hint="eastAsia"/>
          <w:b/>
          <w:bCs/>
        </w:rPr>
        <w:t>便携式多参数分析仪：</w:t>
      </w:r>
    </w:p>
    <w:p w14:paraId="208D4F58">
      <w:pPr>
        <w:ind w:firstLine="480"/>
        <w:rPr>
          <w:rFonts w:hint="eastAsia"/>
        </w:rPr>
      </w:pPr>
      <w:r>
        <w:rPr>
          <w:rFonts w:hint="eastAsia"/>
        </w:rPr>
        <w:t>（1）仪器的维修需要专业人员操作，非专业人员请勿自行维修。维修或因其他原因拆卸外壳时必须切断电源。</w:t>
      </w:r>
    </w:p>
    <w:p w14:paraId="682994CB">
      <w:pPr>
        <w:ind w:firstLine="480"/>
        <w:rPr>
          <w:rFonts w:hint="eastAsia"/>
        </w:rPr>
      </w:pPr>
      <w:r>
        <w:rPr>
          <w:rFonts w:hint="eastAsia"/>
        </w:rPr>
        <w:t>（2）使用设备前做好防护措施，避免接触质量控制物、标准样本、废弃液体等可能有生物危害、腐蚀或有毒的物质。使用本仪器配套或推荐的试剂，禁止在强辐射源旁使用设备。</w:t>
      </w:r>
    </w:p>
    <w:p w14:paraId="1E3E27EF">
      <w:pPr>
        <w:ind w:firstLine="480"/>
        <w:rPr>
          <w:rFonts w:hint="eastAsia"/>
        </w:rPr>
      </w:pPr>
      <w:r>
        <w:rPr>
          <w:rFonts w:hint="eastAsia"/>
        </w:rPr>
        <w:t>（3）仪器正常工作环境温度为5℃～40℃，相对湿度30%～80%，需远离强电磁场干扰源，工作场地防尘、防振，空气中无酸、盐等腐蚀性气体。运输时包装完好，防止剧烈冲击、雨淋和暴晒，中转时合理堆放。贮存时放置在阴凉干燥、防湿通风处，不能露天堆放，避免雨雪浸入，贮存运输环境温度 -20℃～ +55℃，相对湿度≤93%，无腐蚀性气体且通风良好。</w:t>
      </w:r>
    </w:p>
    <w:p w14:paraId="518EBCC9">
      <w:pPr>
        <w:ind w:firstLine="480"/>
        <w:rPr>
          <w:rFonts w:hint="eastAsia"/>
        </w:rPr>
      </w:pPr>
      <w:r>
        <w:rPr>
          <w:rFonts w:hint="eastAsia"/>
        </w:rPr>
        <w:t xml:space="preserve">（4）请勿让任何溶剂、油脂类、腐蚀性物质接触仪器。仪器使用期限为6年，效期结束后按规定处理或联系回收，避免污染环境。 </w:t>
      </w:r>
    </w:p>
    <w:p w14:paraId="6BED575D">
      <w:pPr>
        <w:ind w:firstLine="0" w:firstLineChars="0"/>
        <w:rPr>
          <w:rFonts w:hint="eastAsia"/>
          <w:b/>
          <w:bCs/>
        </w:rPr>
      </w:pPr>
      <w:r>
        <w:rPr>
          <w:rFonts w:hint="eastAsia"/>
          <w:b/>
          <w:bCs/>
        </w:rPr>
        <w:t>超声波多普勒流量计</w:t>
      </w:r>
    </w:p>
    <w:p w14:paraId="0B3D7DA7">
      <w:pPr>
        <w:ind w:firstLine="480"/>
        <w:rPr>
          <w:rFonts w:hint="eastAsia"/>
        </w:rPr>
      </w:pPr>
      <w:r>
        <w:rPr>
          <w:rFonts w:hint="eastAsia"/>
        </w:rPr>
        <w:t>（1）严格按操作手册操作，维护时先切断电源，防止触电。</w:t>
      </w:r>
    </w:p>
    <w:p w14:paraId="510A34AD">
      <w:pPr>
        <w:ind w:firstLine="480"/>
        <w:rPr>
          <w:rFonts w:hint="eastAsia"/>
        </w:rPr>
      </w:pPr>
      <w:r>
        <w:rPr>
          <w:rFonts w:hint="eastAsia"/>
        </w:rPr>
        <w:t>（2）避免在强电磁干扰、高温、高湿环境下使用，防止设备受损或测量失准。</w:t>
      </w:r>
    </w:p>
    <w:p w14:paraId="0F93B5DB">
      <w:pPr>
        <w:ind w:firstLine="480"/>
        <w:rPr>
          <w:rFonts w:hint="eastAsia"/>
        </w:rPr>
      </w:pPr>
      <w:r>
        <w:rPr>
          <w:rFonts w:hint="eastAsia"/>
        </w:rPr>
        <w:t>（3）安装和使用中防止设备受剧烈震动，以免损坏内部部件。</w:t>
      </w:r>
    </w:p>
    <w:p w14:paraId="30B44057">
      <w:pPr>
        <w:ind w:firstLine="480"/>
        <w:rPr>
          <w:rFonts w:hint="eastAsia"/>
        </w:rPr>
      </w:pPr>
      <w:r>
        <w:rPr>
          <w:rFonts w:hint="eastAsia"/>
        </w:rPr>
        <w:t xml:space="preserve">（4）设备故障时，由专业人员维修，不可自行拆解。 </w:t>
      </w:r>
    </w:p>
    <w:p w14:paraId="0E1522C6">
      <w:pPr>
        <w:ind w:firstLine="0" w:firstLineChars="0"/>
        <w:rPr>
          <w:rFonts w:hint="eastAsia"/>
          <w:b/>
          <w:bCs/>
        </w:rPr>
      </w:pPr>
      <w:r>
        <w:rPr>
          <w:rFonts w:hint="eastAsia"/>
          <w:b/>
          <w:bCs/>
        </w:rPr>
        <w:t>静压式液位计</w:t>
      </w:r>
    </w:p>
    <w:p w14:paraId="5BE3BF40">
      <w:pPr>
        <w:ind w:firstLine="480"/>
        <w:rPr>
          <w:rFonts w:hint="eastAsia"/>
        </w:rPr>
      </w:pPr>
      <w:r>
        <w:rPr>
          <w:rFonts w:hint="eastAsia"/>
        </w:rPr>
        <w:t>（1）正确连接电源极性，保证供电电压稳定。</w:t>
      </w:r>
    </w:p>
    <w:p w14:paraId="4B2CD25E">
      <w:pPr>
        <w:ind w:firstLine="480"/>
        <w:rPr>
          <w:rFonts w:hint="eastAsia"/>
        </w:rPr>
      </w:pPr>
      <w:r>
        <w:rPr>
          <w:rFonts w:hint="eastAsia"/>
        </w:rPr>
        <w:t>（2）正确设置通信参数，用合适转换器并确保连接无误。</w:t>
      </w:r>
    </w:p>
    <w:p w14:paraId="118F2B01">
      <w:pPr>
        <w:ind w:firstLine="480"/>
        <w:rPr>
          <w:rFonts w:hint="eastAsia"/>
        </w:rPr>
      </w:pPr>
      <w:r>
        <w:rPr>
          <w:rFonts w:hint="eastAsia"/>
        </w:rPr>
        <w:t>（3）校准需技术人员指导，谨慎重置传感器。</w:t>
      </w:r>
    </w:p>
    <w:p w14:paraId="3C718A73">
      <w:pPr>
        <w:ind w:firstLine="480"/>
        <w:rPr>
          <w:rFonts w:hint="eastAsia"/>
        </w:rPr>
      </w:pPr>
      <w:r>
        <w:rPr>
          <w:rFonts w:hint="eastAsia"/>
        </w:rPr>
        <w:t xml:space="preserve">（4）避免设备在恶劣环境长时间暴露，清洁时用软布，勿用腐蚀性清洁剂。 </w:t>
      </w:r>
    </w:p>
    <w:p w14:paraId="6AD92362">
      <w:pPr>
        <w:ind w:firstLine="0" w:firstLineChars="0"/>
        <w:rPr>
          <w:rFonts w:hint="eastAsia"/>
          <w:b/>
          <w:bCs/>
        </w:rPr>
      </w:pPr>
      <w:r>
        <w:rPr>
          <w:rFonts w:hint="eastAsia"/>
          <w:b/>
          <w:bCs/>
        </w:rPr>
        <w:t>超声波雷达流量计/雷达液位计</w:t>
      </w:r>
    </w:p>
    <w:p w14:paraId="272F5CFD">
      <w:pPr>
        <w:ind w:firstLine="480"/>
        <w:rPr>
          <w:rFonts w:hint="eastAsia"/>
        </w:rPr>
      </w:pPr>
      <w:r>
        <w:rPr>
          <w:rFonts w:hint="eastAsia"/>
        </w:rPr>
        <w:t>（1）严格按照操作手册进行操作，维护前切断电源，避免带电操作引发危险。非专业人员不要擅自拆解设备。</w:t>
      </w:r>
    </w:p>
    <w:p w14:paraId="5F0F2F73">
      <w:pPr>
        <w:ind w:firstLine="480"/>
        <w:rPr>
          <w:rFonts w:hint="eastAsia"/>
        </w:rPr>
      </w:pPr>
      <w:r>
        <w:rPr>
          <w:rFonts w:hint="eastAsia"/>
        </w:rPr>
        <w:t>（2）避免设备在强电磁干扰环境下工作，远离大型电机、变压器等设备。同时，做好防水、防晒措施，防止因恶劣天气损坏设备。</w:t>
      </w:r>
    </w:p>
    <w:p w14:paraId="649C2AF0">
      <w:pPr>
        <w:ind w:firstLine="480"/>
        <w:rPr>
          <w:rFonts w:hint="eastAsia"/>
        </w:rPr>
      </w:pPr>
      <w:r>
        <w:rPr>
          <w:rFonts w:hint="eastAsia"/>
        </w:rPr>
        <w:t>（3）按照规定的时间间隔进行校准，使用专业校准设备和方法，确保测量精度。校准过程需由专业人员操作。</w:t>
      </w:r>
    </w:p>
    <w:p w14:paraId="5628230F">
      <w:pPr>
        <w:ind w:firstLine="480"/>
        <w:rPr>
          <w:rFonts w:hint="eastAsia"/>
        </w:rPr>
      </w:pPr>
      <w:r>
        <w:rPr>
          <w:rFonts w:hint="eastAsia"/>
        </w:rPr>
        <w:t xml:space="preserve">（4）设备出现故障时，及时记录故障现象，联系厂家或专业维修人员进行维修，不可自行尝试修复，以免造成更大损坏。 </w:t>
      </w:r>
    </w:p>
    <w:p w14:paraId="5CD5E98A">
      <w:pPr>
        <w:ind w:firstLine="0" w:firstLineChars="0"/>
        <w:rPr>
          <w:rFonts w:hint="eastAsia"/>
          <w:b/>
          <w:bCs/>
        </w:rPr>
      </w:pPr>
      <w:r>
        <w:rPr>
          <w:rFonts w:hint="eastAsia"/>
          <w:b/>
          <w:bCs/>
        </w:rPr>
        <w:t>井盖异动传感器</w:t>
      </w:r>
    </w:p>
    <w:p w14:paraId="156D2CFA">
      <w:pPr>
        <w:ind w:firstLine="480"/>
        <w:rPr>
          <w:rFonts w:hint="eastAsia"/>
        </w:rPr>
      </w:pPr>
      <w:r>
        <w:rPr>
          <w:rFonts w:hint="eastAsia"/>
        </w:rPr>
        <w:t>1）维护时动作要轻，防止碰撞损坏设备，避免重压或尖锐物体刮擦。</w:t>
      </w:r>
    </w:p>
    <w:p w14:paraId="18631E22">
      <w:pPr>
        <w:ind w:firstLine="480"/>
        <w:rPr>
          <w:rFonts w:hint="eastAsia"/>
        </w:rPr>
      </w:pPr>
      <w:r>
        <w:rPr>
          <w:rFonts w:hint="eastAsia"/>
        </w:rPr>
        <w:t>（2）非专业人员勿随意拆卸电气部件，更换电池或维修电路时先切断电源，按规范操作。</w:t>
      </w:r>
    </w:p>
    <w:p w14:paraId="2D87B161">
      <w:pPr>
        <w:ind w:firstLine="480"/>
        <w:rPr>
          <w:rFonts w:hint="eastAsia"/>
        </w:rPr>
      </w:pPr>
      <w:r>
        <w:rPr>
          <w:rFonts w:hint="eastAsia"/>
        </w:rPr>
        <w:t>（3）避免设备在高温、高湿、强电磁干扰环境下长期工作，如遇恶劣天气，事后及时检查设备状况。</w:t>
      </w:r>
    </w:p>
    <w:p w14:paraId="49ACA477">
      <w:pPr>
        <w:ind w:firstLine="480"/>
        <w:rPr>
          <w:rFonts w:hint="eastAsia"/>
        </w:rPr>
      </w:pPr>
      <w:r>
        <w:rPr>
          <w:rFonts w:hint="eastAsia"/>
        </w:rPr>
        <w:t xml:space="preserve">（4）定期备份设备数据，维护过程中保护好设备中的敏感信息，防止数据泄露。 </w:t>
      </w:r>
    </w:p>
    <w:p w14:paraId="7F2E34FB">
      <w:pPr>
        <w:ind w:firstLine="0" w:firstLineChars="0"/>
        <w:rPr>
          <w:rFonts w:hint="eastAsia"/>
          <w:b/>
          <w:bCs/>
        </w:rPr>
      </w:pPr>
      <w:r>
        <w:rPr>
          <w:rFonts w:hint="eastAsia"/>
          <w:b/>
          <w:bCs/>
        </w:rPr>
        <w:t>甲烷浓度传感器</w:t>
      </w:r>
    </w:p>
    <w:p w14:paraId="2AB37387">
      <w:pPr>
        <w:ind w:firstLine="480"/>
        <w:rPr>
          <w:rFonts w:hint="eastAsia"/>
        </w:rPr>
      </w:pPr>
      <w:r>
        <w:rPr>
          <w:rFonts w:hint="eastAsia"/>
        </w:rPr>
        <w:t>（1）下井维护前，严格检测井下气体，佩戴专业防护装备，遵循安全操作规程。</w:t>
      </w:r>
    </w:p>
    <w:p w14:paraId="4163BCB6">
      <w:pPr>
        <w:ind w:firstLine="480"/>
        <w:rPr>
          <w:rFonts w:hint="eastAsia"/>
        </w:rPr>
      </w:pPr>
      <w:r>
        <w:rPr>
          <w:rFonts w:hint="eastAsia"/>
        </w:rPr>
        <w:t>（2）更换部件时，确保型号匹配、安装正确。</w:t>
      </w:r>
    </w:p>
    <w:p w14:paraId="2A4B7493">
      <w:pPr>
        <w:ind w:firstLine="480"/>
        <w:rPr>
          <w:rFonts w:hint="eastAsia"/>
        </w:rPr>
      </w:pPr>
      <w:r>
        <w:rPr>
          <w:rFonts w:hint="eastAsia"/>
        </w:rPr>
        <w:t xml:space="preserve">（3）详细记录每次维护数据，包括校准结果、部件更换情况等，便于追溯问题和评估设备状态。 </w:t>
      </w:r>
    </w:p>
    <w:p w14:paraId="2BC3F8CE">
      <w:pPr>
        <w:ind w:firstLine="480"/>
        <w:rPr>
          <w:rFonts w:hint="eastAsia"/>
        </w:rPr>
      </w:pPr>
    </w:p>
    <w:p w14:paraId="182CC2AB">
      <w:pPr>
        <w:ind w:firstLine="480"/>
        <w:rPr>
          <w:rFonts w:hint="eastAsia"/>
        </w:rPr>
      </w:pPr>
    </w:p>
    <w:p w14:paraId="0834C6B5">
      <w:pPr>
        <w:pStyle w:val="2"/>
        <w:rPr>
          <w:rFonts w:hint="eastAsia"/>
        </w:rPr>
      </w:pPr>
      <w:bookmarkStart w:id="22" w:name="_Toc21337"/>
      <w:bookmarkStart w:id="23" w:name="_Toc18219"/>
      <w:r>
        <w:rPr>
          <w:rFonts w:hint="eastAsia"/>
        </w:rPr>
        <w:t>案例展示</w:t>
      </w:r>
      <w:bookmarkEnd w:id="22"/>
      <w:bookmarkEnd w:id="23"/>
    </w:p>
    <w:p w14:paraId="6BB7C426">
      <w:pPr>
        <w:ind w:firstLine="480"/>
        <w:rPr>
          <w:rFonts w:hint="eastAsia"/>
        </w:rPr>
      </w:pPr>
      <w:r>
        <w:rPr>
          <w:rFonts w:hint="eastAsia"/>
        </w:rPr>
        <w:t>广州某市区地下管网监测实施：</w:t>
      </w:r>
    </w:p>
    <w:p w14:paraId="03ECE111">
      <w:pPr>
        <w:ind w:firstLine="482"/>
        <w:rPr>
          <w:rFonts w:hint="eastAsia"/>
          <w:b/>
          <w:bCs/>
        </w:rPr>
      </w:pPr>
      <w:r>
        <w:rPr>
          <w:b/>
          <w:bCs/>
        </w:rPr>
        <w:drawing>
          <wp:inline distT="0" distB="0" distL="114300" distR="114300">
            <wp:extent cx="2454910" cy="3275330"/>
            <wp:effectExtent l="0" t="0" r="8890" b="1270"/>
            <wp:docPr id="10" name="图片 10" descr="(CV~[_8)_{EV1)GMX6M(S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V~[_8)_{EV1)GMX6M(SMY"/>
                    <pic:cNvPicPr>
                      <a:picLocks noChangeAspect="1"/>
                    </pic:cNvPicPr>
                  </pic:nvPicPr>
                  <pic:blipFill>
                    <a:blip r:embed="rId35"/>
                    <a:stretch>
                      <a:fillRect/>
                    </a:stretch>
                  </pic:blipFill>
                  <pic:spPr>
                    <a:xfrm>
                      <a:off x="0" y="0"/>
                      <a:ext cx="2454910" cy="3275330"/>
                    </a:xfrm>
                    <a:prstGeom prst="rect">
                      <a:avLst/>
                    </a:prstGeom>
                  </pic:spPr>
                </pic:pic>
              </a:graphicData>
            </a:graphic>
          </wp:inline>
        </w:drawing>
      </w:r>
      <w:r>
        <w:rPr>
          <w:b/>
          <w:bCs/>
        </w:rPr>
        <w:drawing>
          <wp:inline distT="0" distB="0" distL="114300" distR="114300">
            <wp:extent cx="2455545" cy="3275965"/>
            <wp:effectExtent l="0" t="0" r="8255" b="635"/>
            <wp:docPr id="5" name="图片 5" descr="[KS(42J2ZNWI2V7CCAZJX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KS(42J2ZNWI2V7CCAZJXDE"/>
                    <pic:cNvPicPr>
                      <a:picLocks noChangeAspect="1"/>
                    </pic:cNvPicPr>
                  </pic:nvPicPr>
                  <pic:blipFill>
                    <a:blip r:embed="rId36"/>
                    <a:stretch>
                      <a:fillRect/>
                    </a:stretch>
                  </pic:blipFill>
                  <pic:spPr>
                    <a:xfrm>
                      <a:off x="0" y="0"/>
                      <a:ext cx="2455545" cy="3275965"/>
                    </a:xfrm>
                    <a:prstGeom prst="rect">
                      <a:avLst/>
                    </a:prstGeom>
                  </pic:spPr>
                </pic:pic>
              </a:graphicData>
            </a:graphic>
          </wp:inline>
        </w:drawing>
      </w:r>
    </w:p>
    <w:p w14:paraId="3182F503">
      <w:pPr>
        <w:ind w:firstLine="480"/>
        <w:rPr>
          <w:rFonts w:hint="eastAsia"/>
        </w:rPr>
      </w:pPr>
      <w:r>
        <w:rPr>
          <w:rFonts w:hint="eastAsia"/>
        </w:rPr>
        <w:t>贵州某市区案例：</w:t>
      </w:r>
    </w:p>
    <w:p w14:paraId="07FE3189">
      <w:pPr>
        <w:ind w:firstLine="480"/>
        <w:rPr>
          <w:rFonts w:hint="eastAsia"/>
        </w:rPr>
      </w:pPr>
      <w:r>
        <w:drawing>
          <wp:inline distT="0" distB="0" distL="114300" distR="114300">
            <wp:extent cx="2381885" cy="3176905"/>
            <wp:effectExtent l="0" t="0" r="5715" b="10795"/>
            <wp:docPr id="11" name="图片 11" descr="68208f124c71171c7ae95c8bb807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8208f124c71171c7ae95c8bb807338"/>
                    <pic:cNvPicPr>
                      <a:picLocks noChangeAspect="1"/>
                    </pic:cNvPicPr>
                  </pic:nvPicPr>
                  <pic:blipFill>
                    <a:blip r:embed="rId37"/>
                    <a:stretch>
                      <a:fillRect/>
                    </a:stretch>
                  </pic:blipFill>
                  <pic:spPr>
                    <a:xfrm>
                      <a:off x="0" y="0"/>
                      <a:ext cx="2381885" cy="3176905"/>
                    </a:xfrm>
                    <a:prstGeom prst="rect">
                      <a:avLst/>
                    </a:prstGeom>
                  </pic:spPr>
                </pic:pic>
              </a:graphicData>
            </a:graphic>
          </wp:inline>
        </w:drawing>
      </w:r>
      <w:r>
        <w:drawing>
          <wp:inline distT="0" distB="0" distL="114300" distR="114300">
            <wp:extent cx="2517775" cy="3164205"/>
            <wp:effectExtent l="0" t="0" r="9525" b="10795"/>
            <wp:docPr id="12" name="图片 12" descr="5632e983a4fc2a22e08a358170c92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632e983a4fc2a22e08a358170c922d"/>
                    <pic:cNvPicPr>
                      <a:picLocks noChangeAspect="1"/>
                    </pic:cNvPicPr>
                  </pic:nvPicPr>
                  <pic:blipFill>
                    <a:blip r:embed="rId38"/>
                    <a:stretch>
                      <a:fillRect/>
                    </a:stretch>
                  </pic:blipFill>
                  <pic:spPr>
                    <a:xfrm>
                      <a:off x="0" y="0"/>
                      <a:ext cx="2517775" cy="3164205"/>
                    </a:xfrm>
                    <a:prstGeom prst="rect">
                      <a:avLst/>
                    </a:prstGeom>
                  </pic:spPr>
                </pic:pic>
              </a:graphicData>
            </a:graphic>
          </wp:inline>
        </w:drawing>
      </w:r>
    </w:p>
    <w:p w14:paraId="3DBF0626">
      <w:pPr>
        <w:ind w:firstLine="480"/>
        <w:rPr>
          <w:rFonts w:hint="eastAsia"/>
        </w:rPr>
      </w:pPr>
    </w:p>
    <w:p w14:paraId="645BAE2E">
      <w:pPr>
        <w:ind w:firstLine="480"/>
        <w:rPr>
          <w:rFonts w:hint="eastAsia"/>
        </w:rPr>
      </w:pPr>
      <w:r>
        <w:rPr>
          <w:rFonts w:hint="eastAsia"/>
        </w:rPr>
        <w:t>湖南长沙某市区案例：</w:t>
      </w:r>
    </w:p>
    <w:p w14:paraId="2C35F467">
      <w:pPr>
        <w:ind w:firstLine="480"/>
        <w:jc w:val="right"/>
        <w:rPr>
          <w:rFonts w:hint="eastAsia"/>
        </w:rPr>
      </w:pPr>
      <w:r>
        <w:drawing>
          <wp:inline distT="0" distB="0" distL="114300" distR="114300">
            <wp:extent cx="2470785" cy="1852930"/>
            <wp:effectExtent l="0" t="0" r="13335" b="6350"/>
            <wp:docPr id="14" name="图片 14" descr="4bf81cb9d7de2abca1e3bc7ba3d3f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bf81cb9d7de2abca1e3bc7ba3d3fc3"/>
                    <pic:cNvPicPr>
                      <a:picLocks noChangeAspect="1"/>
                    </pic:cNvPicPr>
                  </pic:nvPicPr>
                  <pic:blipFill>
                    <a:blip r:embed="rId39"/>
                    <a:stretch>
                      <a:fillRect/>
                    </a:stretch>
                  </pic:blipFill>
                  <pic:spPr>
                    <a:xfrm>
                      <a:off x="0" y="0"/>
                      <a:ext cx="2470785" cy="1852930"/>
                    </a:xfrm>
                    <a:prstGeom prst="rect">
                      <a:avLst/>
                    </a:prstGeom>
                  </pic:spPr>
                </pic:pic>
              </a:graphicData>
            </a:graphic>
          </wp:inline>
        </w:drawing>
      </w:r>
      <w:r>
        <w:drawing>
          <wp:inline distT="0" distB="0" distL="114300" distR="114300">
            <wp:extent cx="2432685" cy="1824990"/>
            <wp:effectExtent l="0" t="0" r="5715" b="3810"/>
            <wp:docPr id="8" name="图片 8" descr="bc608d6155659c22c8414101ae8b1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c608d6155659c22c8414101ae8b1f3"/>
                    <pic:cNvPicPr>
                      <a:picLocks noChangeAspect="1"/>
                    </pic:cNvPicPr>
                  </pic:nvPicPr>
                  <pic:blipFill>
                    <a:blip r:embed="rId40"/>
                    <a:stretch>
                      <a:fillRect/>
                    </a:stretch>
                  </pic:blipFill>
                  <pic:spPr>
                    <a:xfrm>
                      <a:off x="0" y="0"/>
                      <a:ext cx="2432685" cy="1824990"/>
                    </a:xfrm>
                    <a:prstGeom prst="rect">
                      <a:avLst/>
                    </a:prstGeom>
                  </pic:spPr>
                </pic:pic>
              </a:graphicData>
            </a:graphic>
          </wp:inline>
        </w:drawing>
      </w:r>
    </w:p>
    <w:p w14:paraId="2CEDD728">
      <w:pPr>
        <w:ind w:firstLine="480"/>
        <w:jc w:val="left"/>
        <w:rPr>
          <w:rFonts w:hint="eastAsia"/>
        </w:rPr>
      </w:pPr>
      <w:r>
        <w:drawing>
          <wp:inline distT="0" distB="0" distL="114300" distR="114300">
            <wp:extent cx="2472055" cy="2790825"/>
            <wp:effectExtent l="0" t="0" r="12065" b="13335"/>
            <wp:docPr id="9" name="图片 9" descr="bf0df5eadcd56992a8f7dcd049580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bf0df5eadcd56992a8f7dcd049580ae"/>
                    <pic:cNvPicPr>
                      <a:picLocks noChangeAspect="1"/>
                    </pic:cNvPicPr>
                  </pic:nvPicPr>
                  <pic:blipFill>
                    <a:blip r:embed="rId41"/>
                    <a:stretch>
                      <a:fillRect/>
                    </a:stretch>
                  </pic:blipFill>
                  <pic:spPr>
                    <a:xfrm>
                      <a:off x="0" y="0"/>
                      <a:ext cx="2472055" cy="2790825"/>
                    </a:xfrm>
                    <a:prstGeom prst="rect">
                      <a:avLst/>
                    </a:prstGeom>
                  </pic:spPr>
                </pic:pic>
              </a:graphicData>
            </a:graphic>
          </wp:inline>
        </w:drawing>
      </w:r>
      <w:r>
        <w:drawing>
          <wp:inline distT="0" distB="0" distL="114300" distR="114300">
            <wp:extent cx="2306955" cy="2804795"/>
            <wp:effectExtent l="0" t="0" r="9525" b="14605"/>
            <wp:docPr id="16" name="图片 16" descr="b8b7de16ffbf4285557d793b0752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8b7de16ffbf4285557d793b0752bab"/>
                    <pic:cNvPicPr>
                      <a:picLocks noChangeAspect="1"/>
                    </pic:cNvPicPr>
                  </pic:nvPicPr>
                  <pic:blipFill>
                    <a:blip r:embed="rId42"/>
                    <a:stretch>
                      <a:fillRect/>
                    </a:stretch>
                  </pic:blipFill>
                  <pic:spPr>
                    <a:xfrm>
                      <a:off x="0" y="0"/>
                      <a:ext cx="2306955" cy="280479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Times">
    <w:altName w:val="Times New Roman"/>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7AE04B">
    <w:pPr>
      <w:pStyle w:val="12"/>
      <w:ind w:firstLine="360"/>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B5FE7E">
    <w:pPr>
      <w:pStyle w:val="12"/>
      <w:ind w:firstLine="360"/>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6837E">
    <w:pPr>
      <w:pStyle w:val="12"/>
      <w:ind w:firstLine="360"/>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0142F">
    <w:pPr>
      <w:pStyle w:val="12"/>
      <w:ind w:firstLine="360"/>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04914">
    <w:pPr>
      <w:pStyle w:val="13"/>
      <w:pBdr>
        <w:bottom w:val="single" w:color="auto" w:sz="4" w:space="0"/>
      </w:pBdr>
      <w:ind w:firstLine="360"/>
      <w:jc w:val="left"/>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39FCD">
    <w:pPr>
      <w:pStyle w:val="13"/>
      <w:ind w:firstLine="360"/>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94F8F">
    <w:pPr>
      <w:pStyle w:val="13"/>
      <w:ind w:firstLine="360"/>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34A35">
    <w:pPr>
      <w:pStyle w:val="13"/>
      <w:pBdr>
        <w:bottom w:val="single" w:color="auto" w:sz="4" w:space="0"/>
      </w:pBdr>
      <w:ind w:firstLine="360"/>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8723E2"/>
    <w:multiLevelType w:val="singleLevel"/>
    <w:tmpl w:val="E78723E2"/>
    <w:lvl w:ilvl="0" w:tentative="0">
      <w:start w:val="2"/>
      <w:numFmt w:val="decimal"/>
      <w:suff w:val="nothing"/>
      <w:lvlText w:val="（%1）"/>
      <w:lvlJc w:val="left"/>
    </w:lvl>
  </w:abstractNum>
  <w:abstractNum w:abstractNumId="1">
    <w:nsid w:val="1E54C0CB"/>
    <w:multiLevelType w:val="multilevel"/>
    <w:tmpl w:val="1E54C0CB"/>
    <w:lvl w:ilvl="0" w:tentative="0">
      <w:start w:val="1"/>
      <w:numFmt w:val="chineseCounting"/>
      <w:pStyle w:val="2"/>
      <w:suff w:val="nothing"/>
      <w:lvlText w:val="%1、"/>
      <w:lvlJc w:val="left"/>
      <w:pPr>
        <w:tabs>
          <w:tab w:val="left" w:pos="420"/>
        </w:tabs>
        <w:ind w:left="432" w:hanging="432"/>
      </w:pPr>
      <w:rPr>
        <w:rFonts w:hint="eastAsia"/>
      </w:rPr>
    </w:lvl>
    <w:lvl w:ilvl="1" w:tentative="0">
      <w:start w:val="1"/>
      <w:numFmt w:val="decimal"/>
      <w:pStyle w:val="3"/>
      <w:isLgl/>
      <w:lvlText w:val="%1.%2."/>
      <w:lvlJc w:val="left"/>
      <w:pPr>
        <w:tabs>
          <w:tab w:val="left" w:pos="420"/>
        </w:tabs>
        <w:ind w:left="575" w:hanging="575"/>
      </w:pPr>
      <w:rPr>
        <w:rFonts w:hint="eastAsia"/>
      </w:rPr>
    </w:lvl>
    <w:lvl w:ilvl="2" w:tentative="0">
      <w:start w:val="1"/>
      <w:numFmt w:val="decimal"/>
      <w:pStyle w:val="4"/>
      <w:isLgl/>
      <w:lvlText w:val="%1.%2.%3."/>
      <w:lvlJc w:val="left"/>
      <w:pPr>
        <w:ind w:left="720" w:hanging="720"/>
      </w:pPr>
      <w:rPr>
        <w:rFonts w:hint="eastAsia"/>
      </w:rPr>
    </w:lvl>
    <w:lvl w:ilvl="3" w:tentative="0">
      <w:start w:val="1"/>
      <w:numFmt w:val="decimal"/>
      <w:pStyle w:val="5"/>
      <w:isLgl/>
      <w:lvlText w:val="%1.%2.%3.%4."/>
      <w:lvlJc w:val="left"/>
      <w:pPr>
        <w:ind w:left="864" w:hanging="864"/>
      </w:pPr>
      <w:rPr>
        <w:rFonts w:hint="eastAsia"/>
      </w:rPr>
    </w:lvl>
    <w:lvl w:ilvl="4" w:tentative="0">
      <w:start w:val="1"/>
      <w:numFmt w:val="decimal"/>
      <w:pStyle w:val="6"/>
      <w:isLgl/>
      <w:lvlText w:val="%1.%2.%3.%4.%5."/>
      <w:lvlJc w:val="left"/>
      <w:pPr>
        <w:ind w:left="1008" w:hanging="1008"/>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ocumentProtection w:enforcement="0"/>
  <w:defaultTabStop w:val="420"/>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3CB"/>
    <w:rsid w:val="0000331B"/>
    <w:rsid w:val="000E70C4"/>
    <w:rsid w:val="00216A3B"/>
    <w:rsid w:val="002438FD"/>
    <w:rsid w:val="00286A26"/>
    <w:rsid w:val="003B326D"/>
    <w:rsid w:val="00491CB2"/>
    <w:rsid w:val="008753CB"/>
    <w:rsid w:val="008D7448"/>
    <w:rsid w:val="00A10114"/>
    <w:rsid w:val="00A30227"/>
    <w:rsid w:val="00B13403"/>
    <w:rsid w:val="00BA4BC8"/>
    <w:rsid w:val="00D22B46"/>
    <w:rsid w:val="00DF00DE"/>
    <w:rsid w:val="00F56878"/>
    <w:rsid w:val="0486022F"/>
    <w:rsid w:val="0728596A"/>
    <w:rsid w:val="08AC6819"/>
    <w:rsid w:val="09DF435C"/>
    <w:rsid w:val="0B9E3E9D"/>
    <w:rsid w:val="0C2F1549"/>
    <w:rsid w:val="0CF05FA0"/>
    <w:rsid w:val="0E060087"/>
    <w:rsid w:val="0E2F3E86"/>
    <w:rsid w:val="11F12DFD"/>
    <w:rsid w:val="12AE6653"/>
    <w:rsid w:val="1456008E"/>
    <w:rsid w:val="149D2851"/>
    <w:rsid w:val="15093915"/>
    <w:rsid w:val="15644E43"/>
    <w:rsid w:val="158277D7"/>
    <w:rsid w:val="15FB79DC"/>
    <w:rsid w:val="17076D19"/>
    <w:rsid w:val="18E13BCB"/>
    <w:rsid w:val="1997655F"/>
    <w:rsid w:val="1A7D244F"/>
    <w:rsid w:val="1D136F03"/>
    <w:rsid w:val="1DA76636"/>
    <w:rsid w:val="1FB55F07"/>
    <w:rsid w:val="1FE35C4B"/>
    <w:rsid w:val="21154D5A"/>
    <w:rsid w:val="226D4721"/>
    <w:rsid w:val="22FA5320"/>
    <w:rsid w:val="2425479C"/>
    <w:rsid w:val="248546F8"/>
    <w:rsid w:val="249B7324"/>
    <w:rsid w:val="25E76B6C"/>
    <w:rsid w:val="275F6D2E"/>
    <w:rsid w:val="28333D17"/>
    <w:rsid w:val="28AF7842"/>
    <w:rsid w:val="2A6308E4"/>
    <w:rsid w:val="2D03015C"/>
    <w:rsid w:val="2E0E0B66"/>
    <w:rsid w:val="2E8F766D"/>
    <w:rsid w:val="303B1DC8"/>
    <w:rsid w:val="305D4027"/>
    <w:rsid w:val="3078676B"/>
    <w:rsid w:val="31B2118C"/>
    <w:rsid w:val="32F31EAA"/>
    <w:rsid w:val="33490129"/>
    <w:rsid w:val="3546508A"/>
    <w:rsid w:val="37E3518C"/>
    <w:rsid w:val="3CAD2E9B"/>
    <w:rsid w:val="3E2B12C1"/>
    <w:rsid w:val="416830A7"/>
    <w:rsid w:val="41DB2FFE"/>
    <w:rsid w:val="41E23AAD"/>
    <w:rsid w:val="41E9571B"/>
    <w:rsid w:val="4283171C"/>
    <w:rsid w:val="45684BA8"/>
    <w:rsid w:val="45844BC2"/>
    <w:rsid w:val="45C06792"/>
    <w:rsid w:val="499C3073"/>
    <w:rsid w:val="4BD016F9"/>
    <w:rsid w:val="4DA8648A"/>
    <w:rsid w:val="511E6A63"/>
    <w:rsid w:val="52416EAD"/>
    <w:rsid w:val="56551179"/>
    <w:rsid w:val="58BA30DA"/>
    <w:rsid w:val="5A9164F8"/>
    <w:rsid w:val="5BE53406"/>
    <w:rsid w:val="5C2514E6"/>
    <w:rsid w:val="5E856373"/>
    <w:rsid w:val="5F3F29C6"/>
    <w:rsid w:val="606700E4"/>
    <w:rsid w:val="611F660B"/>
    <w:rsid w:val="636B69F0"/>
    <w:rsid w:val="64A07A63"/>
    <w:rsid w:val="67917192"/>
    <w:rsid w:val="687F5BE1"/>
    <w:rsid w:val="6B0F149F"/>
    <w:rsid w:val="6C2E3BA6"/>
    <w:rsid w:val="6D317DF2"/>
    <w:rsid w:val="6D364417"/>
    <w:rsid w:val="6D661494"/>
    <w:rsid w:val="6F450D9E"/>
    <w:rsid w:val="70EB02B8"/>
    <w:rsid w:val="71535E5D"/>
    <w:rsid w:val="726447C6"/>
    <w:rsid w:val="72DF3E4C"/>
    <w:rsid w:val="74B44E65"/>
    <w:rsid w:val="75310364"/>
    <w:rsid w:val="7635310B"/>
    <w:rsid w:val="77A933BD"/>
    <w:rsid w:val="77CC1097"/>
    <w:rsid w:val="784B788E"/>
    <w:rsid w:val="799F35BE"/>
    <w:rsid w:val="7AB43E11"/>
    <w:rsid w:val="7AD85D51"/>
    <w:rsid w:val="7B5B0730"/>
    <w:rsid w:val="7BB265A2"/>
    <w:rsid w:val="7C376AA7"/>
    <w:rsid w:val="7C5C650E"/>
    <w:rsid w:val="7EA1645A"/>
    <w:rsid w:val="7F8B26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宋体" w:hAnsi="宋体" w:eastAsia="宋体" w:cs="宋体"/>
      <w:kern w:val="2"/>
      <w:sz w:val="24"/>
      <w:szCs w:val="24"/>
      <w:lang w:val="en-US" w:eastAsia="zh-CN" w:bidi="ar-SA"/>
    </w:rPr>
  </w:style>
  <w:style w:type="paragraph" w:styleId="2">
    <w:name w:val="heading 1"/>
    <w:basedOn w:val="1"/>
    <w:next w:val="1"/>
    <w:link w:val="24"/>
    <w:qFormat/>
    <w:uiPriority w:val="9"/>
    <w:pPr>
      <w:keepNext/>
      <w:keepLines/>
      <w:numPr>
        <w:ilvl w:val="0"/>
        <w:numId w:val="1"/>
      </w:numPr>
      <w:ind w:firstLineChars="0"/>
      <w:jc w:val="left"/>
      <w:outlineLvl w:val="0"/>
    </w:pPr>
    <w:rPr>
      <w:b/>
      <w:sz w:val="36"/>
      <w:szCs w:val="32"/>
    </w:rPr>
  </w:style>
  <w:style w:type="paragraph" w:styleId="3">
    <w:name w:val="heading 2"/>
    <w:basedOn w:val="1"/>
    <w:next w:val="1"/>
    <w:link w:val="25"/>
    <w:unhideWhenUsed/>
    <w:qFormat/>
    <w:uiPriority w:val="9"/>
    <w:pPr>
      <w:keepNext/>
      <w:keepLines/>
      <w:numPr>
        <w:ilvl w:val="1"/>
        <w:numId w:val="1"/>
      </w:numPr>
      <w:ind w:firstLineChars="0"/>
      <w:jc w:val="left"/>
      <w:outlineLvl w:val="1"/>
    </w:pPr>
    <w:rPr>
      <w:b/>
      <w:sz w:val="32"/>
      <w:szCs w:val="30"/>
    </w:rPr>
  </w:style>
  <w:style w:type="paragraph" w:styleId="4">
    <w:name w:val="heading 3"/>
    <w:basedOn w:val="1"/>
    <w:next w:val="1"/>
    <w:link w:val="26"/>
    <w:unhideWhenUsed/>
    <w:qFormat/>
    <w:uiPriority w:val="9"/>
    <w:pPr>
      <w:keepNext/>
      <w:keepLines/>
      <w:numPr>
        <w:ilvl w:val="2"/>
        <w:numId w:val="1"/>
      </w:numPr>
      <w:ind w:firstLine="0" w:firstLineChars="0"/>
      <w:jc w:val="left"/>
      <w:outlineLvl w:val="2"/>
    </w:pPr>
    <w:rPr>
      <w:b/>
      <w:sz w:val="30"/>
      <w:szCs w:val="32"/>
    </w:rPr>
  </w:style>
  <w:style w:type="paragraph" w:styleId="5">
    <w:name w:val="heading 4"/>
    <w:basedOn w:val="1"/>
    <w:next w:val="1"/>
    <w:link w:val="27"/>
    <w:unhideWhenUsed/>
    <w:qFormat/>
    <w:uiPriority w:val="9"/>
    <w:pPr>
      <w:keepNext/>
      <w:keepLines/>
      <w:numPr>
        <w:ilvl w:val="3"/>
        <w:numId w:val="1"/>
      </w:numPr>
      <w:ind w:left="0" w:firstLine="720"/>
      <w:outlineLvl w:val="3"/>
    </w:pPr>
    <w:rPr>
      <w:rFonts w:cstheme="majorBidi"/>
      <w:b/>
      <w:sz w:val="28"/>
      <w:szCs w:val="28"/>
    </w:rPr>
  </w:style>
  <w:style w:type="paragraph" w:styleId="6">
    <w:name w:val="heading 5"/>
    <w:basedOn w:val="5"/>
    <w:next w:val="1"/>
    <w:link w:val="28"/>
    <w:semiHidden/>
    <w:unhideWhenUsed/>
    <w:qFormat/>
    <w:uiPriority w:val="9"/>
    <w:pPr>
      <w:numPr>
        <w:ilvl w:val="4"/>
      </w:numPr>
      <w:spacing w:before="80" w:after="40"/>
      <w:ind w:firstLineChars="0"/>
      <w:outlineLvl w:val="4"/>
    </w:pPr>
  </w:style>
  <w:style w:type="paragraph" w:styleId="7">
    <w:name w:val="heading 6"/>
    <w:basedOn w:val="1"/>
    <w:next w:val="1"/>
    <w:link w:val="29"/>
    <w:semiHidden/>
    <w:unhideWhenUsed/>
    <w:qFormat/>
    <w:uiPriority w:val="9"/>
    <w:pPr>
      <w:keepNext/>
      <w:keepLines/>
      <w:numPr>
        <w:ilvl w:val="5"/>
        <w:numId w:val="1"/>
      </w:numPr>
      <w:spacing w:before="40"/>
      <w:ind w:firstLineChars="0"/>
      <w:outlineLvl w:val="5"/>
    </w:pPr>
    <w:rPr>
      <w:rFonts w:cstheme="majorBidi"/>
      <w:b/>
      <w:bCs/>
      <w:color w:val="104862" w:themeColor="accent1" w:themeShade="BF"/>
    </w:rPr>
  </w:style>
  <w:style w:type="paragraph" w:styleId="8">
    <w:name w:val="heading 7"/>
    <w:basedOn w:val="1"/>
    <w:next w:val="1"/>
    <w:link w:val="30"/>
    <w:semiHidden/>
    <w:unhideWhenUsed/>
    <w:qFormat/>
    <w:uiPriority w:val="9"/>
    <w:pPr>
      <w:keepNext/>
      <w:keepLines/>
      <w:numPr>
        <w:ilvl w:val="6"/>
        <w:numId w:val="1"/>
      </w:numPr>
      <w:spacing w:before="40"/>
      <w:ind w:firstLineChars="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1"/>
    <w:semiHidden/>
    <w:unhideWhenUsed/>
    <w:qFormat/>
    <w:uiPriority w:val="9"/>
    <w:pPr>
      <w:keepNext/>
      <w:keepLines/>
      <w:numPr>
        <w:ilvl w:val="7"/>
        <w:numId w:val="1"/>
      </w:numPr>
      <w:ind w:firstLineChars="0"/>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2"/>
    <w:semiHidden/>
    <w:unhideWhenUsed/>
    <w:qFormat/>
    <w:uiPriority w:val="9"/>
    <w:pPr>
      <w:keepNext/>
      <w:keepLines/>
      <w:numPr>
        <w:ilvl w:val="8"/>
        <w:numId w:val="1"/>
      </w:numPr>
      <w:ind w:firstLineChars="0"/>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toc 3"/>
    <w:basedOn w:val="1"/>
    <w:next w:val="1"/>
    <w:semiHidden/>
    <w:unhideWhenUsed/>
    <w:qFormat/>
    <w:uiPriority w:val="39"/>
    <w:pPr>
      <w:ind w:left="840" w:leftChars="400"/>
    </w:pPr>
  </w:style>
  <w:style w:type="paragraph" w:styleId="12">
    <w:name w:val="footer"/>
    <w:basedOn w:val="1"/>
    <w:link w:val="42"/>
    <w:unhideWhenUsed/>
    <w:qFormat/>
    <w:uiPriority w:val="99"/>
    <w:pPr>
      <w:tabs>
        <w:tab w:val="center" w:pos="4153"/>
        <w:tab w:val="right" w:pos="8306"/>
      </w:tabs>
      <w:snapToGrid w:val="0"/>
      <w:jc w:val="left"/>
    </w:pPr>
    <w:rPr>
      <w:sz w:val="18"/>
      <w:szCs w:val="18"/>
    </w:rPr>
  </w:style>
  <w:style w:type="paragraph" w:styleId="13">
    <w:name w:val="header"/>
    <w:basedOn w:val="1"/>
    <w:link w:val="41"/>
    <w:unhideWhenUsed/>
    <w:qFormat/>
    <w:uiPriority w:val="99"/>
    <w:pPr>
      <w:tabs>
        <w:tab w:val="center" w:pos="4153"/>
        <w:tab w:val="right" w:pos="8306"/>
      </w:tabs>
      <w:snapToGrid w:val="0"/>
      <w:jc w:val="center"/>
    </w:pPr>
    <w:rPr>
      <w:sz w:val="18"/>
      <w:szCs w:val="18"/>
    </w:rPr>
  </w:style>
  <w:style w:type="paragraph" w:styleId="14">
    <w:name w:val="toc 1"/>
    <w:basedOn w:val="1"/>
    <w:next w:val="1"/>
    <w:semiHidden/>
    <w:unhideWhenUsed/>
    <w:qFormat/>
    <w:uiPriority w:val="39"/>
  </w:style>
  <w:style w:type="paragraph" w:styleId="15">
    <w:name w:val="Subtitle"/>
    <w:basedOn w:val="1"/>
    <w:next w:val="1"/>
    <w:link w:val="34"/>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toc 2"/>
    <w:basedOn w:val="1"/>
    <w:next w:val="1"/>
    <w:semiHidden/>
    <w:unhideWhenUsed/>
    <w:qFormat/>
    <w:uiPriority w:val="39"/>
    <w:pPr>
      <w:ind w:left="420" w:leftChars="200"/>
    </w:pPr>
  </w:style>
  <w:style w:type="paragraph" w:styleId="17">
    <w:name w:val="Normal (Web)"/>
    <w:basedOn w:val="1"/>
    <w:semiHidden/>
    <w:unhideWhenUsed/>
    <w:qFormat/>
    <w:uiPriority w:val="99"/>
    <w:pPr>
      <w:spacing w:beforeAutospacing="1" w:afterAutospacing="1"/>
      <w:jc w:val="left"/>
    </w:pPr>
    <w:rPr>
      <w:rFonts w:cs="Times New Roman"/>
      <w:kern w:val="0"/>
    </w:rPr>
  </w:style>
  <w:style w:type="paragraph" w:styleId="18">
    <w:name w:val="Title"/>
    <w:basedOn w:val="1"/>
    <w:next w:val="1"/>
    <w:link w:val="33"/>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20">
    <w:name w:val="Table Grid"/>
    <w:basedOn w:val="1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Hyperlink"/>
    <w:basedOn w:val="21"/>
    <w:unhideWhenUsed/>
    <w:qFormat/>
    <w:uiPriority w:val="99"/>
    <w:rPr>
      <w:color w:val="0563C1"/>
      <w:u w:val="single"/>
    </w:rPr>
  </w:style>
  <w:style w:type="character" w:customStyle="1" w:styleId="24">
    <w:name w:val="标题 1 字符"/>
    <w:basedOn w:val="21"/>
    <w:link w:val="2"/>
    <w:qFormat/>
    <w:uiPriority w:val="9"/>
    <w:rPr>
      <w:rFonts w:ascii="宋体" w:hAnsi="宋体" w:eastAsia="宋体" w:cs="宋体"/>
      <w:b/>
      <w:sz w:val="36"/>
      <w:szCs w:val="32"/>
    </w:rPr>
  </w:style>
  <w:style w:type="character" w:customStyle="1" w:styleId="25">
    <w:name w:val="标题 2 字符"/>
    <w:basedOn w:val="21"/>
    <w:link w:val="3"/>
    <w:qFormat/>
    <w:uiPriority w:val="9"/>
    <w:rPr>
      <w:rFonts w:ascii="宋体" w:hAnsi="宋体" w:eastAsia="宋体" w:cs="宋体"/>
      <w:b/>
      <w:sz w:val="32"/>
      <w:szCs w:val="30"/>
    </w:rPr>
  </w:style>
  <w:style w:type="character" w:customStyle="1" w:styleId="26">
    <w:name w:val="标题 3 字符"/>
    <w:basedOn w:val="21"/>
    <w:link w:val="4"/>
    <w:qFormat/>
    <w:uiPriority w:val="9"/>
    <w:rPr>
      <w:rFonts w:ascii="宋体" w:hAnsi="宋体" w:eastAsia="宋体" w:cs="宋体"/>
      <w:b/>
      <w:sz w:val="30"/>
      <w:szCs w:val="32"/>
    </w:rPr>
  </w:style>
  <w:style w:type="character" w:customStyle="1" w:styleId="27">
    <w:name w:val="标题 4 字符"/>
    <w:basedOn w:val="21"/>
    <w:link w:val="5"/>
    <w:semiHidden/>
    <w:qFormat/>
    <w:uiPriority w:val="9"/>
    <w:rPr>
      <w:rFonts w:ascii="宋体" w:hAnsi="宋体" w:eastAsia="宋体" w:cstheme="majorBidi"/>
      <w:b/>
      <w:color w:val="auto"/>
      <w:sz w:val="28"/>
      <w:szCs w:val="28"/>
    </w:rPr>
  </w:style>
  <w:style w:type="character" w:customStyle="1" w:styleId="28">
    <w:name w:val="标题 5 字符"/>
    <w:basedOn w:val="21"/>
    <w:link w:val="6"/>
    <w:semiHidden/>
    <w:qFormat/>
    <w:uiPriority w:val="9"/>
    <w:rPr>
      <w:rFonts w:ascii="宋体" w:hAnsi="宋体" w:eastAsia="宋体" w:cstheme="majorBidi"/>
      <w:color w:val="auto"/>
      <w:sz w:val="24"/>
      <w:szCs w:val="24"/>
    </w:rPr>
  </w:style>
  <w:style w:type="character" w:customStyle="1" w:styleId="29">
    <w:name w:val="标题 6 字符"/>
    <w:basedOn w:val="21"/>
    <w:link w:val="7"/>
    <w:semiHidden/>
    <w:qFormat/>
    <w:uiPriority w:val="9"/>
    <w:rPr>
      <w:rFonts w:cstheme="majorBidi"/>
      <w:b/>
      <w:bCs/>
      <w:color w:val="104862" w:themeColor="accent1" w:themeShade="BF"/>
    </w:rPr>
  </w:style>
  <w:style w:type="character" w:customStyle="1" w:styleId="30">
    <w:name w:val="标题 7 字符"/>
    <w:basedOn w:val="21"/>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31">
    <w:name w:val="标题 8 字符"/>
    <w:basedOn w:val="21"/>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32">
    <w:name w:val="标题 9 字符"/>
    <w:basedOn w:val="21"/>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3">
    <w:name w:val="标题 字符"/>
    <w:basedOn w:val="21"/>
    <w:link w:val="18"/>
    <w:qFormat/>
    <w:uiPriority w:val="10"/>
    <w:rPr>
      <w:rFonts w:asciiTheme="majorHAnsi" w:hAnsiTheme="majorHAnsi" w:eastAsiaTheme="majorEastAsia" w:cstheme="majorBidi"/>
      <w:spacing w:val="-10"/>
      <w:kern w:val="28"/>
      <w:sz w:val="56"/>
      <w:szCs w:val="56"/>
    </w:rPr>
  </w:style>
  <w:style w:type="character" w:customStyle="1" w:styleId="34">
    <w:name w:val="副标题 字符"/>
    <w:basedOn w:val="21"/>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5">
    <w:name w:val="Quote"/>
    <w:basedOn w:val="1"/>
    <w:next w:val="1"/>
    <w:link w:val="36"/>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6">
    <w:name w:val="引用 字符"/>
    <w:basedOn w:val="21"/>
    <w:link w:val="35"/>
    <w:qFormat/>
    <w:uiPriority w:val="29"/>
    <w:rPr>
      <w:i/>
      <w:iCs/>
      <w:color w:val="404040" w:themeColor="text1" w:themeTint="BF"/>
      <w14:textFill>
        <w14:solidFill>
          <w14:schemeClr w14:val="tx1">
            <w14:lumMod w14:val="75000"/>
            <w14:lumOff w14:val="25000"/>
          </w14:schemeClr>
        </w14:solidFill>
      </w14:textFill>
    </w:rPr>
  </w:style>
  <w:style w:type="paragraph" w:styleId="37">
    <w:name w:val="List Paragraph"/>
    <w:basedOn w:val="1"/>
    <w:qFormat/>
    <w:uiPriority w:val="34"/>
    <w:pPr>
      <w:ind w:left="720"/>
      <w:contextualSpacing/>
    </w:pPr>
  </w:style>
  <w:style w:type="character" w:customStyle="1" w:styleId="38">
    <w:name w:val="明显强调1"/>
    <w:basedOn w:val="21"/>
    <w:qFormat/>
    <w:uiPriority w:val="21"/>
    <w:rPr>
      <w:i/>
      <w:iCs/>
      <w:color w:val="104862" w:themeColor="accent1" w:themeShade="BF"/>
    </w:rPr>
  </w:style>
  <w:style w:type="paragraph" w:styleId="39">
    <w:name w:val="Intense Quote"/>
    <w:basedOn w:val="1"/>
    <w:next w:val="1"/>
    <w:link w:val="40"/>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0">
    <w:name w:val="明显引用 字符"/>
    <w:basedOn w:val="21"/>
    <w:link w:val="39"/>
    <w:qFormat/>
    <w:uiPriority w:val="30"/>
    <w:rPr>
      <w:i/>
      <w:iCs/>
      <w:color w:val="104862" w:themeColor="accent1" w:themeShade="BF"/>
    </w:rPr>
  </w:style>
  <w:style w:type="character" w:customStyle="1" w:styleId="41">
    <w:name w:val="页眉 字符"/>
    <w:basedOn w:val="21"/>
    <w:link w:val="13"/>
    <w:qFormat/>
    <w:uiPriority w:val="99"/>
    <w:rPr>
      <w:sz w:val="18"/>
      <w:szCs w:val="18"/>
    </w:rPr>
  </w:style>
  <w:style w:type="character" w:customStyle="1" w:styleId="42">
    <w:name w:val="页脚 字符"/>
    <w:basedOn w:val="21"/>
    <w:link w:val="12"/>
    <w:qFormat/>
    <w:uiPriority w:val="99"/>
    <w:rPr>
      <w:sz w:val="18"/>
      <w:szCs w:val="18"/>
    </w:rPr>
  </w:style>
  <w:style w:type="paragraph" w:customStyle="1" w:styleId="43">
    <w:name w:val="WPSOffice手动目录 1"/>
    <w:qFormat/>
    <w:uiPriority w:val="0"/>
    <w:rPr>
      <w:rFonts w:asciiTheme="minorHAnsi" w:hAnsiTheme="minorHAnsi" w:eastAsiaTheme="minorEastAsia" w:cstheme="minorBidi"/>
      <w:lang w:val="en-US" w:eastAsia="zh-CN" w:bidi="ar-SA"/>
    </w:rPr>
  </w:style>
  <w:style w:type="paragraph" w:customStyle="1" w:styleId="44">
    <w:name w:val="表格style"/>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45">
    <w:name w:val="Table Paragraph"/>
    <w:basedOn w:val="1"/>
    <w:qFormat/>
    <w:uiPriority w:val="1"/>
  </w:style>
  <w:style w:type="paragraph" w:customStyle="1" w:styleId="46">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47">
    <w:name w:val="列出段落1"/>
    <w:basedOn w:val="1"/>
    <w:qFormat/>
    <w:uiPriority w:val="34"/>
    <w:pPr>
      <w:suppressAutoHyphens/>
      <w:ind w:firstLine="420"/>
      <w:jc w:val="left"/>
    </w:pPr>
    <w:rPr>
      <w:rFonts w:ascii="Times" w:hAnsi="Times" w:cs="Times New Roman"/>
      <w:kern w:val="1"/>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jpeg"/><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jpe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3091</Words>
  <Characters>3194</Characters>
  <Lines>81</Lines>
  <Paragraphs>22</Paragraphs>
  <TotalTime>11</TotalTime>
  <ScaleCrop>false</ScaleCrop>
  <LinksUpToDate>false</LinksUpToDate>
  <CharactersWithSpaces>3286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2025-02-07T05:17:00Z</dcterms:created>
  <dc:creator>闫鹏 李</dc:creator>
  <cp:lastModifiedBy>邹树虎</cp:lastModifiedBy>
  <dcterms:modified xsi:type="dcterms:W3CDTF">2025-07-25T02:22:47Z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eyJoZGlkIjoiZjk1Y2JmN2ViODY3ZDA2MjQ3ZGVkNzAyMTI3ZDBjOWUiLCJ1c2VySWQiOiIxNDQ5MjAxMDk2In0=</vt:lpwstr>
  </property>
  <property fmtid="{D5CDD505-2E9C-101B-9397-08002B2CF9AE}" pid="3" name="KSOProductBuildVer">
    <vt:lpwstr>2052-12.1.0.21915</vt:lpwstr>
  </property>
  <property fmtid="{D5CDD505-2E9C-101B-9397-08002B2CF9AE}" pid="4" name="ICV">
    <vt:lpwstr>DF6EBECCDCAF44EAB4F520543FCF2462_12</vt:lpwstr>
  </property>
</Properties>
</file>