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23739B">
      <w:pPr>
        <w:ind w:firstLine="480"/>
        <w:rPr>
          <w:rFonts w:hint="eastAsia"/>
          <w:highlight w:val="none"/>
        </w:rPr>
      </w:pPr>
    </w:p>
    <w:p w14:paraId="4716AE0A">
      <w:pPr>
        <w:ind w:firstLine="480"/>
        <w:rPr>
          <w:rFonts w:hint="eastAsia"/>
          <w:highlight w:val="none"/>
        </w:rPr>
      </w:pPr>
    </w:p>
    <w:p w14:paraId="4C1FA055">
      <w:pPr>
        <w:ind w:firstLine="480"/>
        <w:rPr>
          <w:rFonts w:hint="eastAsia"/>
          <w:highlight w:val="none"/>
        </w:rPr>
      </w:pPr>
    </w:p>
    <w:p w14:paraId="7456A987">
      <w:pPr>
        <w:ind w:firstLine="0" w:firstLineChars="0"/>
        <w:jc w:val="center"/>
        <w:rPr>
          <w:rFonts w:hint="eastAsia"/>
          <w:b/>
          <w:bCs/>
          <w:sz w:val="52"/>
          <w:szCs w:val="52"/>
          <w:highlight w:val="none"/>
        </w:rPr>
      </w:pPr>
      <w:r>
        <w:rPr>
          <w:rFonts w:hint="eastAsia"/>
          <w:b/>
          <w:bCs/>
          <w:sz w:val="52"/>
          <w:szCs w:val="52"/>
          <w:highlight w:val="none"/>
        </w:rPr>
        <w:t>管网和污水行业细分场景</w:t>
      </w:r>
    </w:p>
    <w:p w14:paraId="3BB29947">
      <w:pPr>
        <w:ind w:firstLine="0" w:firstLineChars="0"/>
        <w:jc w:val="right"/>
        <w:rPr>
          <w:rFonts w:hint="eastAsia"/>
          <w:b/>
          <w:bCs/>
          <w:sz w:val="52"/>
          <w:szCs w:val="52"/>
          <w:highlight w:val="none"/>
        </w:rPr>
      </w:pPr>
      <w:r>
        <w:rPr>
          <w:rFonts w:hint="eastAsia"/>
          <w:b/>
          <w:bCs/>
          <w:sz w:val="52"/>
          <w:szCs w:val="52"/>
          <w:highlight w:val="none"/>
        </w:rPr>
        <w:t>——污水处理过程水质监测方案</w:t>
      </w:r>
    </w:p>
    <w:p w14:paraId="4DAF0EBC">
      <w:pPr>
        <w:ind w:firstLine="480"/>
        <w:rPr>
          <w:rFonts w:hint="eastAsia"/>
          <w:highlight w:val="none"/>
        </w:rPr>
      </w:pPr>
    </w:p>
    <w:p w14:paraId="4FD5293F">
      <w:pPr>
        <w:ind w:firstLine="480"/>
        <w:rPr>
          <w:rFonts w:hint="eastAsia"/>
          <w:highlight w:val="none"/>
        </w:rPr>
      </w:pPr>
    </w:p>
    <w:p w14:paraId="3F9C45C1">
      <w:pPr>
        <w:ind w:firstLine="480"/>
        <w:rPr>
          <w:rFonts w:hint="eastAsia"/>
          <w:highlight w:val="none"/>
        </w:rPr>
      </w:pPr>
    </w:p>
    <w:p w14:paraId="692CDE38">
      <w:pPr>
        <w:ind w:firstLine="480"/>
        <w:rPr>
          <w:rFonts w:hint="eastAsia"/>
          <w:highlight w:val="none"/>
        </w:rPr>
      </w:pPr>
    </w:p>
    <w:p w14:paraId="7955F3C4">
      <w:pPr>
        <w:ind w:firstLine="480"/>
        <w:rPr>
          <w:rFonts w:hint="eastAsia"/>
          <w:highlight w:val="none"/>
        </w:rPr>
      </w:pPr>
    </w:p>
    <w:p w14:paraId="717595D8">
      <w:pPr>
        <w:ind w:firstLine="480"/>
        <w:rPr>
          <w:rFonts w:hint="eastAsia"/>
          <w:highlight w:val="none"/>
        </w:rPr>
      </w:pPr>
    </w:p>
    <w:p w14:paraId="4702722F">
      <w:pPr>
        <w:ind w:firstLine="480"/>
        <w:rPr>
          <w:rFonts w:hint="eastAsia"/>
          <w:highlight w:val="none"/>
        </w:rPr>
      </w:pPr>
    </w:p>
    <w:p w14:paraId="43E35283">
      <w:pPr>
        <w:ind w:firstLine="480"/>
        <w:rPr>
          <w:rFonts w:hint="eastAsia"/>
          <w:highlight w:val="none"/>
        </w:rPr>
      </w:pPr>
    </w:p>
    <w:p w14:paraId="02E1327A">
      <w:pPr>
        <w:ind w:firstLine="480"/>
        <w:rPr>
          <w:rFonts w:hint="eastAsia"/>
          <w:highlight w:val="none"/>
        </w:rPr>
      </w:pPr>
    </w:p>
    <w:p w14:paraId="145A1F5B">
      <w:pPr>
        <w:ind w:firstLine="480"/>
        <w:rPr>
          <w:rFonts w:hint="eastAsia"/>
          <w:highlight w:val="none"/>
        </w:rPr>
      </w:pPr>
    </w:p>
    <w:p w14:paraId="60719FE7">
      <w:pPr>
        <w:ind w:firstLine="480"/>
        <w:rPr>
          <w:rFonts w:hint="eastAsia"/>
          <w:highlight w:val="none"/>
        </w:rPr>
      </w:pPr>
    </w:p>
    <w:p w14:paraId="02105A75">
      <w:pPr>
        <w:ind w:firstLine="480"/>
        <w:rPr>
          <w:rFonts w:hint="eastAsia"/>
          <w:highlight w:val="none"/>
        </w:rPr>
      </w:pPr>
    </w:p>
    <w:p w14:paraId="486ADF72">
      <w:pPr>
        <w:ind w:firstLine="480"/>
        <w:rPr>
          <w:rFonts w:hint="eastAsia"/>
          <w:highlight w:val="none"/>
        </w:rPr>
      </w:pPr>
    </w:p>
    <w:p w14:paraId="470AE0F2">
      <w:pPr>
        <w:ind w:firstLine="480"/>
        <w:rPr>
          <w:rFonts w:hint="eastAsia"/>
          <w:highlight w:val="none"/>
        </w:rPr>
      </w:pPr>
    </w:p>
    <w:p w14:paraId="07648E2B">
      <w:pPr>
        <w:ind w:firstLine="480"/>
        <w:rPr>
          <w:rFonts w:hint="eastAsia"/>
          <w:highlight w:val="none"/>
        </w:rPr>
      </w:pPr>
    </w:p>
    <w:p w14:paraId="37AEAA77">
      <w:pPr>
        <w:ind w:firstLine="480"/>
        <w:rPr>
          <w:rFonts w:hint="eastAsia"/>
          <w:highlight w:val="none"/>
        </w:rPr>
      </w:pPr>
    </w:p>
    <w:p w14:paraId="42CE5C77">
      <w:pPr>
        <w:ind w:firstLine="480"/>
        <w:rPr>
          <w:rFonts w:hint="eastAsia"/>
          <w:highlight w:val="none"/>
        </w:rPr>
      </w:pPr>
    </w:p>
    <w:p w14:paraId="01BE14C8">
      <w:pPr>
        <w:ind w:firstLine="480"/>
        <w:rPr>
          <w:rFonts w:hint="eastAsia"/>
          <w:highlight w:val="none"/>
        </w:rPr>
      </w:pPr>
    </w:p>
    <w:p w14:paraId="742FDE12">
      <w:pPr>
        <w:ind w:firstLine="480"/>
        <w:rPr>
          <w:rFonts w:hint="eastAsia"/>
          <w:highlight w:val="none"/>
        </w:rPr>
      </w:pPr>
    </w:p>
    <w:p w14:paraId="6B675931">
      <w:pPr>
        <w:ind w:firstLine="480"/>
        <w:rPr>
          <w:rFonts w:hint="eastAsia"/>
          <w:highlight w:val="none"/>
        </w:rPr>
      </w:pPr>
    </w:p>
    <w:p w14:paraId="76D598EB">
      <w:pPr>
        <w:ind w:firstLine="0" w:firstLineChars="0"/>
        <w:jc w:val="center"/>
        <w:rPr>
          <w:rFonts w:hint="eastAsia"/>
          <w:b/>
          <w:bCs/>
          <w:sz w:val="40"/>
          <w:szCs w:val="40"/>
          <w:highlight w:val="none"/>
          <w:lang w:val="zh-CN"/>
        </w:rPr>
      </w:pPr>
      <w:r>
        <w:rPr>
          <w:b/>
          <w:bCs/>
          <w:sz w:val="40"/>
          <w:szCs w:val="40"/>
          <w:highlight w:val="none"/>
        </w:rPr>
        <w:t>202</w:t>
      </w:r>
      <w:r>
        <w:rPr>
          <w:rFonts w:hint="eastAsia"/>
          <w:b/>
          <w:bCs/>
          <w:sz w:val="40"/>
          <w:szCs w:val="40"/>
          <w:highlight w:val="none"/>
        </w:rPr>
        <w:t>5</w:t>
      </w:r>
      <w:r>
        <w:rPr>
          <w:b/>
          <w:bCs/>
          <w:sz w:val="40"/>
          <w:szCs w:val="40"/>
          <w:highlight w:val="none"/>
          <w:lang w:val="zh-CN"/>
        </w:rPr>
        <w:t>年</w:t>
      </w:r>
      <w:r>
        <w:rPr>
          <w:rFonts w:hint="eastAsia"/>
          <w:b/>
          <w:bCs/>
          <w:sz w:val="40"/>
          <w:szCs w:val="40"/>
          <w:highlight w:val="none"/>
        </w:rPr>
        <w:t>2</w:t>
      </w:r>
      <w:r>
        <w:rPr>
          <w:b/>
          <w:bCs/>
          <w:sz w:val="40"/>
          <w:szCs w:val="40"/>
          <w:highlight w:val="none"/>
          <w:lang w:val="zh-CN"/>
        </w:rPr>
        <w:t>月</w:t>
      </w:r>
    </w:p>
    <w:p w14:paraId="7B5873C4">
      <w:pPr>
        <w:ind w:firstLine="480"/>
        <w:rPr>
          <w:rFonts w:hint="eastAsia"/>
          <w:highlight w:val="none"/>
        </w:rPr>
      </w:pPr>
    </w:p>
    <w:p w14:paraId="0B5E24E9">
      <w:pPr>
        <w:ind w:firstLine="480"/>
        <w:rPr>
          <w:rFonts w:hint="eastAsia"/>
          <w:highlight w:val="none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35BAB81E">
      <w:pPr>
        <w:ind w:firstLine="480"/>
        <w:rPr>
          <w:rFonts w:hint="eastAsia"/>
          <w:highlight w:val="none"/>
        </w:rPr>
      </w:pPr>
    </w:p>
    <w:sdt>
      <w:sdtPr>
        <w:rPr>
          <w:b/>
          <w:bCs/>
          <w:sz w:val="36"/>
          <w:szCs w:val="36"/>
          <w:highlight w:val="none"/>
        </w:rPr>
        <w:id w:val="147462421"/>
        <w15:color w:val="DBDBDB"/>
        <w:docPartObj>
          <w:docPartGallery w:val="Table of Contents"/>
          <w:docPartUnique/>
        </w:docPartObj>
      </w:sdtPr>
      <w:sdtEndPr>
        <w:rPr>
          <w:rFonts w:hint="eastAsia"/>
          <w:b/>
          <w:bCs/>
          <w:sz w:val="24"/>
          <w:szCs w:val="24"/>
          <w:highlight w:val="none"/>
        </w:rPr>
      </w:sdtEndPr>
      <w:sdtContent>
        <w:p w14:paraId="57361696">
          <w:pPr>
            <w:spacing w:line="240" w:lineRule="auto"/>
            <w:ind w:firstLine="0" w:firstLineChars="0"/>
            <w:jc w:val="center"/>
            <w:rPr>
              <w:rFonts w:hint="eastAsia"/>
              <w:b/>
              <w:bCs/>
              <w:sz w:val="36"/>
              <w:szCs w:val="36"/>
              <w:highlight w:val="none"/>
            </w:rPr>
          </w:pPr>
          <w:r>
            <w:rPr>
              <w:b/>
              <w:bCs/>
              <w:sz w:val="36"/>
              <w:szCs w:val="36"/>
              <w:highlight w:val="none"/>
            </w:rPr>
            <w:t>目录</w:t>
          </w:r>
        </w:p>
        <w:p w14:paraId="510D6177">
          <w:pPr>
            <w:pStyle w:val="14"/>
            <w:tabs>
              <w:tab w:val="right" w:leader="dot" w:pos="8306"/>
            </w:tabs>
            <w:spacing w:line="240" w:lineRule="auto"/>
            <w:ind w:firstLine="480"/>
            <w:rPr>
              <w:rFonts w:hint="eastAsia"/>
              <w:highlight w:val="none"/>
            </w:rPr>
          </w:pPr>
          <w:r>
            <w:rPr>
              <w:rFonts w:hint="eastAsia"/>
              <w:highlight w:val="none"/>
            </w:rPr>
            <w:fldChar w:fldCharType="begin"/>
          </w:r>
          <w:r>
            <w:rPr>
              <w:rFonts w:hint="eastAsia"/>
              <w:highlight w:val="none"/>
            </w:rPr>
            <w:instrText xml:space="preserve">TOC \o "1-3" \h \u </w:instrText>
          </w:r>
          <w:r>
            <w:rPr>
              <w:rFonts w:hint="eastAsia"/>
              <w:highlight w:val="none"/>
            </w:rPr>
            <w:fldChar w:fldCharType="separate"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"_Toc4436"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highlight w:val="none"/>
            </w:rPr>
            <w:t>一、 公司简介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_Toc4436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2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0960FE6E">
          <w:pPr>
            <w:pStyle w:val="14"/>
            <w:tabs>
              <w:tab w:val="right" w:leader="dot" w:pos="8306"/>
            </w:tabs>
            <w:spacing w:line="240" w:lineRule="auto"/>
            <w:ind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"_Toc7225"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highlight w:val="none"/>
            </w:rPr>
            <w:t>二、 污水处理过程水质监测概述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_Toc7225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3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690D8086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"_Toc29340"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highlight w:val="none"/>
            </w:rPr>
            <w:t>2.1. 污水处理过程水质监测背景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_Toc29340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3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46088838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"_Toc4333"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highlight w:val="none"/>
            </w:rPr>
            <w:t>2.2. 污水处理过程水质监测特点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_Toc4333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4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505EA9A1">
          <w:pPr>
            <w:pStyle w:val="14"/>
            <w:tabs>
              <w:tab w:val="right" w:leader="dot" w:pos="8306"/>
            </w:tabs>
            <w:spacing w:line="240" w:lineRule="auto"/>
            <w:ind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"_Toc32125"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highlight w:val="none"/>
            </w:rPr>
            <w:t>三、 建设方案设计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_Toc32125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6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5A9E64CC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"_Toc7545"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highlight w:val="none"/>
            </w:rPr>
            <w:t>3.1. 系统框架图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_Toc7545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6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098DC1C0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"_Toc6127"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highlight w:val="none"/>
            </w:rPr>
            <w:t>3.2. 设备选型策略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_Toc6127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7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1E4E9BD9">
          <w:pPr>
            <w:pStyle w:val="14"/>
            <w:tabs>
              <w:tab w:val="right" w:leader="dot" w:pos="8306"/>
            </w:tabs>
            <w:spacing w:line="240" w:lineRule="auto"/>
            <w:ind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"_Toc14073"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highlight w:val="none"/>
            </w:rPr>
            <w:t>四、 产品介绍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_Toc14073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8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48BD970B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"_Toc5509"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highlight w:val="none"/>
            </w:rPr>
            <w:t>4.1. 技术参数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_Toc5509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8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2C585837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"_Toc21015"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highlight w:val="none"/>
            </w:rPr>
            <w:t>4.2. 场景适配性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_Toc21015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10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543CF9F1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"_Toc12849"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szCs w:val="28"/>
              <w:highlight w:val="none"/>
            </w:rPr>
            <w:t>4.2.1格栅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_Toc12849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10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424D62B9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"_Toc13599"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szCs w:val="28"/>
              <w:highlight w:val="none"/>
            </w:rPr>
            <w:t>4.2.2沉砂池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_Toc13599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11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2DD13AAF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"_Toc21649"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szCs w:val="28"/>
              <w:highlight w:val="none"/>
            </w:rPr>
            <w:t>4.2.3初沉池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_Toc21649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11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4EC51F7E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"_Toc1974"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szCs w:val="28"/>
              <w:highlight w:val="none"/>
            </w:rPr>
            <w:t>4.2.4生化池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_Toc1974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12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7B560F65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"_Toc23370"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szCs w:val="28"/>
              <w:highlight w:val="none"/>
            </w:rPr>
            <w:t>4.2.5滤池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_Toc23370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12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2F9981BD">
          <w:pPr>
            <w:pStyle w:val="14"/>
            <w:tabs>
              <w:tab w:val="right" w:leader="dot" w:pos="8306"/>
            </w:tabs>
            <w:spacing w:line="240" w:lineRule="auto"/>
            <w:ind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"_Toc30005"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highlight w:val="none"/>
            </w:rPr>
            <w:t>五、 设备寿命及维护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_Toc30005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13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2F1306CE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"_Toc5743"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highlight w:val="none"/>
            </w:rPr>
            <w:t>5.1. 设备寿命周期与维护周期表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_Toc5743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13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07F8C9D5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"_Toc7932"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highlight w:val="none"/>
            </w:rPr>
            <w:t>5.2. 设备日常维护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_Toc7932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13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6E639E4F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"_Toc21781"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highlight w:val="none"/>
            </w:rPr>
            <w:t>5.3. 设备维护注意事项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_Toc21781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16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7EBD23CC">
          <w:pPr>
            <w:pStyle w:val="14"/>
            <w:tabs>
              <w:tab w:val="right" w:leader="dot" w:pos="8306"/>
            </w:tabs>
            <w:spacing w:line="240" w:lineRule="auto"/>
            <w:ind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"_Toc17975"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highlight w:val="none"/>
            </w:rPr>
            <w:t>六、 案例展示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_Toc17975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20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391346EA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"_Toc28794"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highlight w:val="none"/>
            </w:rPr>
            <w:t>6.1. 案例1：某地下管网污水监测网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_Toc28794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20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339457F3">
          <w:pPr>
            <w:pStyle w:val="16"/>
            <w:tabs>
              <w:tab w:val="right" w:leader="dot" w:pos="8306"/>
            </w:tabs>
            <w:spacing w:line="240" w:lineRule="auto"/>
            <w:ind w:left="480" w:firstLine="480"/>
            <w:rPr>
              <w:rFonts w:hint="eastAsia"/>
              <w:highlight w:val="none"/>
            </w:rPr>
          </w:pP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HYPERLINK \l "_Toc4329" </w:instrText>
          </w:r>
          <w:r>
            <w:rPr>
              <w:highlight w:val="none"/>
            </w:rPr>
            <w:fldChar w:fldCharType="separate"/>
          </w:r>
          <w:r>
            <w:rPr>
              <w:rFonts w:hint="eastAsia"/>
              <w:bCs/>
              <w:szCs w:val="32"/>
              <w:highlight w:val="none"/>
            </w:rPr>
            <w:t xml:space="preserve">6.2. </w:t>
          </w:r>
          <w:r>
            <w:rPr>
              <w:rFonts w:hint="eastAsia"/>
              <w:highlight w:val="none"/>
            </w:rPr>
            <w:t>案例2：</w:t>
          </w:r>
          <w:r>
            <w:rPr>
              <w:rFonts w:hint="eastAsia"/>
              <w:bCs/>
              <w:szCs w:val="32"/>
              <w:highlight w:val="none"/>
            </w:rPr>
            <w:t>某污水处理厂水质监测</w:t>
          </w:r>
          <w:r>
            <w:rPr>
              <w:highlight w:val="none"/>
            </w:rPr>
            <w:tab/>
          </w:r>
          <w:r>
            <w:rPr>
              <w:highlight w:val="none"/>
            </w:rPr>
            <w:fldChar w:fldCharType="begin"/>
          </w:r>
          <w:r>
            <w:rPr>
              <w:highlight w:val="none"/>
            </w:rPr>
            <w:instrText xml:space="preserve"> PAGEREF _Toc4329 \h </w:instrText>
          </w:r>
          <w:r>
            <w:rPr>
              <w:highlight w:val="none"/>
            </w:rPr>
            <w:fldChar w:fldCharType="separate"/>
          </w:r>
          <w:r>
            <w:rPr>
              <w:highlight w:val="none"/>
            </w:rPr>
            <w:t>20</w:t>
          </w:r>
          <w:r>
            <w:rPr>
              <w:highlight w:val="none"/>
            </w:rPr>
            <w:fldChar w:fldCharType="end"/>
          </w:r>
          <w:r>
            <w:rPr>
              <w:highlight w:val="none"/>
            </w:rPr>
            <w:fldChar w:fldCharType="end"/>
          </w:r>
        </w:p>
        <w:p w14:paraId="5CFED00E">
          <w:pPr>
            <w:spacing w:line="240" w:lineRule="auto"/>
            <w:ind w:firstLine="0" w:firstLineChars="0"/>
            <w:rPr>
              <w:rFonts w:hint="eastAsia"/>
              <w:highlight w:val="none"/>
            </w:rPr>
            <w:sectPr>
              <w:headerReference r:id="rId11" w:type="default"/>
              <w:footerReference r:id="rId12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  <w:r>
            <w:rPr>
              <w:rFonts w:hint="eastAsia"/>
              <w:highlight w:val="none"/>
            </w:rPr>
            <w:fldChar w:fldCharType="end"/>
          </w:r>
        </w:p>
      </w:sdtContent>
    </w:sdt>
    <w:p w14:paraId="36808D91">
      <w:pPr>
        <w:pStyle w:val="2"/>
        <w:rPr>
          <w:rFonts w:hint="eastAsia"/>
          <w:highlight w:val="none"/>
        </w:rPr>
      </w:pPr>
      <w:bookmarkStart w:id="0" w:name="_Toc3865"/>
      <w:bookmarkStart w:id="1" w:name="_Toc4436"/>
      <w:r>
        <w:rPr>
          <w:rFonts w:hint="eastAsia"/>
          <w:highlight w:val="none"/>
        </w:rPr>
        <w:t>公司简介</w:t>
      </w:r>
      <w:bookmarkEnd w:id="0"/>
      <w:bookmarkEnd w:id="1"/>
    </w:p>
    <w:p w14:paraId="7CC3BD67">
      <w:pPr>
        <w:ind w:firstLine="480"/>
        <w:rPr>
          <w:rFonts w:hint="eastAsia"/>
          <w:highlight w:val="none"/>
        </w:rPr>
      </w:pPr>
    </w:p>
    <w:p w14:paraId="7C460E6D">
      <w:pPr>
        <w:ind w:firstLine="0" w:firstLineChars="0"/>
        <w:jc w:val="center"/>
        <w:rPr>
          <w:rFonts w:hint="eastAsia"/>
          <w:highlight w:val="none"/>
        </w:rPr>
      </w:pPr>
      <w:r>
        <w:rPr>
          <w:highlight w:val="none"/>
        </w:rPr>
        <w:drawing>
          <wp:inline distT="0" distB="0" distL="0" distR="0">
            <wp:extent cx="4585970" cy="3395980"/>
            <wp:effectExtent l="0" t="0" r="127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6F19">
      <w:pPr>
        <w:ind w:firstLine="0" w:firstLineChars="0"/>
        <w:jc w:val="left"/>
        <w:rPr>
          <w:rFonts w:hint="eastAsia"/>
          <w:highlight w:val="none"/>
        </w:rPr>
      </w:pPr>
    </w:p>
    <w:p w14:paraId="0D46E388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  <w:lang w:val="en-US" w:eastAsia="zh-CN"/>
        </w:rPr>
        <w:t>青岛精诚仪器仪表</w:t>
      </w:r>
      <w:r>
        <w:rPr>
          <w:rFonts w:hint="eastAsia"/>
          <w:highlight w:val="none"/>
        </w:rPr>
        <w:t>有限公司（简称</w:t>
      </w:r>
      <w:r>
        <w:rPr>
          <w:rFonts w:hint="eastAsia"/>
          <w:highlight w:val="none"/>
          <w:lang w:val="en-US" w:eastAsia="zh-CN"/>
        </w:rPr>
        <w:t>青岛精诚</w:t>
      </w:r>
      <w:r>
        <w:rPr>
          <w:rFonts w:hint="eastAsia"/>
          <w:highlight w:val="none"/>
        </w:rPr>
        <w:t>），是一家专业从事生态环境、水利水务、工业过程控制、智慧农业、海洋监测等应用的水质分析仪器研发制造商，以自主研发生产的水质自动监测仪器为核心，应用自动化控制与系统集成技术，为客户提供自动化、智能化的环境监测系统解决方案，并为客户提供环境监测设施的第三方运营服务。</w:t>
      </w:r>
    </w:p>
    <w:p w14:paraId="73939CE3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  <w:lang w:val="en-US" w:eastAsia="zh-CN"/>
        </w:rPr>
        <w:t>我公司</w:t>
      </w:r>
      <w:r>
        <w:rPr>
          <w:rFonts w:hint="eastAsia"/>
          <w:highlight w:val="none"/>
        </w:rPr>
        <w:t>拥有完善的研发、生产、销售和技术服务团队，是国内水质数字传感领导品牌，为国内近百个市、县（区）政府和生态环境部门提供水环境监测技术支撑。</w:t>
      </w:r>
    </w:p>
    <w:p w14:paraId="00F6B16C">
      <w:pPr>
        <w:ind w:firstLine="480"/>
        <w:rPr>
          <w:rFonts w:hint="eastAsia"/>
          <w:highlight w:val="none"/>
        </w:rPr>
      </w:pPr>
    </w:p>
    <w:p w14:paraId="13012094">
      <w:pPr>
        <w:ind w:firstLine="480"/>
        <w:rPr>
          <w:rFonts w:hint="eastAsia"/>
          <w:highlight w:val="none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D4B84EA">
      <w:pPr>
        <w:pStyle w:val="2"/>
        <w:rPr>
          <w:rFonts w:hint="eastAsia"/>
          <w:highlight w:val="none"/>
        </w:rPr>
      </w:pPr>
      <w:bookmarkStart w:id="2" w:name="_Toc28553"/>
      <w:bookmarkStart w:id="3" w:name="_Toc7225"/>
      <w:r>
        <w:rPr>
          <w:rFonts w:hint="eastAsia"/>
          <w:highlight w:val="none"/>
        </w:rPr>
        <w:t>污水处理过程水质监测概述</w:t>
      </w:r>
      <w:bookmarkEnd w:id="2"/>
      <w:bookmarkEnd w:id="3"/>
    </w:p>
    <w:p w14:paraId="4536DE5C">
      <w:pPr>
        <w:pStyle w:val="3"/>
        <w:ind w:left="1055"/>
        <w:rPr>
          <w:rFonts w:hint="eastAsia"/>
          <w:highlight w:val="none"/>
        </w:rPr>
      </w:pPr>
      <w:bookmarkStart w:id="4" w:name="_Toc29340"/>
      <w:r>
        <w:rPr>
          <w:rFonts w:hint="eastAsia"/>
          <w:highlight w:val="none"/>
        </w:rPr>
        <w:t>污水处理过程水质监测背景</w:t>
      </w:r>
      <w:bookmarkEnd w:id="4"/>
    </w:p>
    <w:p w14:paraId="64FD4D58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污水处理厂是城市基础设施的重要组成部分，其核心任务是通过物理、化学和生物技术去除污水中的污染物，确保处理后的水质达到排放或回用标准。随着城市化进程加快、工业活动增多以及环保法规的日益严格，污水处理厂的水质监测成为保障处理效能、环境安全和资源循环利用的关键环节。</w:t>
      </w:r>
    </w:p>
    <w:p w14:paraId="648D09ED">
      <w:pPr>
        <w:ind w:firstLine="482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1. 水质监测的必要性</w:t>
      </w:r>
    </w:p>
    <w:p w14:paraId="11C2A497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环境保护需求：未经处理的污水含有大量有机物（如COD、BOD）、营养盐（氮、磷）、病原微生物等污染物，直接排放会导致水体富营养化、生态系统破坏及公共卫生风险。  </w:t>
      </w:r>
    </w:p>
    <w:p w14:paraId="7330E003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法规合规要求：各国政府制定了严格的污水排放标准（如中国《城镇污水处理厂污染物排放标准》、欧盟《城市污水处理指令》），要求污水处理厂实时监测水质参数并定期上报数据。  </w:t>
      </w:r>
    </w:p>
    <w:p w14:paraId="350EC4E8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工艺优化需求：水质监测数据是调整处理工艺（如曝气量、药剂投加量、污泥回流比）的重要依据，直接影响处理效率与运行成本。  </w:t>
      </w:r>
    </w:p>
    <w:p w14:paraId="12A4CED4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资源回收潜力：污水中的氮、磷、再生水等资源可通过监测实现回收利用，推动循环经济发展。</w:t>
      </w:r>
    </w:p>
    <w:p w14:paraId="579F469F">
      <w:pPr>
        <w:ind w:firstLine="482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2. 监测的核心目标</w:t>
      </w:r>
    </w:p>
    <w:p w14:paraId="14653707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确保出水达标：通过连续监测关键指标（如COD、氨氮、总磷、总氮、悬浮物、pH等），保障出水符合法规要求。  </w:t>
      </w:r>
    </w:p>
    <w:p w14:paraId="09FCC54A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预警与风险控制：实时检测水质异常（如重金属超标、毒性物质泄漏），防止系统崩溃或环境污染事故。  </w:t>
      </w:r>
    </w:p>
    <w:p w14:paraId="41294EC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工艺过程控制：通过动态调整曝气、沉淀、消毒等环节参数，提升处理效率并降低能耗。  </w:t>
      </w:r>
    </w:p>
    <w:p w14:paraId="68BFBFD1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数据驱动决策：长期监测数据可为工艺升级、设备维护及扩容改造提供科学依据。</w:t>
      </w:r>
    </w:p>
    <w:p w14:paraId="1F2EB67B">
      <w:pPr>
        <w:ind w:firstLine="482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3. 水质监测的关键参数</w:t>
      </w:r>
    </w:p>
    <w:p w14:paraId="5E1B425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污水处理厂通常需监测以下参数：  </w:t>
      </w:r>
    </w:p>
    <w:p w14:paraId="56CC92D1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物理指标：浊度、悬浮物、温度、流量。  </w:t>
      </w:r>
    </w:p>
    <w:p w14:paraId="012930E6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化学指标：化学需氧量（COD）、总氮、氨氮、总磷、pH、溶解氧。  </w:t>
      </w:r>
    </w:p>
    <w:p w14:paraId="24459A48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生物指标：大肠杆菌、病原微生物。  </w:t>
      </w:r>
    </w:p>
    <w:p w14:paraId="1D3C94E0">
      <w:pPr>
        <w:ind w:firstLine="482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4. 面临的挑战</w:t>
      </w:r>
    </w:p>
    <w:p w14:paraId="382816C0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复杂水质波动：工业废水与生活污水混合后污染物种类多、浓度变化大，传统监测方法可能滞后。</w:t>
      </w:r>
    </w:p>
    <w:p w14:paraId="74FD9CE0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设备维护成本：在线传感器易受污泥、生物膜污染，需频繁校准与清洗。</w:t>
      </w:r>
    </w:p>
    <w:p w14:paraId="40782CB8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新兴污染物监测：微塑料、抗生素等污染物缺乏标准化检测方法。</w:t>
      </w:r>
    </w:p>
    <w:p w14:paraId="5D5865AF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数据整合难度：多源异构数据的融合与分析对数字化平台提出更高要求。</w:t>
      </w:r>
    </w:p>
    <w:p w14:paraId="2341D86C">
      <w:pPr>
        <w:ind w:firstLine="482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5. 未来发展趋势</w:t>
      </w:r>
    </w:p>
    <w:p w14:paraId="301865A7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智能化监测：AI驱动的异常检测、光谱分析技术的普及（如近红外快速检测）。</w:t>
      </w:r>
    </w:p>
    <w:p w14:paraId="330076E9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微型化与低成本传感器：全光谱、MEMS（微机电系统）技术降低设备部署门槛。</w:t>
      </w:r>
    </w:p>
    <w:p w14:paraId="33DE87CF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多参数集成检测：开发可同时监测多种指标的复合型探头。</w:t>
      </w:r>
    </w:p>
    <w:p w14:paraId="7B0CEEC1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标准化与全球化：推动国际统一的监测标准与数据共享机制。</w:t>
      </w:r>
    </w:p>
    <w:p w14:paraId="3A306B28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污水处理厂的过程水质监测是实现环境治理现代化、保障水资源可持续利用的核心技术支撑。随着监测技术的智能化升级和环保需求的提升，高效、精准、实时的水质监测系统将成为污水处理行业迈向“智慧水厂”的重要基石。</w:t>
      </w:r>
    </w:p>
    <w:p w14:paraId="6E8BBFE9">
      <w:pPr>
        <w:pStyle w:val="3"/>
        <w:ind w:left="1055"/>
        <w:rPr>
          <w:rFonts w:hint="eastAsia"/>
          <w:highlight w:val="none"/>
        </w:rPr>
      </w:pPr>
      <w:bookmarkStart w:id="5" w:name="_Toc4333"/>
      <w:bookmarkStart w:id="6" w:name="_Toc16844"/>
      <w:r>
        <w:rPr>
          <w:rFonts w:hint="eastAsia"/>
          <w:highlight w:val="none"/>
        </w:rPr>
        <w:t>污水处理过程水质监测特点</w:t>
      </w:r>
      <w:bookmarkEnd w:id="5"/>
      <w:bookmarkEnd w:id="6"/>
    </w:p>
    <w:p w14:paraId="024E3A72">
      <w:pPr>
        <w:ind w:firstLine="480"/>
        <w:rPr>
          <w:rFonts w:hint="eastAsia"/>
          <w:highlight w:val="none"/>
        </w:rPr>
      </w:pPr>
      <w:r>
        <w:rPr>
          <w:highlight w:val="none"/>
        </w:rPr>
        <w:t xml:space="preserve">污水处理过程中的水质监测具有鲜明的技术特征，其核心在于保障处理工艺的高效性、稳定性和环境安全性。结合您的理解（实时性、联动性、数据准确性及与控制设备的协同），其特点可归纳为以下几方面：  </w:t>
      </w:r>
    </w:p>
    <w:p w14:paraId="0E24D101">
      <w:pPr>
        <w:ind w:firstLine="482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1. 实时性与动态响应</w:t>
      </w:r>
    </w:p>
    <w:p w14:paraId="3572BF93">
      <w:pPr>
        <w:ind w:firstLine="480"/>
        <w:rPr>
          <w:rFonts w:hint="eastAsia"/>
          <w:highlight w:val="none"/>
        </w:rPr>
      </w:pPr>
      <w:r>
        <w:rPr>
          <w:highlight w:val="none"/>
        </w:rPr>
        <w:t>在线连续监测：通过传感器和自动化仪器（如在线COD分析仪、氨氮探头）对水质参数（如COD、</w:t>
      </w:r>
      <w:r>
        <w:rPr>
          <w:rFonts w:hint="eastAsia"/>
          <w:highlight w:val="none"/>
        </w:rPr>
        <w:t>氨氮</w:t>
      </w:r>
      <w:r>
        <w:rPr>
          <w:highlight w:val="none"/>
        </w:rPr>
        <w:t>、</w:t>
      </w:r>
      <w:r>
        <w:rPr>
          <w:rFonts w:hint="eastAsia"/>
          <w:highlight w:val="none"/>
        </w:rPr>
        <w:t>总磷</w:t>
      </w:r>
      <w:r>
        <w:rPr>
          <w:highlight w:val="none"/>
        </w:rPr>
        <w:t>、</w:t>
      </w:r>
      <w:r>
        <w:rPr>
          <w:rFonts w:hint="eastAsia"/>
          <w:highlight w:val="none"/>
        </w:rPr>
        <w:t>PH</w:t>
      </w:r>
      <w:r>
        <w:rPr>
          <w:highlight w:val="none"/>
        </w:rPr>
        <w:t>、</w:t>
      </w:r>
      <w:r>
        <w:rPr>
          <w:rFonts w:hint="eastAsia"/>
          <w:highlight w:val="none"/>
        </w:rPr>
        <w:t>溶解氧</w:t>
      </w:r>
      <w:r>
        <w:rPr>
          <w:highlight w:val="none"/>
        </w:rPr>
        <w:t>等）进行24小时连续监测，避免传统实验室分析的滞后性，确保及时反馈水质变化。</w:t>
      </w:r>
    </w:p>
    <w:p w14:paraId="0E2C3B54">
      <w:pPr>
        <w:ind w:firstLine="480"/>
        <w:rPr>
          <w:rFonts w:hint="eastAsia"/>
          <w:highlight w:val="none"/>
        </w:rPr>
      </w:pPr>
      <w:r>
        <w:rPr>
          <w:highlight w:val="none"/>
        </w:rPr>
        <w:t xml:space="preserve">快速动态响应：针对进水水质波动（如工业废水冲击负荷）、工艺异常（如曝气池溶解氧不足），监测系统需在秒级至分钟级内识别异常并触发调整，防止处理效能下降或系统崩溃。  </w:t>
      </w:r>
    </w:p>
    <w:p w14:paraId="51ECBF96">
      <w:pPr>
        <w:ind w:firstLine="482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示例：</w:t>
      </w:r>
    </w:p>
    <w:p w14:paraId="027EAE92">
      <w:pPr>
        <w:ind w:firstLine="480"/>
        <w:rPr>
          <w:rFonts w:hint="eastAsia"/>
          <w:highlight w:val="none"/>
        </w:rPr>
      </w:pPr>
      <w:r>
        <w:rPr>
          <w:highlight w:val="none"/>
        </w:rPr>
        <w:t xml:space="preserve">当进水氨氮浓度突增时，在线监测数据实时传输至控制系统，立即提升曝气量或增加脱氮药剂投加量，避免出水氨氮超标。  </w:t>
      </w:r>
    </w:p>
    <w:p w14:paraId="50FBB8AE">
      <w:pPr>
        <w:ind w:firstLine="482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2. 联动性与智能控制</w:t>
      </w:r>
    </w:p>
    <w:p w14:paraId="63E8DA68">
      <w:pPr>
        <w:ind w:firstLine="480"/>
        <w:rPr>
          <w:rFonts w:hint="eastAsia"/>
          <w:highlight w:val="none"/>
        </w:rPr>
      </w:pPr>
      <w:r>
        <w:rPr>
          <w:highlight w:val="none"/>
        </w:rPr>
        <w:t>与工艺设备深度协同：监测数据直接联动关键设备（如加药泵、曝气风机、污泥回流泵），形成“监测-分析-控制”闭环。</w:t>
      </w:r>
    </w:p>
    <w:p w14:paraId="770FA789">
      <w:pPr>
        <w:ind w:firstLine="482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例如：</w:t>
      </w:r>
    </w:p>
    <w:p w14:paraId="2E9B3838">
      <w:pPr>
        <w:ind w:firstLine="480"/>
        <w:rPr>
          <w:rFonts w:hint="eastAsia"/>
          <w:highlight w:val="none"/>
        </w:rPr>
      </w:pPr>
      <w:r>
        <w:rPr>
          <w:highlight w:val="none"/>
        </w:rPr>
        <w:t>加药系统联动：根据总磷监测值动态调整除磷剂（如PAC）投加量，实现精准加药，避免药剂浪费或处理不足。</w:t>
      </w:r>
    </w:p>
    <w:p w14:paraId="13C88327">
      <w:pPr>
        <w:ind w:firstLine="480"/>
        <w:rPr>
          <w:rFonts w:hint="eastAsia"/>
          <w:highlight w:val="none"/>
        </w:rPr>
      </w:pPr>
      <w:r>
        <w:rPr>
          <w:highlight w:val="none"/>
        </w:rPr>
        <w:t>曝气系统优化：基于溶解氧和氨氮数据，自动调节曝气强度，平衡硝化与反硝化反应，降低能耗。</w:t>
      </w:r>
    </w:p>
    <w:p w14:paraId="0E5C3B99">
      <w:pPr>
        <w:ind w:firstLine="480"/>
        <w:rPr>
          <w:rFonts w:hint="eastAsia"/>
          <w:highlight w:val="none"/>
        </w:rPr>
      </w:pPr>
      <w:r>
        <w:rPr>
          <w:highlight w:val="none"/>
        </w:rPr>
        <w:t>多参数协同调控：通过多指标关联分析（如COD与BOD比值、碳氮比），优化工艺参数组合，提升整体处理效率。</w:t>
      </w:r>
    </w:p>
    <w:p w14:paraId="03671A8D">
      <w:pPr>
        <w:ind w:firstLine="482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 xml:space="preserve">示例：  </w:t>
      </w:r>
    </w:p>
    <w:p w14:paraId="25724F04">
      <w:pPr>
        <w:ind w:firstLine="480"/>
        <w:rPr>
          <w:rFonts w:hint="eastAsia"/>
          <w:highlight w:val="none"/>
        </w:rPr>
      </w:pPr>
      <w:r>
        <w:rPr>
          <w:highlight w:val="none"/>
        </w:rPr>
        <w:t>在生物脱氮除磷工艺中，监测碳源（BOD）与氮、磷浓度的比例，联动碳源投加设备补充碳源，确保反硝化菌和聚磷菌活性。</w:t>
      </w:r>
    </w:p>
    <w:p w14:paraId="2D4E2458">
      <w:pPr>
        <w:ind w:firstLine="482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3. 数据高精度与可靠性</w:t>
      </w:r>
    </w:p>
    <w:p w14:paraId="29D52048">
      <w:pPr>
        <w:ind w:firstLine="480"/>
        <w:rPr>
          <w:rFonts w:hint="eastAsia"/>
          <w:highlight w:val="none"/>
        </w:rPr>
      </w:pPr>
      <w:r>
        <w:rPr>
          <w:highlight w:val="none"/>
        </w:rPr>
        <w:t>抗干扰设计：污水成分复杂（含悬浮物、油脂、气泡等），传感器需具备抗污染能力（如自清洁探头、光学补偿技术），减少测量误差。</w:t>
      </w:r>
    </w:p>
    <w:p w14:paraId="70443B9A">
      <w:pPr>
        <w:ind w:firstLine="480"/>
        <w:rPr>
          <w:rFonts w:hint="eastAsia"/>
          <w:highlight w:val="none"/>
        </w:rPr>
      </w:pPr>
      <w:r>
        <w:rPr>
          <w:highlight w:val="none"/>
        </w:rPr>
        <w:t>校准与冗余机制：定期自动校准（如pH电极校准）、多传感器数据交叉验证，确保数据准确性；关键参数（如COD）采用“在线监测+实验室抽查”双重保障。</w:t>
      </w:r>
    </w:p>
    <w:p w14:paraId="04AF6DCC">
      <w:pPr>
        <w:ind w:firstLine="480"/>
        <w:rPr>
          <w:rFonts w:hint="eastAsia"/>
          <w:highlight w:val="none"/>
        </w:rPr>
      </w:pPr>
      <w:r>
        <w:rPr>
          <w:highlight w:val="none"/>
        </w:rPr>
        <w:t>异常数据识别：通过算法过滤噪声数据（如气泡干扰导致的DO值波动），提升监测结果可信度。</w:t>
      </w:r>
    </w:p>
    <w:p w14:paraId="5913DF7C">
      <w:pPr>
        <w:ind w:firstLine="482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4. 多维参数综合监测</w:t>
      </w:r>
    </w:p>
    <w:p w14:paraId="6A71709C">
      <w:pPr>
        <w:ind w:firstLine="480"/>
        <w:rPr>
          <w:rFonts w:hint="eastAsia"/>
          <w:highlight w:val="none"/>
        </w:rPr>
      </w:pPr>
      <w:r>
        <w:rPr>
          <w:highlight w:val="none"/>
        </w:rPr>
        <w:t>多指标覆盖：需同步监测物理（SS、浊度）、化学（COD</w:t>
      </w:r>
      <w:r>
        <w:rPr>
          <w:rFonts w:hint="eastAsia"/>
          <w:highlight w:val="none"/>
        </w:rPr>
        <w:t>/总磷</w:t>
      </w:r>
      <w:r>
        <w:rPr>
          <w:highlight w:val="none"/>
        </w:rPr>
        <w:t>/</w:t>
      </w:r>
      <w:r>
        <w:rPr>
          <w:rFonts w:hint="eastAsia"/>
          <w:highlight w:val="none"/>
        </w:rPr>
        <w:t>总氮</w:t>
      </w:r>
      <w:r>
        <w:rPr>
          <w:highlight w:val="none"/>
        </w:rPr>
        <w:t>）、生物（微生物活性）等多维度参数，全面评估处理效果。</w:t>
      </w:r>
    </w:p>
    <w:p w14:paraId="1CFA0556">
      <w:pPr>
        <w:ind w:firstLine="482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5. 动态适应性</w:t>
      </w:r>
    </w:p>
    <w:p w14:paraId="3EAB86F7">
      <w:pPr>
        <w:ind w:firstLine="480"/>
        <w:rPr>
          <w:rFonts w:hint="eastAsia"/>
          <w:highlight w:val="none"/>
        </w:rPr>
      </w:pPr>
      <w:r>
        <w:rPr>
          <w:highlight w:val="none"/>
        </w:rPr>
        <w:t>应对水质波动：针对生活污水与工业废水混合处理的复杂性，监测系统需具备宽量程检测能力（如高浓度COD冲击工况）。</w:t>
      </w:r>
    </w:p>
    <w:p w14:paraId="55657996">
      <w:pPr>
        <w:ind w:firstLine="480"/>
        <w:rPr>
          <w:rFonts w:hint="eastAsia"/>
          <w:highlight w:val="none"/>
        </w:rPr>
      </w:pPr>
      <w:r>
        <w:rPr>
          <w:highlight w:val="none"/>
        </w:rPr>
        <w:t>季节性调整：根据温度变化（如冬季低温抑制硝化反应）动态调整监测频率与控制策略。</w:t>
      </w:r>
    </w:p>
    <w:p w14:paraId="30F650C0">
      <w:pPr>
        <w:ind w:firstLine="482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6. 系统集成与智能化</w:t>
      </w:r>
    </w:p>
    <w:p w14:paraId="7484A6BF">
      <w:pPr>
        <w:ind w:firstLine="480"/>
        <w:rPr>
          <w:rFonts w:hint="eastAsia"/>
          <w:highlight w:val="none"/>
        </w:rPr>
      </w:pPr>
      <w:r>
        <w:rPr>
          <w:highlight w:val="none"/>
        </w:rPr>
        <w:t xml:space="preserve">物联网（IoT）平台：监测数据通过云端汇总，支持远程监控、历史数据回溯与趋势预测。  </w:t>
      </w:r>
    </w:p>
    <w:p w14:paraId="1FFDD4CA">
      <w:pPr>
        <w:ind w:firstLine="480"/>
        <w:rPr>
          <w:rFonts w:hint="eastAsia"/>
          <w:highlight w:val="none"/>
        </w:rPr>
      </w:pPr>
      <w:r>
        <w:rPr>
          <w:highlight w:val="none"/>
        </w:rPr>
        <w:t xml:space="preserve">AI驱动优化：机器学习模型分析水质数据与设备运行状态，自动生成工艺优化建议（如预测药剂投加量、预警设备故障）。  </w:t>
      </w:r>
    </w:p>
    <w:p w14:paraId="67D91655">
      <w:pPr>
        <w:ind w:firstLine="480"/>
        <w:rPr>
          <w:rFonts w:hint="eastAsia"/>
          <w:highlight w:val="none"/>
        </w:rPr>
      </w:pPr>
      <w:r>
        <w:rPr>
          <w:highlight w:val="none"/>
        </w:rPr>
        <w:t>污水处理过程的水质监测以实时性为根基、联动性为核心、数据准确性为保障，通过“感知-分析-控制”闭环实现工艺精准调控。未来随着智能化技术的普及，监测系统将进一步与工艺设备深度融合，推动污水处理厂向“无人化值守、自适应运行”的智慧模式升级。</w:t>
      </w:r>
    </w:p>
    <w:p w14:paraId="0E3AA9A0">
      <w:pPr>
        <w:pStyle w:val="2"/>
        <w:rPr>
          <w:rFonts w:hint="eastAsia"/>
          <w:highlight w:val="none"/>
        </w:rPr>
      </w:pPr>
      <w:bookmarkStart w:id="7" w:name="_Toc32125"/>
      <w:bookmarkStart w:id="8" w:name="_Toc15099"/>
      <w:r>
        <w:rPr>
          <w:rFonts w:hint="eastAsia"/>
          <w:highlight w:val="none"/>
        </w:rPr>
        <w:t>建设方案设计</w:t>
      </w:r>
      <w:bookmarkEnd w:id="7"/>
      <w:bookmarkEnd w:id="8"/>
    </w:p>
    <w:p w14:paraId="7B8A246E">
      <w:pPr>
        <w:pStyle w:val="3"/>
        <w:ind w:left="1055"/>
        <w:rPr>
          <w:rFonts w:hint="eastAsia"/>
          <w:highlight w:val="none"/>
        </w:rPr>
      </w:pPr>
      <w:bookmarkStart w:id="9" w:name="_Toc7545"/>
      <w:r>
        <w:rPr>
          <w:rFonts w:hint="eastAsia"/>
          <w:highlight w:val="none"/>
        </w:rPr>
        <w:t>系统框架图</w:t>
      </w:r>
      <w:bookmarkEnd w:id="9"/>
    </w:p>
    <w:p w14:paraId="7DA490D6">
      <w:pPr>
        <w:ind w:firstLine="480"/>
        <w:rPr>
          <w:rFonts w:hint="eastAsia"/>
          <w:color w:val="FF0000"/>
          <w:highlight w:val="none"/>
        </w:rPr>
      </w:pPr>
      <w:r>
        <w:rPr>
          <w:rFonts w:hint="eastAsia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148590</wp:posOffset>
            </wp:positionV>
            <wp:extent cx="6132830" cy="2035175"/>
            <wp:effectExtent l="0" t="0" r="8890" b="6985"/>
            <wp:wrapSquare wrapText="bothSides"/>
            <wp:docPr id="5" name="图片 2" descr="56E5C158-7C21-44fd-AF86-74F19305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56E5C158-7C21-44fd-AF86-74F1930519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554BC4">
      <w:pPr>
        <w:ind w:firstLine="0" w:firstLineChars="0"/>
        <w:rPr>
          <w:rFonts w:hint="eastAsia"/>
          <w:highlight w:val="none"/>
        </w:rPr>
      </w:pPr>
      <w:r>
        <w:rPr>
          <w:rFonts w:hint="eastAsia"/>
          <w:highlight w:val="none"/>
        </w:rPr>
        <w:t>关键功能：实时监测、智能报警、数据分析、节能减排、维护管理</w:t>
      </w:r>
    </w:p>
    <w:p w14:paraId="3C4878F1">
      <w:pPr>
        <w:ind w:firstLine="480"/>
        <w:rPr>
          <w:rFonts w:hint="eastAsia"/>
          <w:highlight w:val="none"/>
        </w:rPr>
      </w:pPr>
    </w:p>
    <w:p w14:paraId="43548E1E">
      <w:pPr>
        <w:pStyle w:val="3"/>
        <w:ind w:left="1055"/>
        <w:rPr>
          <w:rFonts w:hint="eastAsia"/>
          <w:highlight w:val="none"/>
        </w:rPr>
      </w:pPr>
      <w:bookmarkStart w:id="10" w:name="_Toc6127"/>
      <w:r>
        <w:rPr>
          <w:rFonts w:hint="eastAsia"/>
          <w:highlight w:val="none"/>
        </w:rPr>
        <w:t>设备选型策略</w:t>
      </w:r>
      <w:bookmarkEnd w:id="10"/>
    </w:p>
    <w:p w14:paraId="1DDCE333">
      <w:pPr>
        <w:numPr>
          <w:ilvl w:val="0"/>
          <w:numId w:val="2"/>
        </w:num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核心监测参数与设备对应</w:t>
      </w:r>
    </w:p>
    <w:tbl>
      <w:tblPr>
        <w:tblStyle w:val="20"/>
        <w:tblpPr w:leftFromText="180" w:rightFromText="180" w:vertAnchor="text" w:horzAnchor="page" w:tblpX="1762" w:tblpY="469"/>
        <w:tblOverlap w:val="never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1"/>
        <w:gridCol w:w="3817"/>
        <w:gridCol w:w="2531"/>
      </w:tblGrid>
      <w:tr w14:paraId="571FB32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rPr>
          <w:tblHeader/>
        </w:trPr>
        <w:tc>
          <w:tcPr>
            <w:tcW w:w="1274" w:type="pct"/>
            <w:vAlign w:val="center"/>
          </w:tcPr>
          <w:p w14:paraId="3E04EE40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核心监测参数</w:t>
            </w:r>
          </w:p>
        </w:tc>
        <w:tc>
          <w:tcPr>
            <w:tcW w:w="2240" w:type="pct"/>
            <w:vAlign w:val="center"/>
          </w:tcPr>
          <w:p w14:paraId="5E34D51B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设备名称</w:t>
            </w:r>
          </w:p>
        </w:tc>
        <w:tc>
          <w:tcPr>
            <w:tcW w:w="1485" w:type="pct"/>
            <w:vAlign w:val="center"/>
          </w:tcPr>
          <w:p w14:paraId="2BE04E11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设备原理</w:t>
            </w:r>
          </w:p>
        </w:tc>
      </w:tr>
      <w:tr w14:paraId="5A42044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shd w:val="clear" w:color="auto" w:fill="auto"/>
            <w:vAlign w:val="center"/>
          </w:tcPr>
          <w:p w14:paraId="76298662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PH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321550E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在线PH传感器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76CE0FD3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玻璃电极法</w:t>
            </w:r>
          </w:p>
        </w:tc>
      </w:tr>
      <w:tr w14:paraId="6D345A1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shd w:val="clear" w:color="auto" w:fill="auto"/>
            <w:vAlign w:val="center"/>
          </w:tcPr>
          <w:p w14:paraId="31AB87CA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氧化还原电位（ORP）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1C85225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在线ORP传感器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3A83CBF5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铂电极法</w:t>
            </w:r>
          </w:p>
        </w:tc>
      </w:tr>
      <w:tr w14:paraId="7583117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1274" w:type="pct"/>
            <w:shd w:val="clear" w:color="auto" w:fill="auto"/>
            <w:vAlign w:val="center"/>
          </w:tcPr>
          <w:p w14:paraId="0C71B16D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电导率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00B0609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在线电导率传感器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09755679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接触式电极法</w:t>
            </w:r>
          </w:p>
        </w:tc>
      </w:tr>
      <w:tr w14:paraId="1F9841C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shd w:val="clear" w:color="auto" w:fill="auto"/>
            <w:vAlign w:val="center"/>
          </w:tcPr>
          <w:p w14:paraId="4042A9DC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溶解氧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587B3D0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在线溶解氧传感器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0AE21DA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荧光法</w:t>
            </w:r>
          </w:p>
        </w:tc>
      </w:tr>
      <w:tr w14:paraId="2677DE4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shd w:val="clear" w:color="auto" w:fill="auto"/>
            <w:vAlign w:val="center"/>
          </w:tcPr>
          <w:p w14:paraId="2F20F67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浊度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1E9B23E5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在线浊度传感器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40BCCFAC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散射光法</w:t>
            </w:r>
          </w:p>
        </w:tc>
      </w:tr>
      <w:tr w14:paraId="61C90E5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shd w:val="clear" w:color="auto" w:fill="auto"/>
            <w:vAlign w:val="center"/>
          </w:tcPr>
          <w:p w14:paraId="5F9695F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悬浮物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2F032414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在线悬浮物传感器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268BF1D4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散射光法</w:t>
            </w:r>
          </w:p>
        </w:tc>
      </w:tr>
      <w:tr w14:paraId="238DA1F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shd w:val="clear" w:color="auto" w:fill="auto"/>
            <w:vAlign w:val="center"/>
          </w:tcPr>
          <w:p w14:paraId="7937B52F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污泥浓度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692EB1E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在线污泥浓度传感器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3F6BBF1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散射光法</w:t>
            </w:r>
          </w:p>
        </w:tc>
      </w:tr>
      <w:tr w14:paraId="381FB7B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shd w:val="clear" w:color="auto" w:fill="auto"/>
            <w:vAlign w:val="center"/>
          </w:tcPr>
          <w:p w14:paraId="0B8BD382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硝氮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0E3DD3F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在线光学硝氮传感器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74FA0F09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双波长可见光吸收法</w:t>
            </w:r>
          </w:p>
        </w:tc>
      </w:tr>
      <w:tr w14:paraId="3BBE83C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shd w:val="clear" w:color="auto" w:fill="auto"/>
            <w:vAlign w:val="center"/>
          </w:tcPr>
          <w:p w14:paraId="33D7D39A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化学需氧量（COD）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79DD98E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在线COD传感器/在线全光谱多参数传感器/便携式多参数分析仪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453FCD94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双波长紫外吸收法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/全光谱法光电比色法</w:t>
            </w:r>
          </w:p>
        </w:tc>
      </w:tr>
      <w:tr w14:paraId="0BDCFFE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shd w:val="clear" w:color="auto" w:fill="auto"/>
            <w:vAlign w:val="center"/>
          </w:tcPr>
          <w:p w14:paraId="16D1468D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氨氮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758C54FA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在线氨氮传感器/在线全光谱多参数传感器/便携式多参数分析仪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23A4FF25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离子选择法/全光谱法/光电比色法</w:t>
            </w:r>
          </w:p>
        </w:tc>
      </w:tr>
      <w:tr w14:paraId="44BED02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shd w:val="clear" w:color="auto" w:fill="auto"/>
            <w:vAlign w:val="center"/>
          </w:tcPr>
          <w:p w14:paraId="38519250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总磷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2C66E1A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在线全光谱多参数传感器/便携式多参数分析仪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01EB8E4D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全光谱法/光电比色法</w:t>
            </w:r>
          </w:p>
        </w:tc>
      </w:tr>
      <w:tr w14:paraId="11DE2CC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74" w:type="pct"/>
            <w:shd w:val="clear" w:color="auto" w:fill="auto"/>
            <w:vAlign w:val="center"/>
          </w:tcPr>
          <w:p w14:paraId="67443A24">
            <w:pPr>
              <w:spacing w:line="240" w:lineRule="auto"/>
              <w:ind w:firstLine="0" w:firstLineChars="0"/>
              <w:jc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总氮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3F775CF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在线全光谱多参数传感器/便携式多参数分析仪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6136E438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全光谱法/光电比色法</w:t>
            </w:r>
          </w:p>
        </w:tc>
      </w:tr>
      <w:tr w14:paraId="5CCE26B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1274" w:type="pct"/>
            <w:shd w:val="clear" w:color="auto" w:fill="auto"/>
            <w:vAlign w:val="center"/>
          </w:tcPr>
          <w:p w14:paraId="2E0E1674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流量</w:t>
            </w:r>
          </w:p>
        </w:tc>
        <w:tc>
          <w:tcPr>
            <w:tcW w:w="2240" w:type="pct"/>
            <w:shd w:val="clear" w:color="auto" w:fill="auto"/>
            <w:vAlign w:val="center"/>
          </w:tcPr>
          <w:p w14:paraId="6D803568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电磁流量计</w:t>
            </w:r>
          </w:p>
        </w:tc>
        <w:tc>
          <w:tcPr>
            <w:tcW w:w="1485" w:type="pct"/>
            <w:shd w:val="clear" w:color="auto" w:fill="auto"/>
            <w:vAlign w:val="center"/>
          </w:tcPr>
          <w:p w14:paraId="6A8DCBB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法拉第电磁感应</w:t>
            </w:r>
          </w:p>
        </w:tc>
      </w:tr>
    </w:tbl>
    <w:p w14:paraId="6BAF3901">
      <w:pPr>
        <w:pStyle w:val="17"/>
        <w:widowControl/>
        <w:spacing w:beforeAutospacing="0" w:afterAutospacing="0" w:line="240" w:lineRule="auto"/>
        <w:ind w:firstLine="0" w:firstLineChars="0"/>
        <w:rPr>
          <w:rFonts w:hint="eastAsia"/>
          <w:highlight w:val="none"/>
        </w:rPr>
      </w:pPr>
    </w:p>
    <w:p w14:paraId="3C2ABA00">
      <w:pPr>
        <w:numPr>
          <w:ilvl w:val="0"/>
          <w:numId w:val="2"/>
        </w:num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设备类型选择</w:t>
      </w:r>
    </w:p>
    <w:p w14:paraId="4E2E555C">
      <w:pPr>
        <w:ind w:firstLine="0" w:firstLineChars="0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采集显示控制设备：</w:t>
      </w:r>
    </w:p>
    <w:p w14:paraId="628D8F93">
      <w:pPr>
        <w:ind w:firstLine="0" w:firstLineChars="0"/>
        <w:jc w:val="center"/>
        <w:rPr>
          <w:rFonts w:hint="eastAsia"/>
          <w:highlight w:val="none"/>
        </w:rPr>
      </w:pPr>
      <w:r>
        <w:rPr>
          <w:rFonts w:ascii="Times New Roman" w:hAnsi="Times New Roman"/>
          <w:highlight w:val="none"/>
        </w:rPr>
        <w:drawing>
          <wp:inline distT="0" distB="0" distL="114300" distR="114300">
            <wp:extent cx="1383030" cy="1122680"/>
            <wp:effectExtent l="0" t="0" r="7620" b="127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l="7338" t="19858" r="12997" b="15509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highlight w:val="none"/>
        </w:rPr>
        <w:t xml:space="preserve">         </w:t>
      </w:r>
      <w:r>
        <w:rPr>
          <w:highlight w:val="none"/>
        </w:rPr>
        <w:drawing>
          <wp:inline distT="0" distB="0" distL="114300" distR="114300">
            <wp:extent cx="1985010" cy="1554480"/>
            <wp:effectExtent l="0" t="0" r="15240" b="7620"/>
            <wp:docPr id="37" name="图片 2" descr="lQDPJxa1cYhUlULNBjLNB-qw8RS7M3keprgDKlfi58DOAA_2026_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lQDPJxa1cYhUlULNBjLNB-qw8RS7M3keprgDKlfi58DOAA_2026_158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9DC7B">
      <w:pPr>
        <w:ind w:firstLine="0" w:firstLineChars="0"/>
        <w:jc w:val="center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单通道智能控制器               多通道智能控制器</w:t>
      </w:r>
    </w:p>
    <w:p w14:paraId="3A1C51F8">
      <w:pPr>
        <w:ind w:firstLine="0" w:firstLineChars="0"/>
        <w:jc w:val="left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传感器类：</w:t>
      </w:r>
    </w:p>
    <w:p w14:paraId="6B817786">
      <w:pPr>
        <w:ind w:firstLine="0" w:firstLineChars="0"/>
        <w:jc w:val="center"/>
        <w:rPr>
          <w:rFonts w:hint="eastAsia"/>
          <w:highlight w:val="none"/>
        </w:rPr>
      </w:pPr>
      <w:r>
        <w:rPr>
          <w:rFonts w:ascii="Times New Roman" w:hAnsi="Times New Roman" w:cs="Times New Roman"/>
          <w:b/>
          <w:sz w:val="32"/>
          <w:szCs w:val="32"/>
          <w:highlight w:val="none"/>
        </w:rPr>
        <w:drawing>
          <wp:inline distT="0" distB="0" distL="114300" distR="114300">
            <wp:extent cx="326390" cy="1350645"/>
            <wp:effectExtent l="365760" t="0" r="374650" b="0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2160000">
                      <a:off x="0" y="0"/>
                      <a:ext cx="328911" cy="13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sz w:val="32"/>
          <w:szCs w:val="32"/>
          <w:highlight w:val="none"/>
        </w:rPr>
        <w:t xml:space="preserve">  </w:t>
      </w:r>
      <w:r>
        <w:rPr>
          <w:rFonts w:hint="eastAsia" w:ascii="Times New Roman" w:hAnsi="Times New Roman"/>
          <w:highlight w:val="none"/>
        </w:rPr>
        <w:drawing>
          <wp:inline distT="0" distB="0" distL="114300" distR="114300">
            <wp:extent cx="220980" cy="1373505"/>
            <wp:effectExtent l="399415" t="0" r="400685" b="0"/>
            <wp:docPr id="68" name="图片 68" descr="lQLPDhsUQbx-RArNCMLNAWuwbhGOLd90K5cB8dyl7UBnAA_363_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lQLPDhsUQbx-RArNCMLNAWuwbhGOLd90K5cB8dyl7UBnAA_363_22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2280000" flipH="1">
                      <a:off x="0" y="0"/>
                      <a:ext cx="22098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highlight w:val="none"/>
        </w:rPr>
        <w:t xml:space="preserve">  </w:t>
      </w:r>
      <w:r>
        <w:rPr>
          <w:rFonts w:hint="eastAsia" w:eastAsiaTheme="minorEastAsia"/>
          <w:highlight w:val="none"/>
        </w:rPr>
        <w:drawing>
          <wp:inline distT="0" distB="0" distL="114300" distR="114300">
            <wp:extent cx="392430" cy="1581785"/>
            <wp:effectExtent l="286385" t="0" r="205105" b="0"/>
            <wp:docPr id="66" name="图片 66" descr="E:/新建文件夹 (9)/mmexport1716363568522.pngmmexport1716363568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E:/新建文件夹 (9)/mmexport1716363568522.pngmmexport1716363568522"/>
                    <pic:cNvPicPr>
                      <a:picLocks noChangeAspect="1"/>
                    </pic:cNvPicPr>
                  </pic:nvPicPr>
                  <pic:blipFill>
                    <a:blip r:embed="rId20"/>
                    <a:srcRect l="33411" r="33411"/>
                    <a:stretch>
                      <a:fillRect/>
                    </a:stretch>
                  </pic:blipFill>
                  <pic:spPr>
                    <a:xfrm rot="2040000">
                      <a:off x="0" y="0"/>
                      <a:ext cx="39243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highlight w:val="none"/>
        </w:rPr>
        <w:t xml:space="preserve">  </w:t>
      </w:r>
      <w:r>
        <w:rPr>
          <w:highlight w:val="none"/>
        </w:rPr>
        <w:drawing>
          <wp:inline distT="0" distB="0" distL="114300" distR="114300">
            <wp:extent cx="977900" cy="1803400"/>
            <wp:effectExtent l="0" t="0" r="12700" b="1016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rcRect l="81455" b="17129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3471D">
      <w:pPr>
        <w:ind w:firstLine="0" w:firstLineChars="0"/>
        <w:jc w:val="center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PH传感器      COD传感器      氨氮传感器      全光谱传感器</w:t>
      </w:r>
    </w:p>
    <w:p w14:paraId="4E52A683">
      <w:pPr>
        <w:ind w:firstLine="0" w:firstLineChars="0"/>
        <w:rPr>
          <w:rFonts w:hint="eastAsia"/>
          <w:highlight w:val="none"/>
        </w:rPr>
      </w:pPr>
    </w:p>
    <w:p w14:paraId="53CADBC9">
      <w:pPr>
        <w:ind w:firstLine="0" w:firstLineChars="0"/>
        <w:jc w:val="left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流量计：</w:t>
      </w:r>
    </w:p>
    <w:p w14:paraId="285E92F3">
      <w:pPr>
        <w:ind w:firstLine="0" w:firstLineChars="0"/>
        <w:jc w:val="center"/>
        <w:rPr>
          <w:rFonts w:hint="eastAsia"/>
          <w:highlight w:val="none"/>
        </w:rPr>
      </w:pPr>
      <w:r>
        <w:rPr>
          <w:highlight w:val="none"/>
        </w:rPr>
        <w:drawing>
          <wp:inline distT="0" distB="0" distL="114300" distR="114300">
            <wp:extent cx="1068070" cy="1327150"/>
            <wp:effectExtent l="0" t="0" r="13970" b="1397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rcRect r="70475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84174">
      <w:pPr>
        <w:ind w:firstLine="0" w:firstLineChars="0"/>
        <w:jc w:val="center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电磁流量计</w:t>
      </w:r>
    </w:p>
    <w:p w14:paraId="3C33DC6D">
      <w:pPr>
        <w:pStyle w:val="2"/>
        <w:rPr>
          <w:rFonts w:hint="eastAsia"/>
          <w:highlight w:val="none"/>
        </w:rPr>
      </w:pPr>
      <w:bookmarkStart w:id="11" w:name="_Toc14073"/>
      <w:bookmarkStart w:id="12" w:name="_Toc24440"/>
      <w:r>
        <w:rPr>
          <w:rFonts w:hint="eastAsia"/>
          <w:highlight w:val="none"/>
        </w:rPr>
        <w:t>产品介绍</w:t>
      </w:r>
      <w:bookmarkEnd w:id="11"/>
      <w:bookmarkEnd w:id="12"/>
    </w:p>
    <w:p w14:paraId="2C9C20E8">
      <w:pPr>
        <w:pStyle w:val="3"/>
        <w:ind w:left="1055"/>
        <w:rPr>
          <w:rFonts w:hint="eastAsia"/>
          <w:highlight w:val="none"/>
        </w:rPr>
      </w:pPr>
      <w:bookmarkStart w:id="13" w:name="_Toc5509"/>
      <w:r>
        <w:rPr>
          <w:rFonts w:hint="eastAsia"/>
          <w:highlight w:val="none"/>
        </w:rPr>
        <w:t>技术参数</w:t>
      </w:r>
      <w:bookmarkEnd w:id="13"/>
    </w:p>
    <w:tbl>
      <w:tblPr>
        <w:tblStyle w:val="20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4185"/>
        <w:gridCol w:w="2754"/>
      </w:tblGrid>
      <w:tr w14:paraId="64B3EED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927" w:type="pct"/>
            <w:vAlign w:val="center"/>
          </w:tcPr>
          <w:p w14:paraId="7CA73FEA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设备名称</w:t>
            </w:r>
          </w:p>
        </w:tc>
        <w:tc>
          <w:tcPr>
            <w:tcW w:w="2456" w:type="pct"/>
            <w:vAlign w:val="center"/>
          </w:tcPr>
          <w:p w14:paraId="374BF9D5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监测参数</w:t>
            </w:r>
          </w:p>
        </w:tc>
        <w:tc>
          <w:tcPr>
            <w:tcW w:w="1616" w:type="pct"/>
            <w:vAlign w:val="center"/>
          </w:tcPr>
          <w:p w14:paraId="78BC23BC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图片示例</w:t>
            </w:r>
          </w:p>
        </w:tc>
      </w:tr>
      <w:tr w14:paraId="1F9B26C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927" w:type="pct"/>
            <w:shd w:val="clear" w:color="auto" w:fill="auto"/>
            <w:vAlign w:val="center"/>
          </w:tcPr>
          <w:p w14:paraId="65DD83CB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单通道智能控制器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E15E19A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显示：2.8 寸单色液晶显示屏</w:t>
            </w:r>
          </w:p>
          <w:p w14:paraId="287CCF80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外形尺寸：101 mm×105 mm×128 mm</w:t>
            </w:r>
          </w:p>
          <w:p w14:paraId="57313365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电流输出：4 ~20 mA 可设定对应参数和温度测量范围</w:t>
            </w:r>
          </w:p>
          <w:p w14:paraId="158D97FD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报警功能：2 路，容量AC 250V/3A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740C86C5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highlight w:val="none"/>
              </w:rPr>
            </w:pPr>
            <w:r>
              <w:rPr>
                <w:rFonts w:ascii="Times New Roman" w:hAnsi="Times New Roman"/>
                <w:highlight w:val="none"/>
              </w:rPr>
              <w:drawing>
                <wp:inline distT="0" distB="0" distL="114300" distR="114300">
                  <wp:extent cx="953135" cy="773430"/>
                  <wp:effectExtent l="0" t="0" r="18415" b="7620"/>
                  <wp:docPr id="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7338" t="19858" r="12997" b="15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2F59E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927" w:type="pct"/>
            <w:shd w:val="clear" w:color="auto" w:fill="auto"/>
            <w:vAlign w:val="center"/>
          </w:tcPr>
          <w:p w14:paraId="1E2C94C4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多通道智能控制器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2F53D435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显示：7寸彩色电容触摸屏</w:t>
            </w:r>
          </w:p>
          <w:p w14:paraId="3E00C727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外形尺寸：204 mm×145 mm×42.5 mm</w:t>
            </w:r>
          </w:p>
          <w:p w14:paraId="3EE4EB19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安装方式：两孔壁挂式安装，孔间距100 mm</w:t>
            </w:r>
          </w:p>
          <w:p w14:paraId="6F1C064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功耗：10 W</w:t>
            </w:r>
          </w:p>
          <w:p w14:paraId="212AD19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测量变量：根据传感器定义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02B6DC55">
            <w:pPr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90295" cy="853440"/>
                  <wp:effectExtent l="0" t="0" r="14605" b="3810"/>
                  <wp:docPr id="64" name="图片 2" descr="lQDPJxa1cYhUlULNBjLNB-qw8RS7M3keprgDKlfi58DOAA_2026_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" descr="lQDPJxa1cYhUlULNBjLNB-qw8RS7M3keprgDKlfi58DOAA_2026_158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27400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6" w:hRule="atLeast"/>
        </w:trPr>
        <w:tc>
          <w:tcPr>
            <w:tcW w:w="927" w:type="pct"/>
            <w:shd w:val="clear" w:color="auto" w:fill="auto"/>
            <w:vAlign w:val="center"/>
          </w:tcPr>
          <w:p w14:paraId="06433548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在线全光谱多参数传感器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2D74A5DD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：全光谱吸收法</w:t>
            </w:r>
          </w:p>
          <w:p w14:paraId="4A31559B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</w:p>
          <w:p w14:paraId="05D6D242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COD：0～200mg/Lequiv. KHP；色度：0～500Hazen；TOC：0～150mg/L；浊度：0～400NTU；BOD：0～150mg/L；UV254：0～1.5AU；TP：0～15mg/L；TN：0～100mg/L；NHN：0～80mg/L；硝酸盐：0～15mg/L；亚硝酸盐：0～10mg/L；CODMn：0～100mg/L</w:t>
            </w:r>
          </w:p>
          <w:p w14:paraId="4D391A6C">
            <w:pPr>
              <w:spacing w:line="240" w:lineRule="auto"/>
              <w:ind w:firstLine="0" w:firstLineChars="0"/>
              <w:jc w:val="left"/>
              <w:rPr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：±5%F.S.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4E83AD90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drawing>
                <wp:inline distT="0" distB="0" distL="114300" distR="114300">
                  <wp:extent cx="426085" cy="1622425"/>
                  <wp:effectExtent l="0" t="0" r="0" b="0"/>
                  <wp:docPr id="9" name="图片 7" descr="C:/Users/lina/Desktop/FUV-408-.pngFUV-408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 descr="C:/Users/lina/Desktop/FUV-408-.pngFUV-408-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9555" r="30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4B8E5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8" w:hRule="atLeast"/>
        </w:trPr>
        <w:tc>
          <w:tcPr>
            <w:tcW w:w="927" w:type="pct"/>
            <w:shd w:val="clear" w:color="auto" w:fill="auto"/>
            <w:vAlign w:val="center"/>
          </w:tcPr>
          <w:p w14:paraId="7F9804FF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在线PH传感器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604AFF0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原理：玻璃电极法</w:t>
            </w:r>
          </w:p>
          <w:p w14:paraId="7CDE430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量程：0-14 pH</w:t>
            </w:r>
          </w:p>
          <w:p w14:paraId="75BF6B1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精度：±0.1 pH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4B7D41A1">
            <w:pPr>
              <w:spacing w:line="240" w:lineRule="auto"/>
              <w:ind w:firstLine="0" w:firstLineChars="0"/>
              <w:jc w:val="center"/>
              <w:rPr>
                <w:rFonts w:hint="eastAsia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highlight w:val="none"/>
              </w:rPr>
              <w:drawing>
                <wp:inline distT="0" distB="0" distL="114300" distR="114300">
                  <wp:extent cx="326390" cy="1350645"/>
                  <wp:effectExtent l="0" t="333375" r="0" b="346075"/>
                  <wp:docPr id="4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rot="3480000">
                            <a:off x="0" y="0"/>
                            <a:ext cx="328911" cy="135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12FD1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8" w:hRule="atLeast"/>
        </w:trPr>
        <w:tc>
          <w:tcPr>
            <w:tcW w:w="927" w:type="pct"/>
            <w:shd w:val="clear" w:color="auto" w:fill="auto"/>
            <w:vAlign w:val="center"/>
          </w:tcPr>
          <w:p w14:paraId="30A052B5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在线ORP传感器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1191BEF3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</w:t>
            </w:r>
            <w:r>
              <w:rPr>
                <w:rFonts w:hint="eastAsia"/>
                <w:sz w:val="21"/>
                <w:szCs w:val="21"/>
                <w:highlight w:val="none"/>
              </w:rPr>
              <w:t>铂电极法</w:t>
            </w:r>
          </w:p>
          <w:p w14:paraId="1F5737E9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</w:t>
            </w:r>
            <w:r>
              <w:rPr>
                <w:rFonts w:hint="eastAsia"/>
                <w:sz w:val="21"/>
                <w:szCs w:val="21"/>
                <w:highlight w:val="none"/>
              </w:rPr>
              <w:t>-2000～+2000mV</w:t>
            </w:r>
          </w:p>
          <w:p w14:paraId="7008B1F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精度：</w:t>
            </w:r>
            <w:r>
              <w:rPr>
                <w:rFonts w:hint="eastAsia"/>
                <w:sz w:val="21"/>
                <w:szCs w:val="21"/>
                <w:highlight w:val="none"/>
              </w:rPr>
              <w:t>±6mV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8A16100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highlight w:val="none"/>
              </w:rPr>
              <w:drawing>
                <wp:inline distT="0" distB="0" distL="114300" distR="114300">
                  <wp:extent cx="326390" cy="1350645"/>
                  <wp:effectExtent l="0" t="325120" r="0" b="323850"/>
                  <wp:docPr id="4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rot="3540000">
                            <a:off x="0" y="0"/>
                            <a:ext cx="328911" cy="135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93EC5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2" w:hRule="atLeast"/>
        </w:trPr>
        <w:tc>
          <w:tcPr>
            <w:tcW w:w="927" w:type="pct"/>
            <w:shd w:val="clear" w:color="auto" w:fill="auto"/>
            <w:vAlign w:val="center"/>
          </w:tcPr>
          <w:p w14:paraId="2D833444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在线电导率传感器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1D78EC4D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：接触式电极法</w:t>
            </w:r>
          </w:p>
          <w:p w14:paraId="430DF70D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：0～5000 μS/cm</w:t>
            </w:r>
          </w:p>
          <w:p w14:paraId="09CB8697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：读数的±1%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FF712AA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highlight w:val="none"/>
              </w:rPr>
              <w:drawing>
                <wp:inline distT="0" distB="0" distL="114300" distR="114300">
                  <wp:extent cx="302260" cy="1303020"/>
                  <wp:effectExtent l="0" t="322580" r="0" b="335280"/>
                  <wp:docPr id="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 rot="3480000">
                            <a:off x="0" y="0"/>
                            <a:ext cx="306471" cy="131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C4DAB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7" w:type="pct"/>
            <w:shd w:val="clear" w:color="auto" w:fill="auto"/>
            <w:vAlign w:val="center"/>
          </w:tcPr>
          <w:p w14:paraId="59DF4EC7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在线溶解氧传感器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6DDFB7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原理：荧光法</w:t>
            </w:r>
          </w:p>
          <w:p w14:paraId="6D04CF8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量程：0～20.00 mg/L</w:t>
            </w:r>
          </w:p>
          <w:p w14:paraId="6C9A834C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精度：±2%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7EABF437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382905" cy="1276350"/>
                  <wp:effectExtent l="5080" t="309245" r="13970" b="313690"/>
                  <wp:docPr id="5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8217" b="3108"/>
                          <a:stretch>
                            <a:fillRect/>
                          </a:stretch>
                        </pic:blipFill>
                        <pic:spPr>
                          <a:xfrm rot="3480000">
                            <a:off x="0" y="0"/>
                            <a:ext cx="38290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CFEC2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3" w:hRule="atLeast"/>
        </w:trPr>
        <w:tc>
          <w:tcPr>
            <w:tcW w:w="927" w:type="pct"/>
            <w:shd w:val="clear" w:color="auto" w:fill="auto"/>
            <w:vAlign w:val="center"/>
          </w:tcPr>
          <w:p w14:paraId="0C0683C2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在线浊度传感器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0F9599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原理：光散射</w:t>
            </w:r>
          </w:p>
          <w:p w14:paraId="28EE7422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</w:t>
            </w:r>
            <w:r>
              <w:rPr>
                <w:rFonts w:hint="eastAsia"/>
                <w:sz w:val="21"/>
                <w:szCs w:val="21"/>
                <w:highlight w:val="none"/>
              </w:rPr>
              <w:t>0~1000.0 NTU</w:t>
            </w:r>
          </w:p>
          <w:p w14:paraId="5EEA0F72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精度：</w:t>
            </w:r>
            <w:r>
              <w:rPr>
                <w:rFonts w:hint="eastAsia"/>
                <w:sz w:val="21"/>
                <w:szCs w:val="21"/>
                <w:highlight w:val="none"/>
              </w:rPr>
              <w:t>±5%或±3 NTU以大者为准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545F731C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397510" cy="1456690"/>
                  <wp:effectExtent l="1905" t="337820" r="4445" b="346710"/>
                  <wp:docPr id="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3600000">
                            <a:off x="0" y="0"/>
                            <a:ext cx="39751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30B04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8" w:hRule="atLeast"/>
        </w:trPr>
        <w:tc>
          <w:tcPr>
            <w:tcW w:w="927" w:type="pct"/>
            <w:shd w:val="clear" w:color="auto" w:fill="auto"/>
            <w:vAlign w:val="center"/>
          </w:tcPr>
          <w:p w14:paraId="7FA4C04E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在线悬浮物传感器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E726CA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</w:t>
            </w:r>
            <w:r>
              <w:rPr>
                <w:rFonts w:hint="eastAsia"/>
                <w:sz w:val="21"/>
                <w:szCs w:val="21"/>
                <w:highlight w:val="none"/>
              </w:rPr>
              <w:t>散射光法</w:t>
            </w:r>
          </w:p>
          <w:p w14:paraId="36BEB69B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</w:t>
            </w:r>
            <w:r>
              <w:rPr>
                <w:rFonts w:hint="eastAsia"/>
                <w:sz w:val="21"/>
                <w:szCs w:val="21"/>
                <w:highlight w:val="none"/>
              </w:rPr>
              <w:t>0～200.0 mg/L</w:t>
            </w:r>
          </w:p>
          <w:p w14:paraId="4D7028DB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精度：</w:t>
            </w:r>
            <w:r>
              <w:rPr>
                <w:rFonts w:hint="eastAsia"/>
                <w:sz w:val="21"/>
                <w:szCs w:val="21"/>
                <w:highlight w:val="none"/>
              </w:rPr>
              <w:t>±5%(取决于污泥同质性)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62DC3D83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397510" cy="1456690"/>
                  <wp:effectExtent l="10795" t="309245" r="10795" b="314325"/>
                  <wp:docPr id="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3780000">
                            <a:off x="0" y="0"/>
                            <a:ext cx="39751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210F6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927" w:type="pct"/>
            <w:shd w:val="clear" w:color="auto" w:fill="auto"/>
            <w:vAlign w:val="center"/>
          </w:tcPr>
          <w:p w14:paraId="04E70D34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在线污泥浓度传感器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2EF237F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</w:t>
            </w:r>
            <w:r>
              <w:rPr>
                <w:rFonts w:hint="eastAsia"/>
                <w:sz w:val="21"/>
                <w:szCs w:val="21"/>
                <w:highlight w:val="none"/>
              </w:rPr>
              <w:t>散射光法</w:t>
            </w:r>
          </w:p>
          <w:p w14:paraId="1D59E1CA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</w:t>
            </w:r>
            <w:r>
              <w:rPr>
                <w:rFonts w:hint="eastAsia"/>
                <w:sz w:val="21"/>
                <w:szCs w:val="21"/>
                <w:highlight w:val="none"/>
              </w:rPr>
              <w:t>0～20.000 g/L</w:t>
            </w:r>
          </w:p>
          <w:p w14:paraId="1C37BAC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精度：</w:t>
            </w:r>
            <w:r>
              <w:rPr>
                <w:rFonts w:hint="eastAsia"/>
                <w:sz w:val="21"/>
                <w:szCs w:val="21"/>
                <w:highlight w:val="none"/>
              </w:rPr>
              <w:t>±5%(取决于污泥同质性)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106420F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397510" cy="1456690"/>
                  <wp:effectExtent l="8255" t="318770" r="13335" b="320040"/>
                  <wp:docPr id="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3720000">
                            <a:off x="0" y="0"/>
                            <a:ext cx="39751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4152A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6" w:hRule="atLeast"/>
        </w:trPr>
        <w:tc>
          <w:tcPr>
            <w:tcW w:w="927" w:type="pct"/>
            <w:shd w:val="clear" w:color="auto" w:fill="auto"/>
            <w:vAlign w:val="center"/>
          </w:tcPr>
          <w:p w14:paraId="77585647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在线光学硝氮传感器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12F2D1AA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</w:t>
            </w:r>
            <w:r>
              <w:rPr>
                <w:rFonts w:hint="eastAsia"/>
                <w:sz w:val="21"/>
                <w:szCs w:val="21"/>
                <w:highlight w:val="none"/>
              </w:rPr>
              <w:t>双波长紫外吸收法</w:t>
            </w:r>
          </w:p>
          <w:p w14:paraId="08622195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</w:t>
            </w:r>
            <w:r>
              <w:rPr>
                <w:rFonts w:hint="eastAsia"/>
                <w:sz w:val="21"/>
                <w:szCs w:val="21"/>
                <w:highlight w:val="none"/>
              </w:rPr>
              <w:t>0～20.0 mg/L</w:t>
            </w:r>
          </w:p>
          <w:p w14:paraId="37AEF4CC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：读数的±5%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4DF1FB45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highlight w:val="none"/>
              </w:rPr>
            </w:pPr>
            <w:r>
              <w:rPr>
                <w:rFonts w:hint="eastAsia" w:ascii="Times New Roman" w:hAnsi="Times New Roman"/>
                <w:highlight w:val="none"/>
              </w:rPr>
              <w:drawing>
                <wp:inline distT="0" distB="0" distL="114300" distR="114300">
                  <wp:extent cx="192405" cy="1195705"/>
                  <wp:effectExtent l="0" t="240030" r="0" b="299085"/>
                  <wp:docPr id="59" name="图片 59" descr="lQLPDhsUQbx-RArNCMLNAWuwbhGOLd90K5cB8dyl7UBnAA_363_2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lQLPDhsUQbx-RArNCMLNAWuwbhGOLd90K5cB8dyl7UBnAA_363_224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3600000" flipH="1">
                            <a:off x="0" y="0"/>
                            <a:ext cx="19240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A6BC8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6" w:hRule="atLeast"/>
        </w:trPr>
        <w:tc>
          <w:tcPr>
            <w:tcW w:w="927" w:type="pct"/>
            <w:shd w:val="clear" w:color="auto" w:fill="auto"/>
            <w:vAlign w:val="center"/>
          </w:tcPr>
          <w:p w14:paraId="000C4FD9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在线COD传感器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35FEB61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</w:t>
            </w:r>
            <w:r>
              <w:rPr>
                <w:rFonts w:hint="eastAsia"/>
                <w:sz w:val="21"/>
                <w:szCs w:val="21"/>
                <w:highlight w:val="none"/>
              </w:rPr>
              <w:t>双波长紫外吸收法</w:t>
            </w:r>
          </w:p>
          <w:p w14:paraId="41D5E73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</w:t>
            </w:r>
            <w:r>
              <w:rPr>
                <w:rFonts w:hint="eastAsia"/>
                <w:sz w:val="21"/>
                <w:szCs w:val="21"/>
                <w:highlight w:val="none"/>
              </w:rPr>
              <w:t>0～500.0 mg/L</w:t>
            </w:r>
          </w:p>
          <w:p w14:paraId="46151881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精度：</w:t>
            </w:r>
            <w:r>
              <w:rPr>
                <w:rFonts w:hint="eastAsia"/>
                <w:sz w:val="21"/>
                <w:szCs w:val="21"/>
                <w:highlight w:val="none"/>
              </w:rPr>
              <w:t>读数的±5%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3259E4AE">
            <w:pPr>
              <w:spacing w:line="240" w:lineRule="auto"/>
              <w:ind w:firstLine="0" w:firstLineChars="0"/>
              <w:jc w:val="center"/>
              <w:rPr>
                <w:rFonts w:ascii="Times New Roman" w:hAnsi="Times New Roman"/>
                <w:highlight w:val="none"/>
              </w:rPr>
            </w:pPr>
            <w:r>
              <w:rPr>
                <w:rFonts w:hint="eastAsia" w:ascii="Times New Roman" w:hAnsi="Times New Roman"/>
                <w:highlight w:val="none"/>
              </w:rPr>
              <w:drawing>
                <wp:inline distT="0" distB="0" distL="114300" distR="114300">
                  <wp:extent cx="211455" cy="1327150"/>
                  <wp:effectExtent l="0" t="247015" r="0" b="318770"/>
                  <wp:docPr id="41" name="图片 1" descr="COD-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" descr="COD-40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3660000" flipH="1">
                            <a:off x="0" y="0"/>
                            <a:ext cx="211455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AAA4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8" w:hRule="atLeast"/>
        </w:trPr>
        <w:tc>
          <w:tcPr>
            <w:tcW w:w="927" w:type="pct"/>
            <w:shd w:val="clear" w:color="auto" w:fill="auto"/>
            <w:vAlign w:val="center"/>
          </w:tcPr>
          <w:p w14:paraId="62047F29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在线氨氮传感器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18F29AD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：离子选择电极法</w:t>
            </w:r>
          </w:p>
          <w:p w14:paraId="4C3EAD42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：0～100.00 mg/L</w:t>
            </w:r>
          </w:p>
          <w:p w14:paraId="1B89ADE5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：读数的±10%或±1 mg/L 以大者为准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0BE0F9C5">
            <w:pPr>
              <w:spacing w:line="240" w:lineRule="auto"/>
              <w:ind w:firstLine="0" w:firstLineChars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eastAsiaTheme="minorEastAsia"/>
                <w:highlight w:val="none"/>
              </w:rPr>
              <w:drawing>
                <wp:inline distT="0" distB="0" distL="114300" distR="114300">
                  <wp:extent cx="392430" cy="1581785"/>
                  <wp:effectExtent l="0" t="170180" r="0" b="290830"/>
                  <wp:docPr id="6" name="图片 6" descr="E:/新建文件夹 (9)/mmexport1716363568522.pngmmexport171636356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新建文件夹 (9)/mmexport1716363568522.pngmmexport17163635685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3411" r="33411"/>
                          <a:stretch>
                            <a:fillRect/>
                          </a:stretch>
                        </pic:blipFill>
                        <pic:spPr>
                          <a:xfrm rot="3420000">
                            <a:off x="0" y="0"/>
                            <a:ext cx="39243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9A48A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7" w:hRule="atLeast"/>
        </w:trPr>
        <w:tc>
          <w:tcPr>
            <w:tcW w:w="927" w:type="pct"/>
            <w:shd w:val="clear" w:color="auto" w:fill="auto"/>
            <w:vAlign w:val="center"/>
          </w:tcPr>
          <w:p w14:paraId="7D4AFD2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电磁流量计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83C9312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口径：DN15-DN300</w:t>
            </w:r>
          </w:p>
          <w:p w14:paraId="30ACECB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内衬：四氟</w:t>
            </w:r>
          </w:p>
          <w:p w14:paraId="33B06912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压力：1.6Mpa</w:t>
            </w:r>
          </w:p>
          <w:p w14:paraId="3B9BC966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sz w:val="21"/>
                <w:szCs w:val="21"/>
                <w:highlight w:val="none"/>
              </w:rPr>
              <w:t>电极：316L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43EFFBC3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/>
                <w:highlight w:val="none"/>
              </w:rPr>
              <w:drawing>
                <wp:inline distT="0" distB="0" distL="114300" distR="114300">
                  <wp:extent cx="726440" cy="846455"/>
                  <wp:effectExtent l="0" t="0" r="5080" b="6985"/>
                  <wp:docPr id="7" name="图片 1" descr="1724057082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172405708257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D54C1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927" w:type="pct"/>
            <w:shd w:val="clear" w:color="auto" w:fill="auto"/>
            <w:vAlign w:val="center"/>
          </w:tcPr>
          <w:p w14:paraId="771242C6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便携式多参数分析仪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673E531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检测参数：COD、 高锰酸盐指数、氨氮、总磷、总氮、硝酸盐氮、亚硝酸盐氮、磷酸盐、硫酸盐、亚硫酸盐、硫化物、余氯、重金属（铜镍锌锰）等</w:t>
            </w:r>
          </w:p>
          <w:p w14:paraId="0633D6B4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工作波长范围：420nm 520nm，580nm，610nm；波长半宽度：5±2（nm）；</w:t>
            </w:r>
          </w:p>
          <w:p w14:paraId="23EA7BA2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仪器的检测范围：吸光度值0.000-3.000；</w:t>
            </w:r>
          </w:p>
          <w:p w14:paraId="2FAD07AB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光源灯：冷光源；</w:t>
            </w:r>
          </w:p>
          <w:p w14:paraId="0C4B34B9">
            <w:pPr>
              <w:spacing w:line="240" w:lineRule="auto"/>
              <w:ind w:firstLine="0" w:firstLineChars="0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分辨率：0.001；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343BDCE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highlight w:val="none"/>
                <w:lang w:bidi="ar"/>
              </w:rPr>
              <w:drawing>
                <wp:inline distT="0" distB="0" distL="114300" distR="114300">
                  <wp:extent cx="828675" cy="1152525"/>
                  <wp:effectExtent l="0" t="0" r="9525" b="5715"/>
                  <wp:docPr id="8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53A77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927" w:type="pct"/>
            <w:shd w:val="clear" w:color="auto" w:fill="auto"/>
            <w:vAlign w:val="center"/>
          </w:tcPr>
          <w:p w14:paraId="31C1EF24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手持</w:t>
            </w:r>
            <w:r>
              <w:rPr>
                <w:rFonts w:hint="eastAsia"/>
                <w:sz w:val="21"/>
                <w:szCs w:val="21"/>
                <w:highlight w:val="none"/>
              </w:rPr>
              <w:t>式多参数检测仪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4B6B9140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显示：3.3 英寸单色液晶显示屏</w:t>
            </w:r>
          </w:p>
          <w:p w14:paraId="4393D9B1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外形尺寸：200mm*101mm*36mm</w:t>
            </w:r>
          </w:p>
          <w:p w14:paraId="7261A689">
            <w:pPr>
              <w:spacing w:line="240" w:lineRule="auto"/>
              <w:ind w:firstLine="0" w:firstLineChars="0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防护等级：IP67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B66A3AD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highlight w:val="none"/>
                <w:lang w:bidi="ar"/>
              </w:rPr>
              <w:drawing>
                <wp:inline distT="0" distB="0" distL="114300" distR="114300">
                  <wp:extent cx="733425" cy="1333500"/>
                  <wp:effectExtent l="0" t="0" r="13335" b="7620"/>
                  <wp:docPr id="1" name="图片 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B7994D">
      <w:pPr>
        <w:ind w:firstLine="480"/>
        <w:rPr>
          <w:rFonts w:hint="eastAsia"/>
          <w:color w:val="FF0000"/>
          <w:highlight w:val="none"/>
        </w:rPr>
      </w:pPr>
    </w:p>
    <w:p w14:paraId="7056D658">
      <w:pPr>
        <w:pStyle w:val="3"/>
        <w:ind w:left="1055"/>
        <w:rPr>
          <w:rFonts w:hint="eastAsia"/>
          <w:highlight w:val="none"/>
        </w:rPr>
      </w:pPr>
      <w:bookmarkStart w:id="14" w:name="_Toc21015"/>
      <w:r>
        <w:rPr>
          <w:rFonts w:hint="eastAsia"/>
          <w:highlight w:val="none"/>
        </w:rPr>
        <w:t>场景适配性</w:t>
      </w:r>
      <w:bookmarkEnd w:id="14"/>
    </w:p>
    <w:p w14:paraId="4E69D153">
      <w:pPr>
        <w:pStyle w:val="3"/>
        <w:numPr>
          <w:ilvl w:val="1"/>
          <w:numId w:val="0"/>
        </w:numPr>
        <w:rPr>
          <w:rFonts w:hint="eastAsia"/>
          <w:sz w:val="28"/>
          <w:szCs w:val="28"/>
          <w:highlight w:val="none"/>
        </w:rPr>
      </w:pPr>
      <w:bookmarkStart w:id="15" w:name="_Toc12849"/>
      <w:bookmarkStart w:id="16" w:name="_Toc8037"/>
      <w:r>
        <w:rPr>
          <w:rFonts w:hint="eastAsia"/>
          <w:sz w:val="28"/>
          <w:szCs w:val="28"/>
          <w:highlight w:val="none"/>
        </w:rPr>
        <w:t>4.2.1格栅</w:t>
      </w:r>
      <w:bookmarkEnd w:id="15"/>
      <w:bookmarkEnd w:id="16"/>
    </w:p>
    <w:p w14:paraId="4C903199">
      <w:pPr>
        <w:ind w:firstLine="480"/>
        <w:rPr>
          <w:rFonts w:hint="eastAsia"/>
          <w:highlight w:val="none"/>
        </w:rPr>
      </w:pPr>
      <w:r>
        <w:rPr>
          <w:highlight w:val="none"/>
        </w:rPr>
        <w:t>格栅是用来去除可能堵塞水泵机组及管道阀门的较粗大悬浮物，并保证后续处理设施能正常运行。格栅是由一组(或多组)相平行的金属栅条与框架组成，倾斜安装在进水的渠道，或进水泵站集水井的进口处，以拦截污水中粗大的悬浮物及杂质。</w:t>
      </w:r>
    </w:p>
    <w:p w14:paraId="52CB8942">
      <w:pPr>
        <w:ind w:firstLine="0" w:firstLineChars="0"/>
        <w:jc w:val="center"/>
        <w:rPr>
          <w:rFonts w:hint="eastAsia"/>
          <w:highlight w:val="none"/>
        </w:rPr>
      </w:pPr>
      <w:r>
        <w:rPr>
          <w:highlight w:val="none"/>
        </w:rPr>
        <w:drawing>
          <wp:inline distT="0" distB="0" distL="114300" distR="114300">
            <wp:extent cx="3344545" cy="2334260"/>
            <wp:effectExtent l="0" t="0" r="8255" b="1270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D782C">
      <w:pPr>
        <w:ind w:firstLine="482"/>
        <w:rPr>
          <w:rFonts w:hint="eastAsia"/>
          <w:highlight w:val="none"/>
        </w:rPr>
      </w:pPr>
      <w:r>
        <w:rPr>
          <w:rFonts w:hint="eastAsia"/>
          <w:b/>
          <w:bCs/>
          <w:highlight w:val="none"/>
        </w:rPr>
        <w:t>监测参数：</w:t>
      </w:r>
      <w:r>
        <w:rPr>
          <w:rFonts w:hint="eastAsia"/>
          <w:highlight w:val="none"/>
        </w:rPr>
        <w:t>悬浮物；</w:t>
      </w:r>
    </w:p>
    <w:p w14:paraId="4DD82FF6">
      <w:pPr>
        <w:ind w:firstLine="482"/>
        <w:rPr>
          <w:rFonts w:hint="eastAsia"/>
          <w:highlight w:val="none"/>
        </w:rPr>
      </w:pPr>
      <w:r>
        <w:rPr>
          <w:rFonts w:hint="eastAsia"/>
          <w:b/>
          <w:bCs/>
          <w:highlight w:val="none"/>
        </w:rPr>
        <w:t>监测意义</w:t>
      </w:r>
      <w:r>
        <w:rPr>
          <w:rFonts w:hint="eastAsia"/>
          <w:highlight w:val="none"/>
        </w:rPr>
        <w:t>：评估拦截效率，防止后续设备堵塞</w:t>
      </w:r>
    </w:p>
    <w:p w14:paraId="79B4D37E">
      <w:pPr>
        <w:pStyle w:val="3"/>
        <w:numPr>
          <w:ilvl w:val="1"/>
          <w:numId w:val="0"/>
        </w:numPr>
        <w:rPr>
          <w:rFonts w:hint="eastAsia"/>
          <w:sz w:val="28"/>
          <w:szCs w:val="28"/>
          <w:highlight w:val="none"/>
        </w:rPr>
      </w:pPr>
      <w:bookmarkStart w:id="17" w:name="_Toc13599"/>
      <w:bookmarkStart w:id="18" w:name="_Toc17473"/>
      <w:r>
        <w:rPr>
          <w:rFonts w:hint="eastAsia"/>
          <w:sz w:val="28"/>
          <w:szCs w:val="28"/>
          <w:highlight w:val="none"/>
        </w:rPr>
        <w:t>4.2.2沉砂池</w:t>
      </w:r>
      <w:bookmarkEnd w:id="17"/>
      <w:bookmarkEnd w:id="18"/>
    </w:p>
    <w:p w14:paraId="292294E4">
      <w:pPr>
        <w:ind w:firstLine="480"/>
        <w:rPr>
          <w:rFonts w:hint="eastAsia"/>
          <w:highlight w:val="none"/>
        </w:rPr>
      </w:pPr>
      <w:r>
        <w:rPr>
          <w:highlight w:val="none"/>
        </w:rPr>
        <w:t>普通沉砂池的沉砂中含有约15%的有机物，使沉砂的后续处理理难度增加。采用曝气式沉砂池可克服这一缺点。曝气式沉砂池是在池的一侧</w:t>
      </w:r>
      <w:bookmarkStart w:id="34" w:name="_GoBack"/>
      <w:bookmarkEnd w:id="34"/>
      <w:r>
        <w:rPr>
          <w:highlight w:val="none"/>
        </w:rPr>
        <w:t>通入空气,使池内水流产生与主流垂直的横向旋流。曝气式沉砂池的优点是通过调节曝气量,可以控制污水的旋流速度,使除砂效率较稳定,受流量变化的影响较小。同时,还对污水起预曝气作用。</w:t>
      </w:r>
    </w:p>
    <w:p w14:paraId="2EB6BC15">
      <w:pPr>
        <w:ind w:firstLine="480"/>
        <w:jc w:val="center"/>
        <w:rPr>
          <w:rFonts w:hint="eastAsia"/>
          <w:highlight w:val="none"/>
        </w:rPr>
      </w:pPr>
      <w:r>
        <w:rPr>
          <w:highlight w:val="none"/>
        </w:rPr>
        <w:drawing>
          <wp:inline distT="0" distB="0" distL="114300" distR="114300">
            <wp:extent cx="3655060" cy="2252345"/>
            <wp:effectExtent l="0" t="0" r="2540" b="317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A2F85">
      <w:pPr>
        <w:ind w:firstLine="482"/>
        <w:rPr>
          <w:rFonts w:hint="eastAsia"/>
          <w:highlight w:val="none"/>
        </w:rPr>
      </w:pPr>
      <w:r>
        <w:rPr>
          <w:rFonts w:hint="eastAsia"/>
          <w:b/>
          <w:bCs/>
          <w:highlight w:val="none"/>
        </w:rPr>
        <w:t>监测参数：</w:t>
      </w:r>
      <w:r>
        <w:rPr>
          <w:rFonts w:hint="eastAsia"/>
          <w:highlight w:val="none"/>
        </w:rPr>
        <w:t>溶解氧、污泥浓度、悬浮物；</w:t>
      </w:r>
    </w:p>
    <w:p w14:paraId="25DDDC82">
      <w:pPr>
        <w:ind w:firstLine="482"/>
        <w:rPr>
          <w:rFonts w:hint="eastAsia"/>
          <w:highlight w:val="none"/>
        </w:rPr>
      </w:pPr>
      <w:r>
        <w:rPr>
          <w:rFonts w:hint="eastAsia"/>
          <w:b/>
          <w:bCs/>
          <w:highlight w:val="none"/>
        </w:rPr>
        <w:t>监测意义</w:t>
      </w:r>
      <w:r>
        <w:rPr>
          <w:rFonts w:hint="eastAsia"/>
          <w:highlight w:val="none"/>
        </w:rPr>
        <w:t>：控制曝气强度，保障沉砂效果，减少设备磨损；</w:t>
      </w:r>
    </w:p>
    <w:p w14:paraId="4B611CE0">
      <w:pPr>
        <w:pStyle w:val="3"/>
        <w:numPr>
          <w:ilvl w:val="1"/>
          <w:numId w:val="0"/>
        </w:numPr>
        <w:rPr>
          <w:rFonts w:hint="eastAsia"/>
          <w:highlight w:val="none"/>
        </w:rPr>
      </w:pPr>
      <w:bookmarkStart w:id="19" w:name="_Toc21649"/>
      <w:bookmarkStart w:id="20" w:name="_Toc15574"/>
      <w:r>
        <w:rPr>
          <w:rFonts w:hint="eastAsia"/>
          <w:sz w:val="28"/>
          <w:szCs w:val="28"/>
          <w:highlight w:val="none"/>
        </w:rPr>
        <w:t>4.2.3初沉池</w:t>
      </w:r>
      <w:bookmarkEnd w:id="19"/>
      <w:bookmarkEnd w:id="20"/>
    </w:p>
    <w:p w14:paraId="679D994F">
      <w:pPr>
        <w:ind w:firstLine="480"/>
        <w:rPr>
          <w:rFonts w:hint="eastAsia"/>
          <w:highlight w:val="none"/>
        </w:rPr>
      </w:pPr>
      <w:r>
        <w:rPr>
          <w:highlight w:val="none"/>
        </w:rPr>
        <w:t>初沉池可除去废水中的可沉物和漂浮物。废水经初沉后，约可去除可沉物、油脂和漂浮物的50%、BOD的20%，按去除单位质量BOD或固体物计算，初沉池是经济上最为节省的净化步骤，对于生活污水和悬浮物较高的工业污水均易采用初沉池预处理。去除可沉物和漂浮物，减轻后续处理设施的负荷。使细小的固体絮凝成较大的颗粒，强化了固液分离效果。对胶体物质具有一定的吸附去除作用。一定程度上，初沉池可起到调节池的作</w:t>
      </w:r>
      <w:r>
        <w:rPr>
          <w:rFonts w:hint="eastAsia"/>
          <w:highlight w:val="none"/>
        </w:rPr>
        <w:t>用。</w:t>
      </w:r>
    </w:p>
    <w:p w14:paraId="240F6709">
      <w:pPr>
        <w:ind w:firstLine="480"/>
        <w:jc w:val="center"/>
        <w:rPr>
          <w:rFonts w:hint="eastAsia"/>
          <w:highlight w:val="none"/>
        </w:rPr>
      </w:pPr>
      <w:r>
        <w:rPr>
          <w:highlight w:val="none"/>
        </w:rPr>
        <w:drawing>
          <wp:inline distT="0" distB="0" distL="114300" distR="114300">
            <wp:extent cx="3482340" cy="2057400"/>
            <wp:effectExtent l="0" t="0" r="7620" b="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076FE">
      <w:pPr>
        <w:ind w:firstLine="482"/>
        <w:rPr>
          <w:rFonts w:hint="eastAsia"/>
          <w:highlight w:val="none"/>
        </w:rPr>
      </w:pPr>
      <w:r>
        <w:rPr>
          <w:rFonts w:hint="eastAsia"/>
          <w:b/>
          <w:bCs/>
          <w:highlight w:val="none"/>
        </w:rPr>
        <w:t>监测参数：</w:t>
      </w:r>
      <w:r>
        <w:rPr>
          <w:rFonts w:hint="eastAsia"/>
          <w:highlight w:val="none"/>
        </w:rPr>
        <w:t>悬浮物、污泥浓度、COD；</w:t>
      </w:r>
    </w:p>
    <w:p w14:paraId="0D11ED5B">
      <w:pPr>
        <w:ind w:firstLine="482"/>
        <w:rPr>
          <w:rFonts w:hint="eastAsia"/>
          <w:highlight w:val="none"/>
        </w:rPr>
      </w:pPr>
      <w:r>
        <w:rPr>
          <w:rFonts w:hint="eastAsia"/>
          <w:b/>
          <w:bCs/>
          <w:highlight w:val="none"/>
        </w:rPr>
        <w:t>监测意义</w:t>
      </w:r>
      <w:r>
        <w:rPr>
          <w:rFonts w:hint="eastAsia"/>
          <w:highlight w:val="none"/>
        </w:rPr>
        <w:t>：评估预处理效果，为生化段提供稳定进水负荷；</w:t>
      </w:r>
    </w:p>
    <w:p w14:paraId="03CB71F0">
      <w:pPr>
        <w:pStyle w:val="3"/>
        <w:numPr>
          <w:ilvl w:val="1"/>
          <w:numId w:val="0"/>
        </w:numPr>
        <w:rPr>
          <w:rFonts w:hint="eastAsia"/>
          <w:highlight w:val="none"/>
        </w:rPr>
      </w:pPr>
      <w:bookmarkStart w:id="21" w:name="_Toc16460"/>
      <w:bookmarkStart w:id="22" w:name="_Toc1974"/>
      <w:r>
        <w:rPr>
          <w:rFonts w:hint="eastAsia"/>
          <w:sz w:val="28"/>
          <w:szCs w:val="28"/>
          <w:highlight w:val="none"/>
        </w:rPr>
        <w:t>4.2.4生化池</w:t>
      </w:r>
      <w:bookmarkEnd w:id="21"/>
      <w:bookmarkEnd w:id="22"/>
      <w:r>
        <w:rPr>
          <w:rFonts w:hint="eastAsia"/>
          <w:sz w:val="28"/>
          <w:szCs w:val="28"/>
          <w:highlight w:val="none"/>
        </w:rPr>
        <w:t>（好氧池/缺氧池/厌氧池）</w:t>
      </w:r>
    </w:p>
    <w:p w14:paraId="2EDEA84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生化池的主要作用是利用微生物分解污水中的有机污染物。通过培养特定的细菌等微生物，这些“小帮手”会吃掉污水里的有机物（如粪便、食物残渣等），将其转化为二氧化碳、水和污泥，从而大幅降低污染物浓度，使水质变清洁。这一过程是污水处理的核心环节，能有效去除约90%的有机物，处理后的水才能达到排放或回用标准。</w:t>
      </w:r>
    </w:p>
    <w:p w14:paraId="2EEB80F1">
      <w:pPr>
        <w:ind w:firstLine="480"/>
        <w:jc w:val="center"/>
        <w:rPr>
          <w:rFonts w:hint="eastAsia"/>
          <w:highlight w:val="none"/>
        </w:rPr>
      </w:pPr>
      <w:r>
        <w:rPr>
          <w:highlight w:val="none"/>
        </w:rPr>
        <w:drawing>
          <wp:inline distT="0" distB="0" distL="114300" distR="114300">
            <wp:extent cx="4092575" cy="2318385"/>
            <wp:effectExtent l="0" t="0" r="6985" b="1333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E77C4">
      <w:pPr>
        <w:ind w:firstLine="482"/>
        <w:rPr>
          <w:rFonts w:hint="eastAsia"/>
          <w:highlight w:val="none"/>
        </w:rPr>
      </w:pPr>
      <w:r>
        <w:rPr>
          <w:rFonts w:hint="eastAsia"/>
          <w:b/>
          <w:bCs/>
          <w:highlight w:val="none"/>
        </w:rPr>
        <w:t>监测参数：</w:t>
      </w:r>
      <w:r>
        <w:rPr>
          <w:rFonts w:hint="eastAsia"/>
          <w:highlight w:val="none"/>
        </w:rPr>
        <w:t>COD、硝氮/氨氮、总磷、总氮、PH、溶解氧、悬浮物、污泥浓度；</w:t>
      </w:r>
    </w:p>
    <w:p w14:paraId="7505685A">
      <w:pPr>
        <w:ind w:firstLine="482"/>
        <w:rPr>
          <w:rFonts w:hint="eastAsia"/>
          <w:highlight w:val="none"/>
        </w:rPr>
      </w:pPr>
      <w:r>
        <w:rPr>
          <w:rFonts w:hint="eastAsia"/>
          <w:b/>
          <w:bCs/>
          <w:highlight w:val="none"/>
        </w:rPr>
        <w:t>监测意义</w:t>
      </w:r>
      <w:r>
        <w:rPr>
          <w:rFonts w:hint="eastAsia"/>
          <w:highlight w:val="none"/>
        </w:rPr>
        <w:t>：控制污泥龄，优化碳氮磷比，防止污泥膨胀/中毒；</w:t>
      </w:r>
    </w:p>
    <w:p w14:paraId="6B812FD7">
      <w:pPr>
        <w:pStyle w:val="3"/>
        <w:numPr>
          <w:ilvl w:val="1"/>
          <w:numId w:val="0"/>
        </w:numPr>
        <w:rPr>
          <w:rFonts w:hint="eastAsia"/>
          <w:highlight w:val="none"/>
        </w:rPr>
      </w:pPr>
      <w:bookmarkStart w:id="23" w:name="_Toc23370"/>
      <w:bookmarkStart w:id="24" w:name="_Toc17977"/>
      <w:r>
        <w:rPr>
          <w:rFonts w:hint="eastAsia"/>
          <w:sz w:val="28"/>
          <w:szCs w:val="28"/>
          <w:highlight w:val="none"/>
        </w:rPr>
        <w:t>4.2.5滤池</w:t>
      </w:r>
      <w:bookmarkEnd w:id="23"/>
      <w:bookmarkEnd w:id="24"/>
    </w:p>
    <w:p w14:paraId="561541B7">
      <w:pPr>
        <w:ind w:firstLine="480"/>
        <w:rPr>
          <w:rFonts w:hint="eastAsia"/>
          <w:highlight w:val="none"/>
        </w:rPr>
      </w:pPr>
      <w:r>
        <w:rPr>
          <w:highlight w:val="none"/>
        </w:rPr>
        <w:t xml:space="preserve">污水处理厂滤池，利用滤料孔隙拦截污水里的悬浮杂质、颗粒物，去除泥沙、藻类、部分有机物与微生物，降低浊度，改善水质，让处理后的水达标排放或回用。 </w:t>
      </w:r>
    </w:p>
    <w:p w14:paraId="0886F801">
      <w:pPr>
        <w:ind w:firstLine="480"/>
        <w:jc w:val="center"/>
        <w:rPr>
          <w:rFonts w:hint="eastAsia"/>
          <w:b/>
          <w:bCs/>
          <w:highlight w:val="none"/>
        </w:rPr>
      </w:pPr>
      <w:r>
        <w:rPr>
          <w:highlight w:val="none"/>
        </w:rPr>
        <w:drawing>
          <wp:inline distT="0" distB="0" distL="114300" distR="114300">
            <wp:extent cx="3202940" cy="2049780"/>
            <wp:effectExtent l="0" t="0" r="12700" b="7620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4EEC4">
      <w:pPr>
        <w:ind w:firstLine="482"/>
        <w:rPr>
          <w:rFonts w:hint="eastAsia"/>
          <w:highlight w:val="none"/>
        </w:rPr>
      </w:pPr>
      <w:r>
        <w:rPr>
          <w:rFonts w:hint="eastAsia"/>
          <w:b/>
          <w:bCs/>
          <w:highlight w:val="none"/>
        </w:rPr>
        <w:t>监测参数：</w:t>
      </w:r>
      <w:r>
        <w:rPr>
          <w:rFonts w:hint="eastAsia"/>
          <w:highlight w:val="none"/>
        </w:rPr>
        <w:t>浊度；</w:t>
      </w:r>
    </w:p>
    <w:p w14:paraId="35A8BC15">
      <w:pPr>
        <w:ind w:firstLine="482"/>
        <w:rPr>
          <w:rFonts w:hint="eastAsia"/>
          <w:highlight w:val="none"/>
        </w:rPr>
      </w:pPr>
      <w:r>
        <w:rPr>
          <w:rFonts w:hint="eastAsia"/>
          <w:b/>
          <w:bCs/>
          <w:highlight w:val="none"/>
        </w:rPr>
        <w:t>监测意义</w:t>
      </w:r>
      <w:r>
        <w:rPr>
          <w:rFonts w:hint="eastAsia"/>
          <w:highlight w:val="none"/>
        </w:rPr>
        <w:t>：动态监控滤料堵塞，优化反冲洗周期；</w:t>
      </w:r>
    </w:p>
    <w:p w14:paraId="2544342B">
      <w:pPr>
        <w:pStyle w:val="2"/>
        <w:rPr>
          <w:rFonts w:hint="eastAsia"/>
          <w:highlight w:val="none"/>
        </w:rPr>
      </w:pPr>
      <w:bookmarkStart w:id="25" w:name="_Toc27010"/>
      <w:bookmarkStart w:id="26" w:name="_Toc30005"/>
      <w:r>
        <w:rPr>
          <w:rFonts w:hint="eastAsia"/>
          <w:highlight w:val="none"/>
        </w:rPr>
        <w:t>设备寿命及维护</w:t>
      </w:r>
      <w:bookmarkEnd w:id="25"/>
      <w:bookmarkEnd w:id="26"/>
    </w:p>
    <w:p w14:paraId="4492147C">
      <w:pPr>
        <w:pStyle w:val="3"/>
        <w:ind w:left="1055"/>
        <w:rPr>
          <w:rFonts w:hint="eastAsia"/>
          <w:highlight w:val="none"/>
        </w:rPr>
      </w:pPr>
      <w:bookmarkStart w:id="27" w:name="_Toc5743"/>
      <w:r>
        <w:rPr>
          <w:rFonts w:hint="eastAsia"/>
          <w:highlight w:val="none"/>
        </w:rPr>
        <w:t>设备寿命周期与维护周期表</w:t>
      </w:r>
      <w:bookmarkEnd w:id="27"/>
    </w:p>
    <w:tbl>
      <w:tblPr>
        <w:tblStyle w:val="20"/>
        <w:tblpPr w:leftFromText="180" w:rightFromText="180" w:vertAnchor="text" w:horzAnchor="page" w:tblpX="1887" w:tblpY="97"/>
        <w:tblOverlap w:val="never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9"/>
        <w:gridCol w:w="2839"/>
        <w:gridCol w:w="2841"/>
      </w:tblGrid>
      <w:tr w14:paraId="5456AB3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3328C219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设备名称</w:t>
            </w:r>
          </w:p>
        </w:tc>
        <w:tc>
          <w:tcPr>
            <w:tcW w:w="1666" w:type="pct"/>
            <w:vAlign w:val="center"/>
          </w:tcPr>
          <w:p w14:paraId="3DAB05E2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维护周期</w:t>
            </w:r>
          </w:p>
        </w:tc>
        <w:tc>
          <w:tcPr>
            <w:tcW w:w="1667" w:type="pct"/>
            <w:vAlign w:val="center"/>
          </w:tcPr>
          <w:p w14:paraId="650D8FE8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使用寿命</w:t>
            </w:r>
          </w:p>
        </w:tc>
      </w:tr>
      <w:tr w14:paraId="2987A9C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66" w:type="pct"/>
            <w:shd w:val="clear" w:color="auto" w:fill="auto"/>
            <w:vAlign w:val="center"/>
          </w:tcPr>
          <w:p w14:paraId="79E8663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在线全光谱多参数传感器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C0F0DD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7A21682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2-3年</w:t>
            </w:r>
          </w:p>
        </w:tc>
      </w:tr>
      <w:tr w14:paraId="6D69066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66" w:type="pct"/>
            <w:shd w:val="clear" w:color="auto" w:fill="auto"/>
            <w:vAlign w:val="center"/>
          </w:tcPr>
          <w:p w14:paraId="1BF276EE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在线PH传感器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FC9532A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9884FC5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1年</w:t>
            </w:r>
          </w:p>
        </w:tc>
      </w:tr>
      <w:tr w14:paraId="328D463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71280624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在线ORP传感器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7809A2D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0BA77702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1年</w:t>
            </w:r>
          </w:p>
        </w:tc>
      </w:tr>
      <w:tr w14:paraId="674F3B6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70CB988D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在线电导率传感器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DA83AA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49DE116C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2-3年</w:t>
            </w:r>
          </w:p>
        </w:tc>
      </w:tr>
      <w:tr w14:paraId="413CD46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65A65F64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在线溶解氧传感器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AA66708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1CCB605F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2-3年</w:t>
            </w:r>
          </w:p>
        </w:tc>
      </w:tr>
      <w:tr w14:paraId="17DA8A1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55AD86F3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在线浊度传感器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D1F0B1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AF86F82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2-3年</w:t>
            </w:r>
          </w:p>
        </w:tc>
      </w:tr>
      <w:tr w14:paraId="5AC5D7F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35F09994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在线悬浮物传感器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6A409AF4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4B857AD3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2-3年</w:t>
            </w:r>
          </w:p>
        </w:tc>
      </w:tr>
      <w:tr w14:paraId="58219FD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72FB7E2A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在线污泥浓度传感器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524042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41BF04A2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2-3年</w:t>
            </w:r>
          </w:p>
        </w:tc>
      </w:tr>
      <w:tr w14:paraId="78CF442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1CFE68B5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在线光学硝氮传感器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67039A8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104D194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2-3年</w:t>
            </w:r>
          </w:p>
        </w:tc>
      </w:tr>
      <w:tr w14:paraId="6D7FC9A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427789EE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在线COD传感器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EF3349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5336845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2-3年</w:t>
            </w:r>
          </w:p>
        </w:tc>
      </w:tr>
      <w:tr w14:paraId="5142A87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7D82AB29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在线氨氮传感器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18ED44B3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17143C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半年</w:t>
            </w:r>
          </w:p>
        </w:tc>
      </w:tr>
      <w:tr w14:paraId="3048DAD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55521F7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电磁流量计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A8E8BAC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5991251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3-5年</w:t>
            </w:r>
          </w:p>
        </w:tc>
      </w:tr>
      <w:tr w14:paraId="7FE5E88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7601459F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便携式多参数分析仪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9D8CFD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7DAA0DF2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2-3年</w:t>
            </w:r>
          </w:p>
        </w:tc>
      </w:tr>
    </w:tbl>
    <w:p w14:paraId="5A06B4DA">
      <w:pPr>
        <w:ind w:firstLine="480"/>
        <w:rPr>
          <w:rFonts w:hint="eastAsia"/>
          <w:highlight w:val="none"/>
        </w:rPr>
      </w:pPr>
    </w:p>
    <w:p w14:paraId="51E16619">
      <w:pPr>
        <w:pStyle w:val="3"/>
        <w:ind w:left="1055"/>
        <w:rPr>
          <w:rFonts w:hint="eastAsia"/>
          <w:highlight w:val="none"/>
        </w:rPr>
      </w:pPr>
      <w:bookmarkStart w:id="28" w:name="_Toc7932"/>
      <w:r>
        <w:rPr>
          <w:rFonts w:hint="eastAsia"/>
          <w:highlight w:val="none"/>
        </w:rPr>
        <w:t>设备日常维护</w:t>
      </w:r>
      <w:bookmarkEnd w:id="28"/>
    </w:p>
    <w:p w14:paraId="4F16A2F3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在线PH传感器</w:t>
      </w:r>
    </w:p>
    <w:p w14:paraId="32762443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（1）测量前用蒸馏水洗净并擦干传感器，插入被测液1/3深度，防杂质污染。</w:t>
      </w:r>
    </w:p>
    <w:p w14:paraId="7959EBF6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（2）闲置保养，洗净后浸泡于3mol/L氯化钾溶液中（保护套或容器），维持电极性能。</w:t>
      </w:r>
    </w:p>
    <w:p w14:paraId="09BE4377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在线ORP传感器</w:t>
      </w:r>
    </w:p>
    <w:p w14:paraId="632EF2E3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（1）ORP电极在测量时，应先在蒸馏水中（或去离子水中）清洗干净，并用滤纸吸干水分，防止杂质带进被测液中，电极的1/3应插入被测溶液中。</w:t>
      </w:r>
    </w:p>
    <w:p w14:paraId="1B28D352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（2）电极不用时应洗净，插入加有3mol/L氯化钾溶液的保护套,或将电极插进加有3mol/L氯化钾溶液的容器中。</w:t>
      </w:r>
    </w:p>
    <w:p w14:paraId="083FB700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检查接线端子处是否干燥，如有沾污，请用无水酒精擦拭，吹干后使用。应避免长期浸泡在蒸馏水或蛋白质溶液中，并防止与有机硅油脂接触。使用时间较长的电极，可用稀盐酸洗涤，并用水冲洗。电极使用（4）时间较长，出现测量误差时，须配合仪表进行标定，进行校正。</w:t>
      </w:r>
    </w:p>
    <w:p w14:paraId="0F5C360C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（5）当用以上方式对电极进行维护和保养时仍不能进行标定和测量时，说明电极已经失效，请更换电极。</w:t>
      </w:r>
    </w:p>
    <w:p w14:paraId="5F9222EE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在线电导率传感器</w:t>
      </w:r>
    </w:p>
    <w:p w14:paraId="0452E3A0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（1）用软毛刷清除附着物（防划伤），蒸馏水洗净后校准。  </w:t>
      </w:r>
    </w:p>
    <w:p w14:paraId="7AF31876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（2）根据工况调整校准频率，确保测量准确性。</w:t>
      </w:r>
    </w:p>
    <w:p w14:paraId="5AFE4E91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在线溶解氧传感器</w:t>
      </w:r>
    </w:p>
    <w:p w14:paraId="6918F980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（1）使用后及时安装电极保护套，保证套内海绵湿润；新传感器需在自来水中活化24小时，确保测试准确性。</w:t>
      </w:r>
    </w:p>
    <w:p w14:paraId="7E2881C2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（2）测试时将传感器置于水中，避免长时间测试空气；测量和校准时，防止荧光膜表面附着气泡；测试中避免荧光膜头受摩擦刮伤，野外测试时膜头离水底30公分以上。</w:t>
      </w:r>
    </w:p>
    <w:p w14:paraId="7306DCA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（3）检查线缆是否绷紧或与硬物摩擦，确保正常安装时线缆处于合适状态，防止内部电线断裂或表皮破损进水。</w:t>
      </w:r>
    </w:p>
    <w:p w14:paraId="694B98CE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在线浊度</w:t>
      </w:r>
      <w:r>
        <w:rPr>
          <w:rFonts w:hint="eastAsia"/>
          <w:b/>
          <w:bCs/>
          <w:highlight w:val="none"/>
        </w:rPr>
        <w:t>/悬浮物/污泥浓度</w:t>
      </w:r>
      <w:r>
        <w:rPr>
          <w:b/>
          <w:bCs/>
          <w:highlight w:val="none"/>
        </w:rPr>
        <w:t>传感器</w:t>
      </w:r>
    </w:p>
    <w:p w14:paraId="14320236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（1）外表面清洁自来水冲洗表面，软布擦拭残留碎屑，顽固污垢可用稀释家用洗涤液清洗。  </w:t>
      </w:r>
    </w:p>
    <w:p w14:paraId="5D8B9041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（2）线缆检查确保线缆松弛无绷紧，避免内部断裂导致故障。  </w:t>
      </w:r>
    </w:p>
    <w:p w14:paraId="4E2A081F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（3）测量窗口维护检查测量窗口是否脏污，清洁刷是否正常工作。  </w:t>
      </w:r>
    </w:p>
    <w:p w14:paraId="3D86666D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在线光学硝氮传感器</w:t>
      </w:r>
    </w:p>
    <w:p w14:paraId="68144347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（1）定期用自来水清洗传感器外表面，若有碎屑用湿润软布擦拭，顽固污垢可加家用洗涤液清洗；每18个月返厂检测保养自清洁刷；检查测量窗口和清洁刷是否脏污、损坏。</w:t>
      </w:r>
    </w:p>
    <w:p w14:paraId="6C65F94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（2）查看线缆是否绷紧，防止内部电线断裂影响传感器正常工作。</w:t>
      </w:r>
    </w:p>
    <w:p w14:paraId="1F18BD49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在线COD传感器</w:t>
      </w:r>
    </w:p>
    <w:p w14:paraId="13225EA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（1）测量时保证待测溶液完全没过 COD 的上、下石英片。</w:t>
      </w:r>
    </w:p>
    <w:p w14:paraId="289705CA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（2）测量时确保 COD 的石英片干净，无异物、无气泡。</w:t>
      </w:r>
    </w:p>
    <w:p w14:paraId="44C5E249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在线氨氮传感器</w:t>
      </w:r>
    </w:p>
    <w:p w14:paraId="7686E46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（1）摘掉电极保护套，在清水中浸泡2小时活化，去离子水洗净后测试，初次用需在清水中泡30分钟以上、12小时以内。</w:t>
      </w:r>
    </w:p>
    <w:p w14:paraId="2FF64EF7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（2）长期（超两周）不用干燥储存，套上保护帽；短期不用放清水中浸泡；几天不用用含保护液外壳保存，下次用前清水泡30分钟以上。</w:t>
      </w:r>
    </w:p>
    <w:p w14:paraId="17402F14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（3）检查接线端子干燥情况，沾污时用无水酒精擦拭吹干。</w:t>
      </w:r>
    </w:p>
    <w:p w14:paraId="145AC179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（4）PVC膜半透明或有沉积物，用蒸馏水（或去离子水）冲洗。</w:t>
      </w:r>
    </w:p>
    <w:p w14:paraId="78BD0310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（5）电极使用久出现测量误差，须进行校正。</w:t>
      </w:r>
    </w:p>
    <w:p w14:paraId="062B814A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（6）校准时放校准液中轻晃、静置，待读数稳定（约5分钟）再校准。</w:t>
      </w:r>
    </w:p>
    <w:p w14:paraId="26584671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在线全光谱多参数传感器</w:t>
      </w:r>
    </w:p>
    <w:p w14:paraId="23932B5A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（1）定期用自来水清洗外表面，若有碎屑残留，用湿润软布擦拭；顽固污垢可加家用洗涤液清洗。</w:t>
      </w:r>
    </w:p>
    <w:p w14:paraId="5FF2EE6A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（2）查看线缆是否绷紧、测量窗口有无脏污、清洁刷是否正常及有无损坏。</w:t>
      </w:r>
    </w:p>
    <w:p w14:paraId="05B146BB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（3）校准传感器，在使用前将传感器置入去离子水，保证光路浸没且无气泡，发送光谱校准指令完成校准。</w:t>
      </w:r>
    </w:p>
    <w:p w14:paraId="7CF32ED3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便携式多参数分析仪</w:t>
      </w:r>
    </w:p>
    <w:p w14:paraId="18584C04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（1）平常不用时拔掉电源插头。若有反应液体溅到载物台或仪器外壁，及时用湿抹布擦去，必要时消毒。每次使用完毕用湿抹布擦拭保持洁净。</w:t>
      </w:r>
    </w:p>
    <w:p w14:paraId="0E68F692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仪器有开机自检功能，出现故障时，依据故障提示或常见故障排查方法处理。如水质检测仪不能启动，检查电源；自检不正常，查看光源灯、重新设置波长值或更换滤光片；检测结果不正确，根据具体原因更换光源灯、滤光片、试剂，排除干扰源，重新校准标定或处理样本；</w:t>
      </w:r>
    </w:p>
    <w:p w14:paraId="6BC7EC98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本仪器属于计量类仪器，出现检测结果超出规定范围、实验条件改变、用标准溶液检验出现误差等情形时，需使用标准溶液重新进行校准和标定，标液可选用国家标物中心发行的质控品、从厂家购买或用户自行配置（配置应严格按照对应检测项目最新版本的环境标准），以保证测定结果的准确性。</w:t>
      </w:r>
    </w:p>
    <w:p w14:paraId="647ED281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电磁流量计</w:t>
      </w:r>
    </w:p>
    <w:p w14:paraId="705E8B9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（1）定期清理电磁流量计转换器和传感器表面，去除灰尘、污垢和杂物，避免其进入设备内部影响正常运行。清理时应使用干净、柔软的布，避免刮伤设备外壳。</w:t>
      </w:r>
    </w:p>
    <w:p w14:paraId="761DC278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经常检查连接电线电缆，查看是否有破损、老化、松动等情况。对于信号线、励磁电流线、输出与电源线等，若发现问题及时更换或修复，确保线路连接可靠，减少信号传输干扰和电气故障风险。如流量信号传输电缆若有破损，可能导致测量数据不准确 。</w:t>
      </w:r>
    </w:p>
    <w:p w14:paraId="6EBA72CC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定期查看仪表参数设置，确保其与实际测量需求相符。根据使用情况和相关标准，对仪表进行校准，如模拟量输出校准，包括电流“0”点修正、满度修正和线性度检查等，保证测量精度。若测量环境或工艺发生变化，及时调整测量管道口径、流量单位、仪表量程等参数 。</w:t>
      </w:r>
    </w:p>
    <w:p w14:paraId="01D2EA09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4）定期进行仪表功能测试，如检查数字量输出（频率输出和脉冲输出）、模拟量输出、报警输出等功能是否正常。测试时可通过连接相应设备，观察输出信号是否符合预期。例如，模拟量输出可使用电流表或电压表进行测量，检查输出电流是否在规定范围内 。</w:t>
      </w:r>
    </w:p>
    <w:p w14:paraId="1368FA5E">
      <w:pPr>
        <w:pStyle w:val="3"/>
        <w:ind w:left="1055"/>
        <w:rPr>
          <w:rFonts w:hint="eastAsia"/>
          <w:highlight w:val="none"/>
        </w:rPr>
      </w:pPr>
      <w:bookmarkStart w:id="29" w:name="_Toc21781"/>
      <w:r>
        <w:rPr>
          <w:rFonts w:hint="eastAsia"/>
          <w:highlight w:val="none"/>
        </w:rPr>
        <w:t>设备维护注意事项</w:t>
      </w:r>
      <w:bookmarkEnd w:id="29"/>
    </w:p>
    <w:p w14:paraId="3D59AA3D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在线PH传感器</w:t>
      </w:r>
    </w:p>
    <w:p w14:paraId="33E4B89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（1）用无水酒精擦拭接线端子上的沾污，确保干燥后使用。</w:t>
      </w:r>
    </w:p>
    <w:p w14:paraId="6889FE79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（2）勿长期浸泡蒸馏水/蛋白质溶液，远离有机硅油脂。</w:t>
      </w:r>
    </w:p>
    <w:p w14:paraId="10F459B4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（3）玻璃膜老化/沉积时，用稀盐酸清洗后水洗，必要时重新标定。</w:t>
      </w:r>
    </w:p>
    <w:p w14:paraId="0921F788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在线ORP传感器</w:t>
      </w:r>
    </w:p>
    <w:p w14:paraId="7721C52A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（1）检查传感器的线缆：正常工作时线缆不应绷紧，否则容易使线缆内部电线断裂，引起传感器不能正常工作。</w:t>
      </w:r>
    </w:p>
    <w:p w14:paraId="6595D544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（2）电极长期不用时，置于3mol/L氯化钾溶液的保护套中保存；勿干燥保存。</w:t>
      </w:r>
    </w:p>
    <w:p w14:paraId="40237908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（3）电极长期使用，响应慢，读数不准时，将电极探头置于0.1mol/L HCL溶液浸泡24小时，再用3mol/L KCL溶液浸泡2小时。</w:t>
      </w:r>
    </w:p>
    <w:p w14:paraId="2BE6EDE4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（4）注意：ORP值有负值，应答数据大于0x7FFF（十进制：32767），则实测值=应答数据-0xFFFF；如-40mV其计算方法为：应答数据为0xFFD7，则实测值=0xFFD7-0xFFFF=65495-65535=-40</w:t>
      </w:r>
    </w:p>
    <w:p w14:paraId="55411054">
      <w:pPr>
        <w:ind w:firstLine="480"/>
        <w:rPr>
          <w:rFonts w:hint="eastAsia"/>
          <w:highlight w:val="none"/>
        </w:rPr>
      </w:pPr>
    </w:p>
    <w:p w14:paraId="3C1C51D0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在线电导率传感器</w:t>
      </w:r>
    </w:p>
    <w:p w14:paraId="257B7699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（1）校准与测试时电极需完全浸入标准液（无气泡），距容器底/壁≥2cm。  </w:t>
      </w:r>
    </w:p>
    <w:p w14:paraId="0C81A3DA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（2）石墨电极使用前需用自来水浸泡1小时，闲置时保持湿润。  </w:t>
      </w:r>
    </w:p>
    <w:p w14:paraId="6477949F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（3） 非防水端子避免浸水，线缆需松弛固定，防止摩擦或断裂。  </w:t>
      </w:r>
    </w:p>
    <w:p w14:paraId="5A8D7AF7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（4）避免与有机硅油脂接触。  </w:t>
      </w:r>
    </w:p>
    <w:p w14:paraId="00B34275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在线溶解氧传感器</w:t>
      </w:r>
    </w:p>
    <w:p w14:paraId="7809251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（1）传感器含有敏感部件，安装和测量时避免其受到剧烈机械撞击。</w:t>
      </w:r>
    </w:p>
    <w:p w14:paraId="11E1ECF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（2）防止荧光帽内表面被阳光暴晒，不要用手触摸荧光膜；未做防水处理的接线端子不能没入水中，避免线缆进水影响设备正常工作。 </w:t>
      </w:r>
    </w:p>
    <w:p w14:paraId="234C382A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在线浊度</w:t>
      </w:r>
      <w:r>
        <w:rPr>
          <w:rFonts w:hint="eastAsia"/>
          <w:b/>
          <w:bCs/>
          <w:highlight w:val="none"/>
        </w:rPr>
        <w:t>/悬浮物/污泥浓度</w:t>
      </w:r>
      <w:r>
        <w:rPr>
          <w:b/>
          <w:bCs/>
          <w:highlight w:val="none"/>
        </w:rPr>
        <w:t>传感器</w:t>
      </w:r>
    </w:p>
    <w:p w14:paraId="3E136FD6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（1）使用时取下保护套，闲置时及时安装，防止探头划伤。  </w:t>
      </w:r>
    </w:p>
    <w:p w14:paraId="0AB630A6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（2）避免探头附着气泡，保持探头离容器底/壁≥100mm。  </w:t>
      </w:r>
    </w:p>
    <w:p w14:paraId="0A7503DC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（3）避免剧烈撞击，防止光学/电子部件损坏。  </w:t>
      </w:r>
    </w:p>
    <w:p w14:paraId="4621C133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（4）禁止在含荧光物质的容器中测试，防止干扰。  </w:t>
      </w:r>
    </w:p>
    <w:p w14:paraId="17FD96CC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在线光学硝氮传感器</w:t>
      </w:r>
    </w:p>
    <w:p w14:paraId="768EDEB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1）安装时离水面深度不超2米，低于可能的最低水位30cm以下，避免水流冲击致其撞击水利设施，水流急时固定传感器，放置在无气泡位置，建议水平放置并使测量区域迎向水流方向，给线缆装保护套。</w:t>
      </w:r>
    </w:p>
    <w:p w14:paraId="6202B459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（2）仔细检查5芯双绞屏蔽线接线顺序，做好防水处理，使用防腐蚀线缆，防止接线错误和线路损坏。</w:t>
      </w:r>
    </w:p>
    <w:p w14:paraId="1CCD9812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（3）避免阳光暴晒，勿触摸测量区域，测量和校准时防止表面附着气泡，避免施加机械应力。</w:t>
      </w:r>
    </w:p>
    <w:p w14:paraId="164FA6EF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（4）操作界面无连接或无测量结果，检查控制器与线缆连接或联系厂家；测量值异常，清洗视窗表面或更换清洁刷。 </w:t>
      </w:r>
    </w:p>
    <w:p w14:paraId="08C3E1BD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在线COD传感器</w:t>
      </w:r>
    </w:p>
    <w:p w14:paraId="5DB7CB00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（1）水流较急时固定传感器，防止损坏。</w:t>
      </w:r>
    </w:p>
    <w:p w14:paraId="6EF3B9C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 禁止用传感器电缆吊装传感器，确保线缆接头紧固。</w:t>
      </w:r>
    </w:p>
    <w:p w14:paraId="172C08E0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 探头含敏感光学和电子部件，避免受到剧烈机械撞击，且探头内部无需用户维护。</w:t>
      </w:r>
    </w:p>
    <w:p w14:paraId="0F5D48BA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（4）使用中避免对传感器直接施加机械应力。</w:t>
      </w:r>
    </w:p>
    <w:p w14:paraId="08BBC8C3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（5）传感器用 12VDC 电源供电时尾线线缆极限长度 150M，超长度需适当增加电压以保证正常工作 。 </w:t>
      </w:r>
    </w:p>
    <w:p w14:paraId="2711955E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在线氨氮传感器</w:t>
      </w:r>
    </w:p>
    <w:p w14:paraId="689BF749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（1）膜头用去离子水清洗，勿碰伤，测量时距底部至少2cm，敏感膜内无气泡，可轻敲除泡。</w:t>
      </w:r>
    </w:p>
    <w:p w14:paraId="426A97F1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（2）避免放腐蚀性、能腐蚀PVC溶液（如强酸），酮类及饱和有机物溶液（如四氢呋喃、蛋白质溶液），强电磁和核辐射环境；不建议在成分复杂液体（如海水、电镀废水）长期放置。</w:t>
      </w:r>
    </w:p>
    <w:p w14:paraId="0E53CC06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（3）检查通讯时，两电极须浸泡在溶液中。</w:t>
      </w:r>
    </w:p>
    <w:p w14:paraId="3FC6C2F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（4）标液有使用次数限制，1mg/L的2次/瓶、10mg/L的4次/瓶、100mg/L的6次/瓶。</w:t>
      </w:r>
    </w:p>
    <w:p w14:paraId="473368AF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（5）注意保护参比电极外漏白色布条，勿揪出损坏。 </w:t>
      </w:r>
    </w:p>
    <w:p w14:paraId="1A43D652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（6）防止电极长期浸泡在蒸馏水或蛋白质溶液中，避免与有机硅油脂接触。</w:t>
      </w:r>
    </w:p>
    <w:p w14:paraId="23488B19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在线全光谱多参数传感器</w:t>
      </w:r>
    </w:p>
    <w:p w14:paraId="310CF45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（1）防止传感器受到剧烈机械撞击，使用中避免对其直接施加机械应力（压力、划痕等）。</w:t>
      </w:r>
    </w:p>
    <w:p w14:paraId="590627D6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（2）避免传感器被阳光暴晒，不要用手触摸传感器。</w:t>
      </w:r>
    </w:p>
    <w:p w14:paraId="5C33171B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（3）测量和校准时，确保传感器表面无气泡附着。</w:t>
      </w:r>
    </w:p>
    <w:p w14:paraId="2F0A42E6">
      <w:pPr>
        <w:ind w:firstLine="480"/>
        <w:rPr>
          <w:rFonts w:hint="eastAsia"/>
          <w:highlight w:val="none"/>
        </w:rPr>
      </w:pPr>
    </w:p>
    <w:p w14:paraId="37B52E19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便携式多参数分析仪</w:t>
      </w:r>
    </w:p>
    <w:p w14:paraId="3CB645E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（1）仪器的维修需要专业人员操作，非专业人员请勿自行维修。维修或因其他原因拆卸外壳时必须切断电源。</w:t>
      </w:r>
    </w:p>
    <w:p w14:paraId="37A594ED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（2）使用设备前做好防护措施，避免接触质量控制物、标准样本、废弃液体等可能有生物危害、腐蚀或有毒的物质。使用本仪器配套或推荐的试剂，禁止在强辐射源旁使用设备。</w:t>
      </w:r>
    </w:p>
    <w:p w14:paraId="664F1D4A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仪器正常工作环境温度为5℃～40℃，相对湿度30%～80%，需远离强电磁场干扰源，工作场地防尘、防振，空气中无酸、盐等腐蚀性气体。运输时包装完好，防止剧烈冲击、雨淋和暴晒，中转时合理堆放。贮存时放置在阴凉干燥、防湿通风处，不能露天堆放，避免雨雪浸入，贮存运输环境温度 -20℃～ +55℃，相对湿度≤93%，无腐蚀性气体且通风良好。</w:t>
      </w:r>
    </w:p>
    <w:p w14:paraId="04238DE2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（4）请勿让任何溶剂、油脂类、腐蚀性物质接触仪器。仪器使用期限为6年，效期结束后按规定处理或联系回收，避免污染环境。 </w:t>
      </w:r>
    </w:p>
    <w:p w14:paraId="07C9CF1C">
      <w:pPr>
        <w:ind w:firstLine="0" w:firstLineChars="0"/>
        <w:rPr>
          <w:rFonts w:hint="eastAsia"/>
          <w:b/>
          <w:bCs/>
          <w:highlight w:val="none"/>
        </w:rPr>
      </w:pPr>
      <w:r>
        <w:rPr>
          <w:b/>
          <w:bCs/>
          <w:highlight w:val="none"/>
        </w:rPr>
        <w:t>电磁流量计</w:t>
      </w:r>
    </w:p>
    <w:p w14:paraId="641B24DC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应由专业人员进行设备操作和维护，操作前需熟悉设备说明书和操作规程。进行参数设置、密码修改、故障处理等操作时，严格按照规定步骤进行，避免误操作导致设备损坏或测量不准确。如修改密码时要牢记新密码，丢失密码可能影响设备正常使用 。</w:t>
      </w:r>
    </w:p>
    <w:p w14:paraId="0061F4E7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（2）电磁流量计应在规定的环境条件下使用和存放。环境温度应控制在一体型 -10～+60℃，相对湿度在5%～90% 。避免设备在强电磁场干扰源附近使用，防止干扰测量信号。存放时要选择防雨、防潮、机械振动小且避免冲击的室内环境，温度范围 -20～+60℃，湿度不大于80% 。</w:t>
      </w:r>
    </w:p>
    <w:p w14:paraId="48FCE163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（3）电磁流量转换器的印刷电路板采用表面焊接技术，用户不能打开转换器壳体，以免损坏内部电路或影响设备性能。若设备出现故障，应联系专业维修人员进行检修 。</w:t>
      </w:r>
    </w:p>
    <w:p w14:paraId="285F77E6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4）设备出现故障时，如仪表无显示、励磁报警、空管报警、测量流量不准确等，应根据故障提示和说明书进行排查。例如，仪表无显示时，检查电源是否接通、保险丝是否完好、供电电压是否符合要求；励磁报警时，检查励磁接线、传感器励磁线圈电阻等。对于无法自行解决的故障，及时联系厂家售后或专业维修机构，不得擅自拆解修理 。 </w:t>
      </w:r>
    </w:p>
    <w:p w14:paraId="718767C0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5）安装电磁流量计时，要保证进出口有足够的直管段距离，一般上游为10倍管道内径，下游为5倍管道内径。水平安装时电极轴线近似水平，避免安装在水泵进口处、管道最高点或可能出现不满管的位置。安装位置应方便读数和操作，防止暴晒、过大温差和滴漏，合理支撑流量计，避免其作为负重支撑点 。 </w:t>
      </w:r>
    </w:p>
    <w:p w14:paraId="72A42F9A">
      <w:pPr>
        <w:ind w:firstLine="480"/>
        <w:rPr>
          <w:rFonts w:hint="eastAsia"/>
          <w:highlight w:val="none"/>
        </w:rPr>
      </w:pPr>
    </w:p>
    <w:p w14:paraId="1FC314B8">
      <w:pPr>
        <w:pStyle w:val="2"/>
        <w:rPr>
          <w:rFonts w:hint="eastAsia"/>
          <w:highlight w:val="none"/>
        </w:rPr>
      </w:pPr>
      <w:bookmarkStart w:id="30" w:name="_Toc18219"/>
      <w:bookmarkStart w:id="31" w:name="_Toc17975"/>
      <w:r>
        <w:rPr>
          <w:rFonts w:hint="eastAsia"/>
          <w:highlight w:val="none"/>
        </w:rPr>
        <w:t>案例展示</w:t>
      </w:r>
      <w:bookmarkEnd w:id="30"/>
      <w:bookmarkEnd w:id="31"/>
    </w:p>
    <w:p w14:paraId="19FE8E5E">
      <w:pPr>
        <w:pStyle w:val="3"/>
        <w:ind w:left="1055"/>
        <w:rPr>
          <w:rFonts w:hint="eastAsia"/>
          <w:highlight w:val="none"/>
        </w:rPr>
      </w:pPr>
      <w:bookmarkStart w:id="32" w:name="_Toc28794"/>
      <w:r>
        <w:rPr>
          <w:rFonts w:hint="eastAsia"/>
          <w:highlight w:val="none"/>
        </w:rPr>
        <w:t>案例1：某地</w:t>
      </w:r>
      <w:bookmarkEnd w:id="32"/>
      <w:r>
        <w:rPr>
          <w:rFonts w:hint="eastAsia"/>
          <w:highlight w:val="none"/>
          <w:lang w:val="en-US" w:eastAsia="zh-CN"/>
        </w:rPr>
        <w:t>污水处理厂水质监测</w:t>
      </w:r>
    </w:p>
    <w:p w14:paraId="55A8767A">
      <w:pPr>
        <w:ind w:firstLine="0" w:firstLineChars="0"/>
        <w:rPr>
          <w:rFonts w:hint="eastAsia"/>
          <w:highlight w:val="none"/>
        </w:rPr>
      </w:pPr>
      <w:r>
        <w:rPr>
          <w:rFonts w:hint="eastAsia" w:ascii="Calibri" w:hAnsi="Calibri" w:cs="Times New Roman"/>
          <w:highlight w:val="none"/>
        </w:rPr>
        <w:t>客户痛点：污水处理厂缺少过程</w:t>
      </w:r>
      <w:r>
        <w:rPr>
          <w:rFonts w:hint="eastAsia"/>
          <w:color w:val="1A2029"/>
          <w:highlight w:val="none"/>
          <w:shd w:val="clear" w:color="auto" w:fill="FFFFFF"/>
        </w:rPr>
        <w:t>长期缺乏有效的水质监测，难以持续改进工艺，提高处理效率，从而限制其可持续发展能力。</w:t>
      </w:r>
    </w:p>
    <w:p w14:paraId="3AD6075A">
      <w:pPr>
        <w:ind w:firstLine="0" w:firstLineChars="0"/>
        <w:rPr>
          <w:rFonts w:ascii="Calibri" w:hAnsi="Calibri" w:cs="Times New Roman"/>
          <w:highlight w:val="none"/>
        </w:rPr>
      </w:pPr>
      <w:r>
        <w:rPr>
          <w:rFonts w:hint="eastAsia" w:ascii="Calibri" w:hAnsi="Calibri" w:cs="Times New Roman"/>
          <w:highlight w:val="none"/>
        </w:rPr>
        <w:t>解决方案：污水处理过程监测布局水质监测设备</w:t>
      </w:r>
    </w:p>
    <w:p w14:paraId="3FE4EA27">
      <w:pPr>
        <w:ind w:firstLine="0" w:firstLineChars="0"/>
        <w:rPr>
          <w:rFonts w:ascii="Calibri" w:hAnsi="Calibri" w:cs="Times New Roman"/>
          <w:highlight w:val="none"/>
        </w:rPr>
      </w:pPr>
      <w:r>
        <w:rPr>
          <w:rFonts w:hint="eastAsia" w:ascii="Calibri" w:hAnsi="Calibri" w:cs="Times New Roman"/>
          <w:highlight w:val="none"/>
        </w:rPr>
        <w:t>实施效果：节能减排，有效提升了污水处理厂运行效率。</w:t>
      </w:r>
    </w:p>
    <w:p w14:paraId="4BF7A792">
      <w:pPr>
        <w:ind w:firstLine="0" w:firstLineChars="0"/>
        <w:jc w:val="center"/>
        <w:rPr>
          <w:rFonts w:hint="eastAsia"/>
          <w:color w:val="FF0000"/>
          <w:highlight w:val="none"/>
        </w:rPr>
      </w:pPr>
      <w:r>
        <w:rPr>
          <w:highlight w:val="none"/>
        </w:rPr>
        <w:drawing>
          <wp:inline distT="0" distB="0" distL="114300" distR="114300">
            <wp:extent cx="3745865" cy="2472055"/>
            <wp:effectExtent l="0" t="0" r="3175" b="1206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57DD">
      <w:pPr>
        <w:pStyle w:val="3"/>
        <w:ind w:left="1055"/>
        <w:rPr>
          <w:rFonts w:hint="eastAsia"/>
          <w:bCs/>
          <w:szCs w:val="32"/>
          <w:highlight w:val="none"/>
        </w:rPr>
      </w:pPr>
      <w:bookmarkStart w:id="33" w:name="_Toc4329"/>
      <w:r>
        <w:rPr>
          <w:rFonts w:hint="eastAsia"/>
          <w:highlight w:val="none"/>
        </w:rPr>
        <w:t>案例2：</w:t>
      </w:r>
      <w:r>
        <w:rPr>
          <w:rFonts w:hint="eastAsia"/>
          <w:bCs/>
          <w:szCs w:val="32"/>
          <w:highlight w:val="none"/>
        </w:rPr>
        <w:t>某污水处理厂水质监测</w:t>
      </w:r>
      <w:bookmarkEnd w:id="33"/>
    </w:p>
    <w:p w14:paraId="310BB298">
      <w:pPr>
        <w:ind w:firstLine="0" w:firstLineChars="0"/>
        <w:rPr>
          <w:rFonts w:hint="eastAsia"/>
          <w:highlight w:val="none"/>
        </w:rPr>
      </w:pPr>
      <w:r>
        <w:rPr>
          <w:highlight w:val="none"/>
        </w:rPr>
        <w:drawing>
          <wp:inline distT="0" distB="0" distL="114300" distR="114300">
            <wp:extent cx="5869305" cy="2149475"/>
            <wp:effectExtent l="0" t="0" r="10795" b="952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7DF226">
    <w:pPr>
      <w:pStyle w:val="12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0B883A">
    <w:pPr>
      <w:pStyle w:val="12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516048">
    <w:pPr>
      <w:pStyle w:val="12"/>
      <w:ind w:firstLine="360"/>
      <w:rPr>
        <w:rFonts w:hint="eastAsi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35A5D">
    <w:pPr>
      <w:pStyle w:val="12"/>
      <w:ind w:firstLine="360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FA7B40">
    <w:pPr>
      <w:pStyle w:val="13"/>
      <w:pBdr>
        <w:bottom w:val="single" w:color="auto" w:sz="4" w:space="0"/>
      </w:pBdr>
      <w:ind w:firstLine="360"/>
      <w:jc w:val="left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C6A1B9">
    <w:pPr>
      <w:pStyle w:val="13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00FDF6">
    <w:pPr>
      <w:pStyle w:val="13"/>
      <w:ind w:firstLine="360"/>
      <w:rPr>
        <w:rFonts w:hint="eastAsia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E4A69B">
    <w:pPr>
      <w:pStyle w:val="13"/>
      <w:pBdr>
        <w:bottom w:val="single" w:color="auto" w:sz="4" w:space="0"/>
      </w:pBdr>
      <w:ind w:firstLine="360"/>
      <w:jc w:val="lef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549171"/>
    <w:multiLevelType w:val="singleLevel"/>
    <w:tmpl w:val="80549171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E54C0CB"/>
    <w:multiLevelType w:val="multilevel"/>
    <w:tmpl w:val="1E54C0CB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420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tabs>
          <w:tab w:val="left" w:pos="420"/>
        </w:tabs>
        <w:ind w:left="105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331B"/>
    <w:rsid w:val="000E70C4"/>
    <w:rsid w:val="00172A27"/>
    <w:rsid w:val="001F7F7E"/>
    <w:rsid w:val="002438FD"/>
    <w:rsid w:val="003B326D"/>
    <w:rsid w:val="007A7C1D"/>
    <w:rsid w:val="00821E90"/>
    <w:rsid w:val="008753CB"/>
    <w:rsid w:val="008D7448"/>
    <w:rsid w:val="00A10114"/>
    <w:rsid w:val="00A30227"/>
    <w:rsid w:val="00DF00DE"/>
    <w:rsid w:val="00F56D58"/>
    <w:rsid w:val="04CE5ACF"/>
    <w:rsid w:val="05263B5D"/>
    <w:rsid w:val="07B23649"/>
    <w:rsid w:val="083D71F3"/>
    <w:rsid w:val="08EC29C7"/>
    <w:rsid w:val="096C3A3D"/>
    <w:rsid w:val="097E3F67"/>
    <w:rsid w:val="09DF435C"/>
    <w:rsid w:val="0C7F48B4"/>
    <w:rsid w:val="0CF05FA0"/>
    <w:rsid w:val="10AD7F82"/>
    <w:rsid w:val="111755E2"/>
    <w:rsid w:val="11A16A45"/>
    <w:rsid w:val="11AB5860"/>
    <w:rsid w:val="11EC4B50"/>
    <w:rsid w:val="12AE6653"/>
    <w:rsid w:val="1456008E"/>
    <w:rsid w:val="15FB79DC"/>
    <w:rsid w:val="17B8317C"/>
    <w:rsid w:val="1C4A5F2B"/>
    <w:rsid w:val="1EB06519"/>
    <w:rsid w:val="1F9E2816"/>
    <w:rsid w:val="1FD16DFB"/>
    <w:rsid w:val="1FE35C4B"/>
    <w:rsid w:val="214E697E"/>
    <w:rsid w:val="25E76B6C"/>
    <w:rsid w:val="264F486A"/>
    <w:rsid w:val="265B7AE3"/>
    <w:rsid w:val="26E01966"/>
    <w:rsid w:val="27433CA3"/>
    <w:rsid w:val="27914A0E"/>
    <w:rsid w:val="283F2BC3"/>
    <w:rsid w:val="29A0362E"/>
    <w:rsid w:val="2A36189D"/>
    <w:rsid w:val="2D60110A"/>
    <w:rsid w:val="2D92328E"/>
    <w:rsid w:val="2DB33930"/>
    <w:rsid w:val="2E100D83"/>
    <w:rsid w:val="2E786928"/>
    <w:rsid w:val="33CF6FEA"/>
    <w:rsid w:val="35B54174"/>
    <w:rsid w:val="389D76B7"/>
    <w:rsid w:val="3AE315CD"/>
    <w:rsid w:val="3CAD2E9B"/>
    <w:rsid w:val="3D346110"/>
    <w:rsid w:val="3E1026D9"/>
    <w:rsid w:val="416830A7"/>
    <w:rsid w:val="41833605"/>
    <w:rsid w:val="41C537DA"/>
    <w:rsid w:val="41E23AAD"/>
    <w:rsid w:val="4283171C"/>
    <w:rsid w:val="428471F1"/>
    <w:rsid w:val="44FE772F"/>
    <w:rsid w:val="481B5F7C"/>
    <w:rsid w:val="497E0E3E"/>
    <w:rsid w:val="49C56A6D"/>
    <w:rsid w:val="4BE551A5"/>
    <w:rsid w:val="4DA8648A"/>
    <w:rsid w:val="4F204746"/>
    <w:rsid w:val="4F2A7373"/>
    <w:rsid w:val="526D7CA2"/>
    <w:rsid w:val="5310619F"/>
    <w:rsid w:val="556233C2"/>
    <w:rsid w:val="56AF0889"/>
    <w:rsid w:val="5A9164F8"/>
    <w:rsid w:val="5B6065F6"/>
    <w:rsid w:val="5B687259"/>
    <w:rsid w:val="5B6C665B"/>
    <w:rsid w:val="5C2514E6"/>
    <w:rsid w:val="5C814A76"/>
    <w:rsid w:val="5FF90DC7"/>
    <w:rsid w:val="619F599E"/>
    <w:rsid w:val="636B69F0"/>
    <w:rsid w:val="64744EC0"/>
    <w:rsid w:val="67917192"/>
    <w:rsid w:val="68A37B22"/>
    <w:rsid w:val="696E6382"/>
    <w:rsid w:val="6C621AA2"/>
    <w:rsid w:val="6DE5351E"/>
    <w:rsid w:val="6DF17581"/>
    <w:rsid w:val="70115CB9"/>
    <w:rsid w:val="71193077"/>
    <w:rsid w:val="721970A7"/>
    <w:rsid w:val="73EC4A73"/>
    <w:rsid w:val="795135CA"/>
    <w:rsid w:val="799F35BE"/>
    <w:rsid w:val="7C8D2B6B"/>
    <w:rsid w:val="7D5676C5"/>
    <w:rsid w:val="7EF6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numPr>
        <w:ilvl w:val="0"/>
        <w:numId w:val="1"/>
      </w:numPr>
      <w:ind w:firstLineChars="0"/>
      <w:jc w:val="left"/>
      <w:outlineLvl w:val="0"/>
    </w:pPr>
    <w:rPr>
      <w:b/>
      <w:sz w:val="36"/>
      <w:szCs w:val="32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numPr>
        <w:ilvl w:val="1"/>
        <w:numId w:val="1"/>
      </w:numPr>
      <w:ind w:left="575" w:firstLineChars="0"/>
      <w:jc w:val="left"/>
      <w:outlineLvl w:val="1"/>
    </w:pPr>
    <w:rPr>
      <w:b/>
      <w:sz w:val="32"/>
      <w:szCs w:val="30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numPr>
        <w:ilvl w:val="2"/>
        <w:numId w:val="1"/>
      </w:numPr>
      <w:ind w:firstLine="0" w:firstLineChars="0"/>
      <w:jc w:val="left"/>
      <w:outlineLvl w:val="2"/>
    </w:pPr>
    <w:rPr>
      <w:b/>
      <w:sz w:val="30"/>
      <w:szCs w:val="32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numPr>
        <w:ilvl w:val="3"/>
        <w:numId w:val="1"/>
      </w:numPr>
      <w:ind w:left="0" w:firstLine="720"/>
      <w:outlineLvl w:val="3"/>
    </w:pPr>
    <w:rPr>
      <w:rFonts w:cstheme="majorBidi"/>
      <w:b/>
      <w:sz w:val="28"/>
      <w:szCs w:val="28"/>
    </w:rPr>
  </w:style>
  <w:style w:type="paragraph" w:styleId="6">
    <w:name w:val="heading 5"/>
    <w:basedOn w:val="5"/>
    <w:next w:val="1"/>
    <w:link w:val="27"/>
    <w:semiHidden/>
    <w:unhideWhenUsed/>
    <w:qFormat/>
    <w:uiPriority w:val="9"/>
    <w:pPr>
      <w:numPr>
        <w:ilvl w:val="4"/>
      </w:numPr>
      <w:spacing w:before="80" w:after="40"/>
      <w:ind w:firstLineChars="0"/>
      <w:outlineLvl w:val="4"/>
    </w:pPr>
  </w:style>
  <w:style w:type="paragraph" w:styleId="7">
    <w:name w:val="heading 6"/>
    <w:basedOn w:val="1"/>
    <w:next w:val="1"/>
    <w:link w:val="28"/>
    <w:semiHidden/>
    <w:unhideWhenUsed/>
    <w:qFormat/>
    <w:uiPriority w:val="9"/>
    <w:pPr>
      <w:keepNext/>
      <w:keepLines/>
      <w:numPr>
        <w:ilvl w:val="5"/>
        <w:numId w:val="1"/>
      </w:numPr>
      <w:spacing w:before="40"/>
      <w:ind w:firstLineChars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9"/>
    <w:semiHidden/>
    <w:unhideWhenUsed/>
    <w:qFormat/>
    <w:uiPriority w:val="9"/>
    <w:pPr>
      <w:keepNext/>
      <w:keepLines/>
      <w:numPr>
        <w:ilvl w:val="6"/>
        <w:numId w:val="1"/>
      </w:numPr>
      <w:spacing w:before="40"/>
      <w:ind w:firstLineChars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0"/>
    <w:semiHidden/>
    <w:unhideWhenUsed/>
    <w:qFormat/>
    <w:uiPriority w:val="9"/>
    <w:pPr>
      <w:keepNext/>
      <w:keepLines/>
      <w:numPr>
        <w:ilvl w:val="7"/>
        <w:numId w:val="1"/>
      </w:numPr>
      <w:ind w:firstLineChars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1"/>
    <w:semiHidden/>
    <w:unhideWhenUsed/>
    <w:qFormat/>
    <w:uiPriority w:val="9"/>
    <w:pPr>
      <w:keepNext/>
      <w:keepLines/>
      <w:numPr>
        <w:ilvl w:val="8"/>
        <w:numId w:val="1"/>
      </w:numPr>
      <w:ind w:firstLineChars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2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semiHidden/>
    <w:unhideWhenUsed/>
    <w:qFormat/>
    <w:uiPriority w:val="39"/>
  </w:style>
  <w:style w:type="paragraph" w:styleId="15">
    <w:name w:val="Subtitle"/>
    <w:basedOn w:val="1"/>
    <w:next w:val="1"/>
    <w:link w:val="33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7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</w:rPr>
  </w:style>
  <w:style w:type="paragraph" w:styleId="18">
    <w:name w:val="Title"/>
    <w:basedOn w:val="1"/>
    <w:next w:val="1"/>
    <w:link w:val="32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20">
    <w:name w:val="Table Grid"/>
    <w:basedOn w:val="1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Hyperlink"/>
    <w:basedOn w:val="21"/>
    <w:unhideWhenUsed/>
    <w:qFormat/>
    <w:uiPriority w:val="99"/>
    <w:rPr>
      <w:color w:val="0563C1"/>
      <w:u w:val="single"/>
    </w:rPr>
  </w:style>
  <w:style w:type="character" w:customStyle="1" w:styleId="23">
    <w:name w:val="标题 1 字符"/>
    <w:basedOn w:val="21"/>
    <w:link w:val="2"/>
    <w:qFormat/>
    <w:uiPriority w:val="9"/>
    <w:rPr>
      <w:rFonts w:ascii="宋体" w:hAnsi="宋体" w:eastAsia="宋体" w:cs="宋体"/>
      <w:b/>
      <w:sz w:val="36"/>
      <w:szCs w:val="32"/>
    </w:rPr>
  </w:style>
  <w:style w:type="character" w:customStyle="1" w:styleId="24">
    <w:name w:val="标题 2 字符"/>
    <w:basedOn w:val="21"/>
    <w:link w:val="3"/>
    <w:qFormat/>
    <w:uiPriority w:val="9"/>
    <w:rPr>
      <w:rFonts w:ascii="宋体" w:hAnsi="宋体" w:eastAsia="宋体" w:cs="宋体"/>
      <w:b/>
      <w:sz w:val="32"/>
      <w:szCs w:val="30"/>
    </w:rPr>
  </w:style>
  <w:style w:type="character" w:customStyle="1" w:styleId="25">
    <w:name w:val="标题 3 字符"/>
    <w:basedOn w:val="21"/>
    <w:link w:val="4"/>
    <w:qFormat/>
    <w:uiPriority w:val="9"/>
    <w:rPr>
      <w:rFonts w:ascii="宋体" w:hAnsi="宋体" w:eastAsia="宋体" w:cs="宋体"/>
      <w:b/>
      <w:sz w:val="30"/>
      <w:szCs w:val="32"/>
    </w:rPr>
  </w:style>
  <w:style w:type="character" w:customStyle="1" w:styleId="26">
    <w:name w:val="标题 4 字符"/>
    <w:basedOn w:val="21"/>
    <w:link w:val="5"/>
    <w:semiHidden/>
    <w:qFormat/>
    <w:uiPriority w:val="9"/>
    <w:rPr>
      <w:rFonts w:ascii="宋体" w:hAnsi="宋体" w:eastAsia="宋体" w:cstheme="majorBidi"/>
      <w:b/>
      <w:color w:val="auto"/>
      <w:sz w:val="28"/>
      <w:szCs w:val="28"/>
    </w:rPr>
  </w:style>
  <w:style w:type="character" w:customStyle="1" w:styleId="27">
    <w:name w:val="标题 5 字符"/>
    <w:basedOn w:val="21"/>
    <w:link w:val="6"/>
    <w:semiHidden/>
    <w:qFormat/>
    <w:uiPriority w:val="9"/>
    <w:rPr>
      <w:rFonts w:ascii="宋体" w:hAnsi="宋体" w:eastAsia="宋体" w:cstheme="majorBidi"/>
      <w:color w:val="auto"/>
      <w:sz w:val="24"/>
      <w:szCs w:val="24"/>
    </w:rPr>
  </w:style>
  <w:style w:type="character" w:customStyle="1" w:styleId="28">
    <w:name w:val="标题 6 字符"/>
    <w:basedOn w:val="21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9">
    <w:name w:val="标题 7 字符"/>
    <w:basedOn w:val="21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8 字符"/>
    <w:basedOn w:val="21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9 字符"/>
    <w:basedOn w:val="21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标题 字符"/>
    <w:basedOn w:val="21"/>
    <w:link w:val="18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3">
    <w:name w:val="副标题 字符"/>
    <w:basedOn w:val="21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4">
    <w:name w:val="Quote"/>
    <w:basedOn w:val="1"/>
    <w:next w:val="1"/>
    <w:link w:val="35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5">
    <w:name w:val="引用 字符"/>
    <w:basedOn w:val="21"/>
    <w:link w:val="34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6">
    <w:name w:val="List Paragraph"/>
    <w:basedOn w:val="1"/>
    <w:qFormat/>
    <w:uiPriority w:val="34"/>
    <w:pPr>
      <w:ind w:left="720"/>
      <w:contextualSpacing/>
    </w:pPr>
  </w:style>
  <w:style w:type="character" w:customStyle="1" w:styleId="37">
    <w:name w:val="明显强调1"/>
    <w:basedOn w:val="21"/>
    <w:qFormat/>
    <w:uiPriority w:val="21"/>
    <w:rPr>
      <w:i/>
      <w:iCs/>
      <w:color w:val="104862" w:themeColor="accent1" w:themeShade="BF"/>
    </w:rPr>
  </w:style>
  <w:style w:type="paragraph" w:styleId="38">
    <w:name w:val="Intense Quote"/>
    <w:basedOn w:val="1"/>
    <w:next w:val="1"/>
    <w:link w:val="39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9">
    <w:name w:val="明显引用 字符"/>
    <w:basedOn w:val="21"/>
    <w:link w:val="38"/>
    <w:qFormat/>
    <w:uiPriority w:val="30"/>
    <w:rPr>
      <w:i/>
      <w:iCs/>
      <w:color w:val="104862" w:themeColor="accent1" w:themeShade="BF"/>
    </w:rPr>
  </w:style>
  <w:style w:type="character" w:customStyle="1" w:styleId="40">
    <w:name w:val="页眉 字符"/>
    <w:basedOn w:val="21"/>
    <w:link w:val="13"/>
    <w:qFormat/>
    <w:uiPriority w:val="99"/>
    <w:rPr>
      <w:sz w:val="18"/>
      <w:szCs w:val="18"/>
    </w:rPr>
  </w:style>
  <w:style w:type="character" w:customStyle="1" w:styleId="41">
    <w:name w:val="页脚 字符"/>
    <w:basedOn w:val="21"/>
    <w:link w:val="12"/>
    <w:qFormat/>
    <w:uiPriority w:val="99"/>
    <w:rPr>
      <w:sz w:val="18"/>
      <w:szCs w:val="18"/>
    </w:rPr>
  </w:style>
  <w:style w:type="paragraph" w:customStyle="1" w:styleId="4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5017</Words>
  <Characters>5539</Characters>
  <Lines>94</Lines>
  <Paragraphs>26</Paragraphs>
  <TotalTime>3</TotalTime>
  <ScaleCrop>false</ScaleCrop>
  <LinksUpToDate>false</LinksUpToDate>
  <CharactersWithSpaces>5701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2025-02-07T05:17:00Z</dcterms:created>
  <dc:creator>闫鹏 李</dc:creator>
  <cp:lastModifiedBy>邹树虎</cp:lastModifiedBy>
  <dcterms:modified xsi:type="dcterms:W3CDTF">2025-07-25T02:10:09Z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eyJoZGlkIjoiZjk1Y2JmN2ViODY3ZDA2MjQ3ZGVkNzAyMTI3ZDBjOWUiLCJ1c2VySWQiOiIxNDQ5MjAxMDk2In0=</vt:lpwstr>
  </property>
  <property fmtid="{D5CDD505-2E9C-101B-9397-08002B2CF9AE}" pid="3" name="KSOProductBuildVer">
    <vt:lpwstr>2052-12.1.0.21915</vt:lpwstr>
  </property>
  <property fmtid="{D5CDD505-2E9C-101B-9397-08002B2CF9AE}" pid="4" name="ICV">
    <vt:lpwstr>DF6EBECCDCAF44EAB4F520543FCF2462_12</vt:lpwstr>
  </property>
</Properties>
</file>