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D59049">
      <w:pPr>
        <w:ind w:firstLine="480"/>
        <w:rPr>
          <w:rFonts w:hint="eastAsia"/>
        </w:rPr>
      </w:pPr>
    </w:p>
    <w:p w14:paraId="650D2692">
      <w:pPr>
        <w:ind w:firstLine="480"/>
        <w:rPr>
          <w:rFonts w:hint="eastAsia"/>
        </w:rPr>
      </w:pPr>
    </w:p>
    <w:p w14:paraId="448D9803">
      <w:pPr>
        <w:ind w:firstLine="480"/>
        <w:rPr>
          <w:rFonts w:hint="eastAsia"/>
        </w:rPr>
      </w:pPr>
    </w:p>
    <w:p w14:paraId="070D974A">
      <w:pPr>
        <w:ind w:firstLine="0" w:firstLineChars="0"/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管网和污水</w:t>
      </w:r>
      <w:r>
        <w:rPr>
          <w:rFonts w:hint="eastAsia"/>
          <w:b/>
          <w:bCs/>
          <w:sz w:val="52"/>
          <w:szCs w:val="52"/>
        </w:rPr>
        <w:t>行业细分场景</w:t>
      </w:r>
    </w:p>
    <w:p w14:paraId="2F71B073">
      <w:pPr>
        <w:ind w:firstLine="0" w:firstLineChars="0"/>
        <w:jc w:val="right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——城镇污水处理厂排口监测方案</w:t>
      </w:r>
    </w:p>
    <w:p w14:paraId="378AF8F4">
      <w:pPr>
        <w:ind w:firstLine="480"/>
        <w:rPr>
          <w:rFonts w:hint="eastAsia"/>
        </w:rPr>
      </w:pPr>
    </w:p>
    <w:p w14:paraId="697D85ED">
      <w:pPr>
        <w:ind w:firstLine="480"/>
        <w:rPr>
          <w:rFonts w:hint="eastAsia"/>
        </w:rPr>
      </w:pPr>
    </w:p>
    <w:p w14:paraId="0F87B469">
      <w:pPr>
        <w:ind w:firstLine="480"/>
        <w:rPr>
          <w:rFonts w:hint="eastAsia"/>
        </w:rPr>
      </w:pPr>
    </w:p>
    <w:p w14:paraId="6420D56B">
      <w:pPr>
        <w:ind w:firstLine="480"/>
        <w:rPr>
          <w:rFonts w:hint="eastAsia"/>
        </w:rPr>
      </w:pPr>
    </w:p>
    <w:p w14:paraId="5AA84954">
      <w:pPr>
        <w:ind w:firstLine="480"/>
        <w:rPr>
          <w:rFonts w:hint="eastAsia"/>
        </w:rPr>
      </w:pPr>
    </w:p>
    <w:p w14:paraId="05120518">
      <w:pPr>
        <w:ind w:firstLine="480"/>
        <w:rPr>
          <w:rFonts w:hint="eastAsia"/>
        </w:rPr>
      </w:pPr>
    </w:p>
    <w:p w14:paraId="1F5A1A93">
      <w:pPr>
        <w:ind w:firstLine="480"/>
        <w:rPr>
          <w:rFonts w:hint="eastAsia"/>
        </w:rPr>
      </w:pPr>
    </w:p>
    <w:p w14:paraId="5EBA3D5C">
      <w:pPr>
        <w:ind w:firstLine="480"/>
        <w:rPr>
          <w:rFonts w:hint="eastAsia"/>
        </w:rPr>
      </w:pPr>
    </w:p>
    <w:p w14:paraId="29D0E8F6">
      <w:pPr>
        <w:ind w:firstLine="480"/>
        <w:rPr>
          <w:rFonts w:hint="eastAsia"/>
        </w:rPr>
      </w:pPr>
    </w:p>
    <w:p w14:paraId="4E85E67B">
      <w:pPr>
        <w:ind w:firstLine="480"/>
        <w:rPr>
          <w:rFonts w:hint="eastAsia"/>
        </w:rPr>
      </w:pPr>
    </w:p>
    <w:p w14:paraId="01E7D09B">
      <w:pPr>
        <w:ind w:firstLine="480"/>
        <w:rPr>
          <w:rFonts w:hint="eastAsia"/>
        </w:rPr>
      </w:pPr>
    </w:p>
    <w:p w14:paraId="353A8E92">
      <w:pPr>
        <w:ind w:firstLine="480"/>
        <w:rPr>
          <w:rFonts w:hint="eastAsia"/>
        </w:rPr>
      </w:pPr>
    </w:p>
    <w:p w14:paraId="227C3CBA">
      <w:pPr>
        <w:ind w:firstLine="480"/>
        <w:rPr>
          <w:rFonts w:hint="eastAsia"/>
        </w:rPr>
      </w:pPr>
    </w:p>
    <w:p w14:paraId="13327334">
      <w:pPr>
        <w:ind w:firstLine="480"/>
        <w:rPr>
          <w:rFonts w:hint="eastAsia"/>
        </w:rPr>
      </w:pPr>
    </w:p>
    <w:p w14:paraId="117A5E3F">
      <w:pPr>
        <w:ind w:firstLine="480"/>
        <w:rPr>
          <w:rFonts w:hint="eastAsia"/>
        </w:rPr>
      </w:pPr>
    </w:p>
    <w:p w14:paraId="1E7E4DE3">
      <w:pPr>
        <w:ind w:firstLine="480"/>
        <w:rPr>
          <w:rFonts w:hint="eastAsia"/>
        </w:rPr>
      </w:pPr>
    </w:p>
    <w:p w14:paraId="6E7EBD60">
      <w:pPr>
        <w:ind w:firstLine="480"/>
        <w:rPr>
          <w:rFonts w:hint="eastAsia"/>
        </w:rPr>
      </w:pPr>
    </w:p>
    <w:p w14:paraId="0F3409C2">
      <w:pPr>
        <w:ind w:firstLine="480"/>
        <w:rPr>
          <w:rFonts w:hint="eastAsia"/>
        </w:rPr>
      </w:pPr>
    </w:p>
    <w:p w14:paraId="5A6710F2">
      <w:pPr>
        <w:ind w:firstLine="480"/>
        <w:rPr>
          <w:rFonts w:hint="eastAsia"/>
        </w:rPr>
      </w:pPr>
    </w:p>
    <w:p w14:paraId="3F01F9F7">
      <w:pPr>
        <w:ind w:firstLine="480"/>
        <w:rPr>
          <w:rFonts w:hint="eastAsia"/>
        </w:rPr>
      </w:pPr>
    </w:p>
    <w:p w14:paraId="49DF61B4">
      <w:pPr>
        <w:ind w:firstLine="0" w:firstLineChars="0"/>
        <w:jc w:val="center"/>
        <w:rPr>
          <w:rFonts w:hint="eastAsia"/>
          <w:b/>
          <w:bCs/>
          <w:sz w:val="40"/>
          <w:szCs w:val="40"/>
          <w:lang w:val="zh-CN"/>
        </w:rPr>
      </w:pPr>
      <w:r>
        <w:rPr>
          <w:b/>
          <w:bCs/>
          <w:sz w:val="40"/>
          <w:szCs w:val="40"/>
        </w:rPr>
        <w:t>202</w:t>
      </w:r>
      <w:r>
        <w:rPr>
          <w:rFonts w:hint="eastAsia"/>
          <w:b/>
          <w:bCs/>
          <w:sz w:val="40"/>
          <w:szCs w:val="40"/>
        </w:rPr>
        <w:t>5</w:t>
      </w:r>
      <w:r>
        <w:rPr>
          <w:b/>
          <w:bCs/>
          <w:sz w:val="40"/>
          <w:szCs w:val="40"/>
          <w:lang w:val="zh-CN"/>
        </w:rPr>
        <w:t>年</w:t>
      </w:r>
      <w:r>
        <w:rPr>
          <w:rFonts w:hint="eastAsia"/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  <w:lang w:val="zh-CN"/>
        </w:rPr>
        <w:t>月</w:t>
      </w:r>
    </w:p>
    <w:p w14:paraId="19B42297">
      <w:pPr>
        <w:ind w:firstLine="480"/>
        <w:rPr>
          <w:rFonts w:hint="eastAsia"/>
        </w:rPr>
      </w:pPr>
    </w:p>
    <w:p w14:paraId="2E9FB96C">
      <w:pPr>
        <w:ind w:firstLine="480"/>
        <w:rPr>
          <w:rFonts w:hint="eastAsia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40993169">
      <w:pPr>
        <w:ind w:firstLine="480"/>
        <w:rPr>
          <w:rFonts w:hint="eastAsia"/>
        </w:rPr>
      </w:pPr>
    </w:p>
    <w:sdt>
      <w:sdtPr>
        <w:rPr>
          <w:b/>
          <w:bCs/>
          <w:sz w:val="36"/>
          <w:szCs w:val="36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/>
          <w:b/>
          <w:bCs/>
          <w:sz w:val="24"/>
          <w:szCs w:val="24"/>
        </w:rPr>
      </w:sdtEndPr>
      <w:sdtContent>
        <w:p w14:paraId="5009666E">
          <w:pPr>
            <w:spacing w:line="240" w:lineRule="auto"/>
            <w:ind w:firstLine="0" w:firstLineChars="0"/>
            <w:jc w:val="center"/>
            <w:rPr>
              <w:rFonts w:hint="eastAsia"/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>目录</w:t>
          </w:r>
        </w:p>
        <w:p w14:paraId="13AB6946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"_Toc19217" </w:instrText>
          </w:r>
          <w:r>
            <w:fldChar w:fldCharType="separate"/>
          </w:r>
          <w:r>
            <w:rPr>
              <w:rFonts w:hint="eastAsia"/>
            </w:rPr>
            <w:t>一、 公司简介</w:t>
          </w:r>
          <w:r>
            <w:tab/>
          </w:r>
          <w:r>
            <w:fldChar w:fldCharType="begin"/>
          </w:r>
          <w:r>
            <w:instrText xml:space="preserve"> PAGEREF _Toc19217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1F257B4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"_Toc18854" </w:instrText>
          </w:r>
          <w:r>
            <w:fldChar w:fldCharType="separate"/>
          </w:r>
          <w:r>
            <w:rPr>
              <w:rFonts w:hint="eastAsia"/>
            </w:rPr>
            <w:t>二、 城镇污水处理厂排口监测概述</w:t>
          </w:r>
          <w:r>
            <w:tab/>
          </w:r>
          <w:r>
            <w:fldChar w:fldCharType="begin"/>
          </w:r>
          <w:r>
            <w:instrText xml:space="preserve"> PAGEREF _Toc18854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91B73DA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"_Toc27215" </w:instrText>
          </w:r>
          <w:r>
            <w:fldChar w:fldCharType="separate"/>
          </w:r>
          <w:r>
            <w:rPr>
              <w:rFonts w:hint="eastAsia"/>
            </w:rPr>
            <w:t>2.1. 城镇污水处理厂行业背景</w:t>
          </w:r>
          <w:r>
            <w:tab/>
          </w:r>
          <w:r>
            <w:fldChar w:fldCharType="begin"/>
          </w:r>
          <w:r>
            <w:instrText xml:space="preserve"> PAGEREF _Toc27215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D383567">
          <w:pPr>
            <w:pStyle w:val="11"/>
            <w:tabs>
              <w:tab w:val="right" w:leader="dot" w:pos="8306"/>
            </w:tabs>
            <w:spacing w:line="240" w:lineRule="auto"/>
            <w:ind w:left="96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"_Toc31308" </w:instrText>
          </w:r>
          <w:r>
            <w:fldChar w:fldCharType="separate"/>
          </w:r>
          <w:r>
            <w:t>污水监测依据</w:t>
          </w:r>
          <w:r>
            <w:rPr>
              <w:rFonts w:hint="eastAsia"/>
            </w:rPr>
            <w:t>：</w:t>
          </w:r>
          <w:r>
            <w:tab/>
          </w:r>
          <w:r>
            <w:fldChar w:fldCharType="begin"/>
          </w:r>
          <w:r>
            <w:instrText xml:space="preserve"> PAGEREF _Toc31308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065AE00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"_Toc24286" </w:instrText>
          </w:r>
          <w:r>
            <w:fldChar w:fldCharType="separate"/>
          </w:r>
          <w:r>
            <w:rPr>
              <w:rFonts w:hint="eastAsia"/>
            </w:rPr>
            <w:t>2.2. 城镇污水处理厂排口监测特点</w:t>
          </w:r>
          <w:r>
            <w:tab/>
          </w:r>
          <w:r>
            <w:fldChar w:fldCharType="begin"/>
          </w:r>
          <w:r>
            <w:instrText xml:space="preserve"> PAGEREF _Toc24286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7D0F9F5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"_Toc29758" </w:instrText>
          </w:r>
          <w:r>
            <w:fldChar w:fldCharType="separate"/>
          </w:r>
          <w:r>
            <w:rPr>
              <w:rFonts w:hint="eastAsia"/>
            </w:rPr>
            <w:t>三、 建设方案设计</w:t>
          </w:r>
          <w:r>
            <w:tab/>
          </w:r>
          <w:r>
            <w:fldChar w:fldCharType="begin"/>
          </w:r>
          <w:r>
            <w:instrText xml:space="preserve"> PAGEREF _Toc29758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712228B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"_Toc10440" </w:instrText>
          </w:r>
          <w:r>
            <w:fldChar w:fldCharType="separate"/>
          </w:r>
          <w:r>
            <w:rPr>
              <w:rFonts w:hint="eastAsia"/>
            </w:rPr>
            <w:t>3.1. 系统框架图</w:t>
          </w:r>
          <w:r>
            <w:tab/>
          </w:r>
          <w:r>
            <w:fldChar w:fldCharType="begin"/>
          </w:r>
          <w:r>
            <w:instrText xml:space="preserve"> PAGEREF _Toc10440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DC3EFC1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"_Toc13144" </w:instrText>
          </w:r>
          <w:r>
            <w:fldChar w:fldCharType="separate"/>
          </w:r>
          <w:r>
            <w:rPr>
              <w:rFonts w:hint="eastAsia"/>
            </w:rPr>
            <w:t>3.2. 设备选型策略</w:t>
          </w:r>
          <w:r>
            <w:tab/>
          </w:r>
          <w:r>
            <w:fldChar w:fldCharType="begin"/>
          </w:r>
          <w:r>
            <w:instrText xml:space="preserve"> PAGEREF _Toc13144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0D1C755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"_Toc18578" </w:instrText>
          </w:r>
          <w:r>
            <w:fldChar w:fldCharType="separate"/>
          </w:r>
          <w:r>
            <w:rPr>
              <w:rFonts w:hint="eastAsia"/>
            </w:rPr>
            <w:t>四、 产品介绍</w:t>
          </w:r>
          <w:r>
            <w:tab/>
          </w:r>
          <w:r>
            <w:fldChar w:fldCharType="begin"/>
          </w:r>
          <w:r>
            <w:instrText xml:space="preserve"> PAGEREF _Toc18578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AD8EA68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"_Toc8661" </w:instrText>
          </w:r>
          <w:r>
            <w:fldChar w:fldCharType="separate"/>
          </w:r>
          <w:r>
            <w:rPr>
              <w:rFonts w:hint="eastAsia"/>
            </w:rPr>
            <w:t>4.1. 技术参数</w:t>
          </w:r>
          <w:r>
            <w:tab/>
          </w:r>
          <w:r>
            <w:fldChar w:fldCharType="begin"/>
          </w:r>
          <w:r>
            <w:instrText xml:space="preserve"> PAGEREF _Toc8661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EA59284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"_Toc25640" </w:instrText>
          </w:r>
          <w:r>
            <w:fldChar w:fldCharType="separate"/>
          </w:r>
          <w:r>
            <w:rPr>
              <w:rFonts w:hint="eastAsia"/>
            </w:rPr>
            <w:t>4.2. 场景适应性</w:t>
          </w:r>
          <w:r>
            <w:tab/>
          </w:r>
          <w:r>
            <w:fldChar w:fldCharType="begin"/>
          </w:r>
          <w:r>
            <w:instrText xml:space="preserve"> PAGEREF _Toc25640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0F299CF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"_Toc10252" </w:instrText>
          </w:r>
          <w:r>
            <w:fldChar w:fldCharType="separate"/>
          </w:r>
          <w:r>
            <w:rPr>
              <w:rFonts w:hint="eastAsia"/>
            </w:rPr>
            <w:t>五、 设备寿命及维护</w:t>
          </w:r>
          <w:r>
            <w:tab/>
          </w:r>
          <w:r>
            <w:fldChar w:fldCharType="begin"/>
          </w:r>
          <w:r>
            <w:instrText xml:space="preserve"> PAGEREF _Toc10252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6037B76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"_Toc7223" </w:instrText>
          </w:r>
          <w:r>
            <w:fldChar w:fldCharType="separate"/>
          </w:r>
          <w:r>
            <w:rPr>
              <w:rFonts w:hint="eastAsia"/>
            </w:rPr>
            <w:t>5.1. 设备寿命周期与维护周期表</w:t>
          </w:r>
          <w:r>
            <w:tab/>
          </w:r>
          <w:r>
            <w:fldChar w:fldCharType="begin"/>
          </w:r>
          <w:r>
            <w:instrText xml:space="preserve"> PAGEREF _Toc7223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EA40880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"_Toc7903" </w:instrText>
          </w:r>
          <w:r>
            <w:fldChar w:fldCharType="separate"/>
          </w:r>
          <w:r>
            <w:rPr>
              <w:rFonts w:hint="eastAsia"/>
            </w:rPr>
            <w:t>5.2. 传感器日常维护</w:t>
          </w:r>
          <w:r>
            <w:tab/>
          </w:r>
          <w:r>
            <w:fldChar w:fldCharType="begin"/>
          </w:r>
          <w:r>
            <w:instrText xml:space="preserve"> PAGEREF _Toc7903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5E6FDE8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"_Toc23903" </w:instrText>
          </w:r>
          <w:r>
            <w:fldChar w:fldCharType="separate"/>
          </w:r>
          <w:r>
            <w:rPr>
              <w:rFonts w:hint="eastAsia"/>
            </w:rPr>
            <w:t>5.3. 设备维护注意事项</w:t>
          </w:r>
          <w:r>
            <w:tab/>
          </w:r>
          <w:r>
            <w:fldChar w:fldCharType="begin"/>
          </w:r>
          <w:r>
            <w:instrText xml:space="preserve"> PAGEREF _Toc23903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09A753DF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"_Toc25257" </w:instrText>
          </w:r>
          <w:r>
            <w:fldChar w:fldCharType="separate"/>
          </w:r>
          <w:r>
            <w:rPr>
              <w:rFonts w:hint="eastAsia"/>
            </w:rPr>
            <w:t>六、 案例展示</w:t>
          </w:r>
          <w:r>
            <w:tab/>
          </w:r>
          <w:r>
            <w:fldChar w:fldCharType="begin"/>
          </w:r>
          <w:r>
            <w:instrText xml:space="preserve"> PAGEREF _Toc25257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73495A64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</w:rPr>
          </w:pPr>
          <w:r>
            <w:fldChar w:fldCharType="begin"/>
          </w:r>
          <w:r>
            <w:instrText xml:space="preserve"> HYPERLINK \l "_Toc5085" </w:instrText>
          </w:r>
          <w:r>
            <w:fldChar w:fldCharType="separate"/>
          </w:r>
          <w:r>
            <w:rPr>
              <w:rFonts w:hint="eastAsia"/>
            </w:rPr>
            <w:t>6.1. 案例</w:t>
          </w:r>
          <w:r>
            <w:tab/>
          </w:r>
          <w:r>
            <w:fldChar w:fldCharType="begin"/>
          </w:r>
          <w:r>
            <w:instrText xml:space="preserve"> PAGEREF _Toc5085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601D9A00">
          <w:pPr>
            <w:ind w:firstLine="480"/>
            <w:rPr>
              <w:rFonts w:hint="eastAsia"/>
            </w:rPr>
          </w:pPr>
          <w:r>
            <w:rPr>
              <w:rFonts w:hint="eastAsia"/>
            </w:rPr>
            <w:fldChar w:fldCharType="end"/>
          </w:r>
        </w:p>
      </w:sdtContent>
    </w:sdt>
    <w:p w14:paraId="6AA9CC96">
      <w:pPr>
        <w:ind w:firstLine="480"/>
        <w:rPr>
          <w:rFonts w:hint="eastAsia"/>
        </w:rPr>
      </w:pPr>
    </w:p>
    <w:p w14:paraId="0F1A877D">
      <w:pPr>
        <w:ind w:firstLine="480"/>
        <w:rPr>
          <w:rFonts w:hint="eastAsia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07CC7698">
      <w:pPr>
        <w:pStyle w:val="2"/>
        <w:rPr>
          <w:rFonts w:hint="eastAsia"/>
        </w:rPr>
      </w:pPr>
      <w:bookmarkStart w:id="0" w:name="_Toc19217"/>
      <w:bookmarkStart w:id="1" w:name="_Toc3865"/>
      <w:r>
        <w:rPr>
          <w:rFonts w:hint="eastAsia"/>
        </w:rPr>
        <w:t>公司简介</w:t>
      </w:r>
      <w:bookmarkEnd w:id="0"/>
      <w:bookmarkEnd w:id="1"/>
    </w:p>
    <w:p w14:paraId="49EE50D4">
      <w:pPr>
        <w:ind w:firstLine="480"/>
        <w:rPr>
          <w:rFonts w:hint="eastAsia"/>
        </w:rPr>
      </w:pPr>
    </w:p>
    <w:p w14:paraId="569FA3EA">
      <w:pPr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2C1D">
      <w:pPr>
        <w:ind w:firstLine="0" w:firstLineChars="0"/>
        <w:jc w:val="left"/>
        <w:rPr>
          <w:rFonts w:hint="eastAsia"/>
        </w:rPr>
      </w:pPr>
    </w:p>
    <w:p w14:paraId="158921CA"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青岛精诚仪器仪表</w:t>
      </w:r>
      <w:r>
        <w:rPr>
          <w:rFonts w:hint="eastAsia"/>
        </w:rPr>
        <w:t>有限公司（简称</w:t>
      </w:r>
      <w:r>
        <w:rPr>
          <w:rFonts w:hint="eastAsia"/>
          <w:lang w:val="en-US" w:eastAsia="zh-CN"/>
        </w:rPr>
        <w:t>青岛精诚</w:t>
      </w:r>
      <w:bookmarkStart w:id="27" w:name="_GoBack"/>
      <w:bookmarkEnd w:id="27"/>
      <w:r>
        <w:rPr>
          <w:rFonts w:hint="eastAsia"/>
        </w:rPr>
        <w:t>）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48E20046"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我公司</w:t>
      </w:r>
      <w:r>
        <w:rPr>
          <w:rFonts w:hint="eastAsia"/>
        </w:rPr>
        <w:t>拥有完善的研发、生产、销售和技术服务团队，是国内水质数字传感领导品牌，为国内近百个市、县（区）政府和生态环境部门提供水环境监测技术支撑。</w:t>
      </w:r>
    </w:p>
    <w:p w14:paraId="2131589F">
      <w:pPr>
        <w:ind w:firstLine="480"/>
        <w:rPr>
          <w:rFonts w:hint="eastAsia"/>
        </w:rPr>
      </w:pPr>
    </w:p>
    <w:p w14:paraId="7D218168">
      <w:pPr>
        <w:ind w:firstLine="480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96E7516">
      <w:pPr>
        <w:pStyle w:val="2"/>
        <w:rPr>
          <w:rFonts w:hint="eastAsia"/>
        </w:rPr>
      </w:pPr>
      <w:bookmarkStart w:id="2" w:name="_Toc18854"/>
      <w:bookmarkStart w:id="3" w:name="_Toc28553"/>
      <w:r>
        <w:rPr>
          <w:rFonts w:hint="eastAsia"/>
        </w:rPr>
        <w:t>城镇污水处理厂排口监测概述</w:t>
      </w:r>
      <w:bookmarkEnd w:id="2"/>
      <w:bookmarkEnd w:id="3"/>
    </w:p>
    <w:p w14:paraId="6D8E7BAC">
      <w:pPr>
        <w:pStyle w:val="3"/>
        <w:rPr>
          <w:rFonts w:hint="eastAsia"/>
        </w:rPr>
      </w:pPr>
      <w:bookmarkStart w:id="4" w:name="_Toc27215"/>
      <w:r>
        <w:rPr>
          <w:rFonts w:hint="eastAsia"/>
        </w:rPr>
        <w:t>城镇污水处理厂行业背景</w:t>
      </w:r>
      <w:bookmarkEnd w:id="4"/>
    </w:p>
    <w:p w14:paraId="2F7D8A3E">
      <w:pPr>
        <w:ind w:firstLine="482"/>
        <w:rPr>
          <w:rFonts w:hint="eastAsia"/>
        </w:rPr>
      </w:pPr>
      <w:r>
        <w:rPr>
          <w:b/>
          <w:bCs/>
        </w:rPr>
        <w:t>监测技术手段和设备落后</w:t>
      </w:r>
      <w:r>
        <w:rPr>
          <w:rFonts w:hint="eastAsia"/>
          <w:b/>
          <w:bCs/>
        </w:rPr>
        <w:t>：</w:t>
      </w:r>
      <w:r>
        <w:t>部分地区的水质监测技术和设备相对滞后，无法满足高精度、高灵敏度的监测需求，导致监测结果可能存在误差，影响准确性和可靠性。</w:t>
      </w:r>
    </w:p>
    <w:p w14:paraId="7E2D30B4">
      <w:pPr>
        <w:ind w:firstLine="482"/>
        <w:rPr>
          <w:rFonts w:hint="eastAsia"/>
        </w:rPr>
      </w:pPr>
      <w:r>
        <w:rPr>
          <w:b/>
          <w:bCs/>
        </w:rPr>
        <w:t>监测标准和法规不健全</w:t>
      </w:r>
      <w:r>
        <w:rPr>
          <w:rFonts w:hint="eastAsia"/>
          <w:b/>
          <w:bCs/>
        </w:rPr>
        <w:t>：</w:t>
      </w:r>
      <w:r>
        <w:t>当前水质监测的标准和法规体系尚不完善，存在不统一、不协调的问题，导致不同地区和部门在监测方法和结果上存在差异，影响监测结果的权威性和公信力。</w:t>
      </w:r>
    </w:p>
    <w:p w14:paraId="26B274D6">
      <w:pPr>
        <w:ind w:firstLine="482"/>
        <w:rPr>
          <w:rFonts w:hint="eastAsia"/>
        </w:rPr>
      </w:pPr>
      <w:r>
        <w:rPr>
          <w:b/>
          <w:bCs/>
        </w:rPr>
        <w:t>全过程监测不足</w:t>
      </w:r>
      <w:r>
        <w:rPr>
          <w:rFonts w:hint="eastAsia"/>
          <w:b/>
          <w:bCs/>
        </w:rPr>
        <w:t>：</w:t>
      </w:r>
      <w:r>
        <w:t>当前污水处理厂的监测以末端监测为主，缺乏对进水水质、处理过程及出水水质的全过程监测，难以实现系统性管理和优化运行。</w:t>
      </w:r>
    </w:p>
    <w:p w14:paraId="2738EA92">
      <w:pPr>
        <w:ind w:firstLine="482"/>
        <w:rPr>
          <w:rFonts w:hint="eastAsia"/>
          <w:color w:val="FF0000"/>
        </w:rPr>
      </w:pPr>
      <w:r>
        <w:rPr>
          <w:b/>
          <w:bCs/>
        </w:rPr>
        <w:t>监测数据缺乏深度分析与利用</w:t>
      </w:r>
      <w:r>
        <w:rPr>
          <w:rFonts w:hint="eastAsia"/>
          <w:b/>
          <w:bCs/>
        </w:rPr>
        <w:t>：</w:t>
      </w:r>
      <w:r>
        <w:t>当前许多水质监测数据在采集、整理和分析方面存在不足，数据利用效率低，难以为环境管理和决策提供有效支持。同时，数据质量和可靠性不足，也难以对污染事件进行溯源和责任追溯。</w:t>
      </w:r>
      <w:r>
        <w:rPr>
          <w:rFonts w:hint="eastAsia"/>
        </w:rPr>
        <w:t xml:space="preserve"> </w:t>
      </w:r>
      <w:r>
        <w:rPr>
          <w:rFonts w:hint="eastAsia"/>
          <w:color w:val="FF0000"/>
        </w:rPr>
        <w:t xml:space="preserve"> </w:t>
      </w:r>
    </w:p>
    <w:p w14:paraId="4D8B98B0">
      <w:pPr>
        <w:ind w:firstLine="482"/>
        <w:rPr>
          <w:rFonts w:hint="eastAsia"/>
        </w:rPr>
      </w:pPr>
      <w:r>
        <w:rPr>
          <w:rFonts w:hint="eastAsia"/>
          <w:b/>
          <w:bCs/>
        </w:rPr>
        <w:t>国家标准：</w:t>
      </w:r>
      <w:r>
        <w:t>《污水排入城镇下水道水质标准》（GB/T 31962-2015）：规定了污水排入城镇下水道的水质要求，适用于向城镇下水道排放污水的排水户和个人</w:t>
      </w:r>
      <w:r>
        <w:rPr>
          <w:rFonts w:hint="eastAsia"/>
        </w:rPr>
        <w:t>。</w:t>
      </w:r>
    </w:p>
    <w:p w14:paraId="7F6D73DF">
      <w:pPr>
        <w:ind w:firstLine="480"/>
        <w:rPr>
          <w:rFonts w:hint="eastAsia"/>
        </w:rPr>
      </w:pPr>
      <w:r>
        <w:t>《城镇污水处理厂污染物排放标准》（GB 18918-2002）：规定了城镇污水处理厂的出水水质标准，明确了不同处理级别（一级A、一级B等）的排放要求。</w:t>
      </w:r>
    </w:p>
    <w:p w14:paraId="25032D58">
      <w:pPr>
        <w:ind w:firstLine="480"/>
        <w:rPr>
          <w:rFonts w:hint="eastAsia"/>
        </w:rPr>
      </w:pPr>
      <w:r>
        <w:t>《污水综合排放标准》（GB 8978-1996）：适用于工业废水和医疗污水等的排放控制。</w:t>
      </w:r>
    </w:p>
    <w:p w14:paraId="05EF6236">
      <w:pPr>
        <w:ind w:firstLine="482"/>
        <w:rPr>
          <w:rFonts w:hint="eastAsia"/>
        </w:rPr>
      </w:pPr>
      <w:r>
        <w:rPr>
          <w:b/>
          <w:bCs/>
        </w:rPr>
        <w:t>地方标准：</w:t>
      </w:r>
      <w:r>
        <w:t>部分省市根据自身环境要求制定了更严格的地方标准，如北京、上海等地的污水排放标准。</w:t>
      </w:r>
    </w:p>
    <w:p w14:paraId="4B9771E8">
      <w:pPr>
        <w:ind w:firstLine="482"/>
        <w:rPr>
          <w:rFonts w:hint="eastAsia"/>
          <w:b/>
          <w:bCs/>
        </w:rPr>
      </w:pPr>
      <w:r>
        <w:rPr>
          <w:b/>
          <w:bCs/>
        </w:rPr>
        <w:t>法规要求</w:t>
      </w:r>
      <w:r>
        <w:rPr>
          <w:rFonts w:hint="eastAsia"/>
          <w:b/>
          <w:bCs/>
        </w:rPr>
        <w:t>：</w:t>
      </w:r>
    </w:p>
    <w:p w14:paraId="0BF9A548">
      <w:pPr>
        <w:ind w:firstLine="480"/>
        <w:rPr>
          <w:rFonts w:hint="eastAsia"/>
        </w:rPr>
      </w:pPr>
      <w:r>
        <w:t>《城镇排水与污水处理条例》（国务院令第641号）：</w:t>
      </w:r>
    </w:p>
    <w:p w14:paraId="03466006">
      <w:pPr>
        <w:ind w:firstLine="480"/>
        <w:rPr>
          <w:rFonts w:hint="eastAsia"/>
        </w:rPr>
      </w:pPr>
      <w:r>
        <w:t>排放污水必须符合国家或地方规定的排放标准。</w:t>
      </w:r>
    </w:p>
    <w:p w14:paraId="3DDE87BE">
      <w:pPr>
        <w:ind w:firstLine="480"/>
        <w:rPr>
          <w:rFonts w:hint="eastAsia"/>
        </w:rPr>
      </w:pPr>
      <w:r>
        <w:t>城镇排水主管部门需对排水口、预处理设施和水质水量检测设施进行监督。</w:t>
      </w:r>
    </w:p>
    <w:p w14:paraId="1D0A5B65">
      <w:pPr>
        <w:ind w:firstLine="480"/>
        <w:rPr>
          <w:rFonts w:hint="eastAsia"/>
        </w:rPr>
      </w:pPr>
      <w:r>
        <w:t>重点排污单位需安装自动监测设备，并与环保部门联网。</w:t>
      </w:r>
    </w:p>
    <w:p w14:paraId="3160F43B">
      <w:pPr>
        <w:ind w:firstLine="480"/>
        <w:rPr>
          <w:rFonts w:hint="eastAsia"/>
        </w:rPr>
      </w:pPr>
      <w:r>
        <w:t>城镇污水处理设施运营单位需保证出水水质达标，并向主管部门报送相关信息。</w:t>
      </w:r>
    </w:p>
    <w:p w14:paraId="6F863A4C">
      <w:pPr>
        <w:ind w:firstLine="482"/>
        <w:rPr>
          <w:rFonts w:hint="eastAsia"/>
          <w:b/>
          <w:bCs/>
        </w:rPr>
      </w:pPr>
      <w:r>
        <w:rPr>
          <w:b/>
          <w:bCs/>
        </w:rPr>
        <w:t>《水污染防治法》</w:t>
      </w:r>
      <w:r>
        <w:rPr>
          <w:rFonts w:hint="eastAsia"/>
          <w:b/>
          <w:bCs/>
        </w:rPr>
        <w:t>：</w:t>
      </w:r>
    </w:p>
    <w:p w14:paraId="0B775EAA">
      <w:pPr>
        <w:ind w:firstLine="480"/>
        <w:rPr>
          <w:rFonts w:hint="eastAsia"/>
        </w:rPr>
      </w:pPr>
      <w:r>
        <w:t>禁止超标排放污水，对违法排放行为进行严格处罚。</w:t>
      </w:r>
    </w:p>
    <w:p w14:paraId="7D774658">
      <w:pPr>
        <w:ind w:firstLine="480"/>
        <w:rPr>
          <w:rFonts w:hint="eastAsia"/>
        </w:rPr>
      </w:pPr>
      <w:r>
        <w:t>要求排污单位取得排污许可证，并按照许可证要求排放污水。</w:t>
      </w:r>
    </w:p>
    <w:p w14:paraId="63D28CB6">
      <w:pPr>
        <w:ind w:firstLine="482"/>
        <w:rPr>
          <w:rFonts w:hint="eastAsia"/>
          <w:b/>
          <w:bCs/>
        </w:rPr>
      </w:pPr>
      <w:bookmarkStart w:id="5" w:name="_Toc31308"/>
      <w:r>
        <w:rPr>
          <w:b/>
          <w:bCs/>
        </w:rPr>
        <w:t>污水监测依据</w:t>
      </w:r>
      <w:r>
        <w:rPr>
          <w:rFonts w:hint="eastAsia"/>
          <w:b/>
          <w:bCs/>
        </w:rPr>
        <w:t>：</w:t>
      </w:r>
      <w:bookmarkEnd w:id="5"/>
    </w:p>
    <w:p w14:paraId="1F6D0DF1">
      <w:pPr>
        <w:ind w:firstLine="480"/>
        <w:rPr>
          <w:rFonts w:hint="eastAsia"/>
        </w:rPr>
      </w:pPr>
      <w:r>
        <w:t>监测技术规范《污水监测技术规范》（HJ 91.1-2019）：规定了污水手工监测的方案制定、采样点位、样品保存、分析方法、数据处理等技术要求。</w:t>
      </w:r>
    </w:p>
    <w:p w14:paraId="35BC98A3">
      <w:pPr>
        <w:ind w:firstLine="480"/>
        <w:rPr>
          <w:rFonts w:hint="eastAsia"/>
        </w:rPr>
      </w:pPr>
      <w:r>
        <w:t>明确了采样频次和监测项目的选择依据，包括执行的污染物排放标准、环评文件、排污许可证等</w:t>
      </w:r>
    </w:p>
    <w:p w14:paraId="1F388700">
      <w:pPr>
        <w:ind w:firstLine="482"/>
        <w:rPr>
          <w:rFonts w:hint="eastAsia"/>
          <w:b/>
          <w:bCs/>
        </w:rPr>
      </w:pPr>
      <w:r>
        <w:rPr>
          <w:b/>
          <w:bCs/>
        </w:rPr>
        <w:t>在线监测系统规范</w:t>
      </w:r>
      <w:r>
        <w:rPr>
          <w:rFonts w:hint="eastAsia"/>
          <w:b/>
          <w:bCs/>
        </w:rPr>
        <w:t>：</w:t>
      </w:r>
    </w:p>
    <w:p w14:paraId="569FC00C">
      <w:pPr>
        <w:ind w:firstLine="480"/>
        <w:rPr>
          <w:rFonts w:hint="eastAsia"/>
        </w:rPr>
      </w:pPr>
      <w:r>
        <w:t>包括《水污染源在线监测系统安装技术规范》（HJ 353-2019）和《水污染源在线监测系统运行技术规范》（HJ 355-2019）等</w:t>
      </w:r>
      <w:r>
        <w:rPr>
          <w:rFonts w:hint="eastAsia"/>
        </w:rPr>
        <w:t>。</w:t>
      </w:r>
      <w:r>
        <w:t>规定了在线监测系统的安装、验收、运行和数据有效性判别要求</w:t>
      </w:r>
      <w:r>
        <w:rPr>
          <w:rFonts w:hint="eastAsia"/>
        </w:rPr>
        <w:t>。</w:t>
      </w:r>
    </w:p>
    <w:p w14:paraId="49977D47">
      <w:pPr>
        <w:ind w:firstLine="482"/>
        <w:rPr>
          <w:rFonts w:hint="eastAsia"/>
          <w:b/>
          <w:bCs/>
        </w:rPr>
      </w:pPr>
      <w:r>
        <w:rPr>
          <w:b/>
          <w:bCs/>
        </w:rPr>
        <w:t>监测项目与方法</w:t>
      </w:r>
      <w:r>
        <w:rPr>
          <w:rFonts w:hint="eastAsia"/>
          <w:b/>
          <w:bCs/>
        </w:rPr>
        <w:t>：</w:t>
      </w:r>
    </w:p>
    <w:p w14:paraId="53ADDC5E">
      <w:pPr>
        <w:ind w:firstLine="480"/>
        <w:rPr>
          <w:rFonts w:hint="eastAsia"/>
        </w:rPr>
      </w:pPr>
      <w:r>
        <w:t>监测项目根据污水类型和排放标准确定，包括化学需氧量（COD）、氨氮（NH₃-N）、总磷（TP）、重金属等</w:t>
      </w:r>
      <w:r>
        <w:rPr>
          <w:rFonts w:hint="eastAsia"/>
        </w:rPr>
        <w:t>。</w:t>
      </w:r>
    </w:p>
    <w:p w14:paraId="4FEBD83E">
      <w:pPr>
        <w:ind w:firstLine="480"/>
        <w:rPr>
          <w:rFonts w:hint="eastAsia"/>
        </w:rPr>
      </w:pPr>
      <w:r>
        <w:t>分析方法优先选用国家或行业标准方法，如《化学需氧量水质在线自动监测仪技术要求及检测方法》（HJ 377-2019）</w:t>
      </w:r>
    </w:p>
    <w:p w14:paraId="25D3910D">
      <w:pPr>
        <w:ind w:firstLine="482"/>
        <w:rPr>
          <w:rFonts w:hint="eastAsia"/>
          <w:b/>
          <w:bCs/>
        </w:rPr>
      </w:pPr>
      <w:r>
        <w:rPr>
          <w:b/>
          <w:bCs/>
        </w:rPr>
        <w:t>管理要求</w:t>
      </w:r>
      <w:r>
        <w:rPr>
          <w:rFonts w:hint="eastAsia"/>
          <w:b/>
          <w:bCs/>
        </w:rPr>
        <w:t>：</w:t>
      </w:r>
    </w:p>
    <w:p w14:paraId="407060FC">
      <w:pPr>
        <w:ind w:firstLine="480"/>
        <w:rPr>
          <w:rFonts w:hint="eastAsia"/>
        </w:rPr>
      </w:pPr>
      <w:r>
        <w:t>排污单位需对监测数据的真实性和准确性负责，并承担数据审核的主体责任</w:t>
      </w:r>
    </w:p>
    <w:p w14:paraId="32458568">
      <w:pPr>
        <w:ind w:firstLine="480"/>
        <w:rPr>
          <w:rFonts w:hint="eastAsia"/>
        </w:rPr>
      </w:pPr>
      <w:r>
        <w:t>生态环境主管部门对监测数据进行监督和管理，确保监测活动符合法规要求</w:t>
      </w:r>
      <w:r>
        <w:rPr>
          <w:rFonts w:hint="eastAsia"/>
        </w:rPr>
        <w:t>。</w:t>
      </w:r>
    </w:p>
    <w:p w14:paraId="301BA2CD">
      <w:pPr>
        <w:ind w:firstLine="480"/>
        <w:rPr>
          <w:rFonts w:hint="eastAsia"/>
        </w:rPr>
      </w:pPr>
      <w:r>
        <w:t>综上所述，污水排放需严格遵守国家和地方的水质标准及法规要求，同时依据相关技术规范进行科学监测，确保污水达标排放。</w:t>
      </w:r>
    </w:p>
    <w:p w14:paraId="2F4158E8">
      <w:pPr>
        <w:ind w:firstLine="480"/>
        <w:rPr>
          <w:rFonts w:hint="eastAsia"/>
        </w:rPr>
      </w:pPr>
    </w:p>
    <w:p w14:paraId="78FC8C3A">
      <w:pPr>
        <w:pStyle w:val="3"/>
        <w:rPr>
          <w:rFonts w:hint="eastAsia"/>
        </w:rPr>
      </w:pPr>
      <w:bookmarkStart w:id="6" w:name="_Toc16844"/>
      <w:bookmarkStart w:id="7" w:name="_Toc24286"/>
      <w:r>
        <w:rPr>
          <w:rFonts w:hint="eastAsia"/>
        </w:rPr>
        <w:t>城镇污水处理厂排口监测特点</w:t>
      </w:r>
      <w:bookmarkEnd w:id="6"/>
      <w:bookmarkEnd w:id="7"/>
    </w:p>
    <w:p w14:paraId="0B9C8602">
      <w:pPr>
        <w:ind w:firstLine="480"/>
        <w:rPr>
          <w:rFonts w:hint="eastAsia"/>
        </w:rPr>
      </w:pPr>
      <w:bookmarkStart w:id="8" w:name="_Toc15099"/>
      <w:r>
        <w:rPr>
          <w:rFonts w:hint="eastAsia"/>
        </w:rPr>
        <w:t>城镇污水处理厂排口监测兼具技术密集、法规驱动和动态管理的特点，需通过“精准监测+智能管控+协同治理”实现稳定达标，最终服务于水环境质量改善的目标。未来，随着技术迭代和监管趋严，监测将向更高精度、更低成本和更强预警能力方向发展。</w:t>
      </w:r>
    </w:p>
    <w:p w14:paraId="0ECDB4CD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1. 监测参数全面性</w:t>
      </w:r>
    </w:p>
    <w:p w14:paraId="049DC730">
      <w:pPr>
        <w:ind w:firstLine="480"/>
        <w:rPr>
          <w:rFonts w:hint="eastAsia"/>
        </w:rPr>
      </w:pPr>
      <w:r>
        <w:rPr>
          <w:rFonts w:hint="eastAsia"/>
        </w:rPr>
        <w:t>包括化学需氧量（COD）、氨氮（NH₃-N）、总磷（TP）、总氮（TN）、pH值等，这些是衡量污水处理效果的核心参数。</w:t>
      </w:r>
    </w:p>
    <w:p w14:paraId="33EF1E15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2. 实时性与连续性</w:t>
      </w:r>
    </w:p>
    <w:p w14:paraId="7761D475">
      <w:pPr>
        <w:ind w:firstLine="480"/>
        <w:rPr>
          <w:rFonts w:hint="eastAsia"/>
        </w:rPr>
      </w:pPr>
      <w:r>
        <w:rPr>
          <w:rFonts w:hint="eastAsia"/>
        </w:rPr>
        <w:t>在线监测系统：多数污水处理厂配备24小时在线监测设备，实时传输数据至环保监管平台，确保异常情况及时预警。</w:t>
      </w:r>
    </w:p>
    <w:p w14:paraId="7F207B9E">
      <w:pPr>
        <w:ind w:firstLine="480"/>
        <w:rPr>
          <w:rFonts w:hint="eastAsia"/>
        </w:rPr>
      </w:pPr>
      <w:r>
        <w:rPr>
          <w:rFonts w:hint="eastAsia"/>
        </w:rPr>
        <w:t>数据频率高：关键参通常每分钟或每小时采集一次，形成连续数据流，避免传统人工采样的时间盲区。</w:t>
      </w:r>
    </w:p>
    <w:p w14:paraId="1C336AFD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3. 严格的标准与法规约束</w:t>
      </w:r>
    </w:p>
    <w:p w14:paraId="7B9C38DC">
      <w:pPr>
        <w:ind w:firstLine="480"/>
        <w:rPr>
          <w:rFonts w:hint="eastAsia"/>
        </w:rPr>
      </w:pPr>
      <w:r>
        <w:rPr>
          <w:rFonts w:hint="eastAsia"/>
        </w:rPr>
        <w:t>达标排放：需符合《城镇污水处理厂污染物排放标准》（GB 18918-2002）及地方标准（如“准Ⅳ类水”等更严要求）。</w:t>
      </w:r>
    </w:p>
    <w:p w14:paraId="333E3EAB">
      <w:pPr>
        <w:ind w:firstLine="480"/>
        <w:rPr>
          <w:rFonts w:hint="eastAsia"/>
        </w:rPr>
      </w:pPr>
      <w:r>
        <w:rPr>
          <w:rFonts w:hint="eastAsia"/>
        </w:rPr>
        <w:t>动态调整：部分地区实施季节性差异化标准（如冬季低温对脱氮效果的影响），监测需适应动态限值。</w:t>
      </w:r>
    </w:p>
    <w:p w14:paraId="75F6EB94">
      <w:pPr>
        <w:ind w:firstLine="480"/>
        <w:rPr>
          <w:rFonts w:hint="eastAsia"/>
        </w:rPr>
      </w:pPr>
      <w:r>
        <w:rPr>
          <w:rFonts w:hint="eastAsia"/>
        </w:rPr>
        <w:t>法律责任：数据作为执法依据，超标排放可能面临罚款、限产甚至关停。</w:t>
      </w:r>
    </w:p>
    <w:p w14:paraId="1CB87538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4. 技术与设备的复杂性</w:t>
      </w:r>
    </w:p>
    <w:p w14:paraId="6B75A0E9">
      <w:pPr>
        <w:ind w:firstLine="480"/>
        <w:rPr>
          <w:rFonts w:hint="eastAsia"/>
        </w:rPr>
      </w:pPr>
      <w:r>
        <w:rPr>
          <w:rFonts w:hint="eastAsia"/>
        </w:rPr>
        <w:t>多技术集成：采用光谱分析、电化学传感器、物联网（IoT）等多种技术手段，结合实验室手工比对确保准确性。</w:t>
      </w:r>
    </w:p>
    <w:p w14:paraId="1AAAF3FF">
      <w:pPr>
        <w:ind w:firstLine="480"/>
        <w:rPr>
          <w:rFonts w:hint="eastAsia"/>
        </w:rPr>
      </w:pPr>
      <w:r>
        <w:rPr>
          <w:rFonts w:hint="eastAsia"/>
        </w:rPr>
        <w:t>抗干扰设计：排口环境复杂（如水流波动、杂质干扰），设备需具备自动清洗、校准和故障诊断功能。</w:t>
      </w:r>
    </w:p>
    <w:p w14:paraId="2B5F401A">
      <w:pPr>
        <w:ind w:firstLine="480"/>
        <w:rPr>
          <w:rFonts w:hint="eastAsia"/>
        </w:rPr>
      </w:pPr>
      <w:r>
        <w:rPr>
          <w:rFonts w:hint="eastAsia"/>
        </w:rPr>
        <w:t>智能化趋势：结合AI算法预测水质变化，优化工艺调控，减少超标风险。</w:t>
      </w:r>
    </w:p>
    <w:p w14:paraId="002ADD59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5. 数据管理与透明度</w:t>
      </w:r>
    </w:p>
    <w:p w14:paraId="077A3FC8">
      <w:pPr>
        <w:ind w:firstLine="480"/>
        <w:rPr>
          <w:rFonts w:hint="eastAsia"/>
        </w:rPr>
      </w:pPr>
      <w:r>
        <w:rPr>
          <w:rFonts w:hint="eastAsia"/>
        </w:rPr>
        <w:t>多级监管：数据同步至企业、环保部门及公众平台（如“全国污染源监测信息共享系统”），接受多方监督。</w:t>
      </w:r>
    </w:p>
    <w:p w14:paraId="77ED81B8">
      <w:pPr>
        <w:ind w:firstLine="480"/>
        <w:rPr>
          <w:rFonts w:hint="eastAsia"/>
        </w:rPr>
      </w:pPr>
      <w:r>
        <w:rPr>
          <w:rFonts w:hint="eastAsia"/>
        </w:rPr>
        <w:t>可追溯性：监测数据需长期存储（通常≥3年），支持历史回溯和合规审计。</w:t>
      </w:r>
    </w:p>
    <w:p w14:paraId="6D96628C">
      <w:pPr>
        <w:ind w:firstLine="480"/>
        <w:rPr>
          <w:rFonts w:hint="eastAsia"/>
        </w:rPr>
      </w:pPr>
      <w:r>
        <w:rPr>
          <w:rFonts w:hint="eastAsia"/>
        </w:rPr>
        <w:t>公开透明：部分城市要求实时公开排口数据，增强公众参与感。</w:t>
      </w:r>
    </w:p>
    <w:p w14:paraId="3D4F8960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6. 影响因素多样性</w:t>
      </w:r>
    </w:p>
    <w:p w14:paraId="2F55ECBC">
      <w:pPr>
        <w:ind w:firstLine="480"/>
        <w:rPr>
          <w:rFonts w:hint="eastAsia"/>
        </w:rPr>
      </w:pPr>
      <w:r>
        <w:rPr>
          <w:rFonts w:hint="eastAsia"/>
        </w:rPr>
        <w:t>进水波动：雨季合流制管网溢流、工业废水冲击负荷等导致进水水质突变，影响出水稳定性。</w:t>
      </w:r>
    </w:p>
    <w:p w14:paraId="0E67BF5E">
      <w:pPr>
        <w:ind w:firstLine="480"/>
        <w:rPr>
          <w:rFonts w:hint="eastAsia"/>
        </w:rPr>
      </w:pPr>
      <w:r>
        <w:rPr>
          <w:rFonts w:hint="eastAsia"/>
        </w:rPr>
        <w:t>工艺差异性：不同工艺（如A²/O、MBR、人工湿地）对污染物去除效率不同，监测需针对性调整。</w:t>
      </w:r>
    </w:p>
    <w:p w14:paraId="3D252F2C">
      <w:pPr>
        <w:ind w:firstLine="480"/>
        <w:rPr>
          <w:rFonts w:hint="eastAsia"/>
        </w:rPr>
      </w:pPr>
      <w:r>
        <w:rPr>
          <w:rFonts w:hint="eastAsia"/>
        </w:rPr>
        <w:t>季节性变化：温度变化影响微生物活性（如冬季脱氮效率下降），需加强相关指标监控。</w:t>
      </w:r>
    </w:p>
    <w:p w14:paraId="568F8366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7. 应急与风险管理</w:t>
      </w:r>
    </w:p>
    <w:p w14:paraId="5AB0C6C8">
      <w:pPr>
        <w:ind w:firstLine="480"/>
        <w:rPr>
          <w:rFonts w:hint="eastAsia"/>
        </w:rPr>
      </w:pPr>
      <w:r>
        <w:rPr>
          <w:rFonts w:hint="eastAsia"/>
        </w:rPr>
        <w:t>预警机制：设置阈值报警（如COD瞬时超标），联动应急处理设施（如调节池、活性炭投加）。</w:t>
      </w:r>
    </w:p>
    <w:p w14:paraId="4AC6C19E">
      <w:pPr>
        <w:ind w:firstLine="480"/>
        <w:rPr>
          <w:rFonts w:hint="eastAsia"/>
        </w:rPr>
      </w:pPr>
      <w:r>
        <w:rPr>
          <w:rFonts w:hint="eastAsia"/>
        </w:rPr>
        <w:t>溯源能力：通过水质指纹、大数据分析追踪污染来源，快速定位上游违规排放。</w:t>
      </w:r>
    </w:p>
    <w:p w14:paraId="45FEB7DE">
      <w:pPr>
        <w:ind w:firstLine="480"/>
        <w:rPr>
          <w:rFonts w:hint="eastAsia"/>
        </w:rPr>
      </w:pPr>
      <w:r>
        <w:rPr>
          <w:rFonts w:hint="eastAsia"/>
        </w:rPr>
        <w:t>应急预案：针对设备故障、自然灾害等制定备用监测方案（如移动监测车、第三方检测）。</w:t>
      </w:r>
    </w:p>
    <w:p w14:paraId="57E0A7F3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8. 经济与运维成本</w:t>
      </w:r>
    </w:p>
    <w:p w14:paraId="6097E91F">
      <w:pPr>
        <w:ind w:firstLine="480"/>
        <w:rPr>
          <w:rFonts w:hint="eastAsia"/>
        </w:rPr>
      </w:pPr>
      <w:r>
        <w:rPr>
          <w:rFonts w:hint="eastAsia"/>
        </w:rPr>
        <w:t>设备投入高：在线监测系统建设及维护费用较高，小型处理厂可能面临资金压力。</w:t>
      </w:r>
    </w:p>
    <w:p w14:paraId="3ED72DEB">
      <w:pPr>
        <w:ind w:firstLine="480"/>
        <w:rPr>
          <w:rFonts w:hint="eastAsia"/>
        </w:rPr>
      </w:pPr>
      <w:r>
        <w:rPr>
          <w:rFonts w:hint="eastAsia"/>
        </w:rPr>
        <w:t>专业化运维：需定期校准、更换耗材（如试剂、传感器），依赖专业技术团队支持。</w:t>
      </w:r>
    </w:p>
    <w:p w14:paraId="60095A2D">
      <w:pPr>
        <w:pStyle w:val="2"/>
        <w:rPr>
          <w:rFonts w:hint="eastAsia"/>
        </w:rPr>
      </w:pPr>
      <w:bookmarkStart w:id="9" w:name="_Toc29758"/>
      <w:r>
        <w:rPr>
          <w:rFonts w:hint="eastAsia"/>
        </w:rPr>
        <w:t>建设方案设计</w:t>
      </w:r>
      <w:bookmarkEnd w:id="8"/>
      <w:bookmarkEnd w:id="9"/>
    </w:p>
    <w:p w14:paraId="61D546F7">
      <w:pPr>
        <w:pStyle w:val="3"/>
        <w:rPr>
          <w:rFonts w:hint="eastAsia"/>
        </w:rPr>
      </w:pPr>
      <w:bookmarkStart w:id="10" w:name="_Toc10440"/>
      <w:r>
        <w:rPr>
          <w:rFonts w:hint="eastAsia"/>
        </w:rPr>
        <w:t>系统框架图</w:t>
      </w:r>
      <w:bookmarkEnd w:id="10"/>
    </w:p>
    <w:p w14:paraId="4E104AAB">
      <w:pPr>
        <w:ind w:firstLine="480"/>
        <w:rPr>
          <w:rFonts w:hint="eastAsia"/>
        </w:rPr>
      </w:pPr>
      <w:r>
        <w:drawing>
          <wp:inline distT="0" distB="0" distL="114300" distR="114300">
            <wp:extent cx="4539615" cy="2785110"/>
            <wp:effectExtent l="0" t="0" r="190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7343">
      <w:pPr>
        <w:ind w:firstLine="480"/>
        <w:rPr>
          <w:rFonts w:hint="eastAsia"/>
        </w:rPr>
      </w:pPr>
      <w:r>
        <w:rPr>
          <w:rFonts w:hint="eastAsia"/>
        </w:rPr>
        <w:t>（</w:t>
      </w:r>
      <w:r>
        <w:t>1）建立全覆盖物联网</w:t>
      </w:r>
      <w:r>
        <w:rPr>
          <w:rFonts w:hint="eastAsia"/>
        </w:rPr>
        <w:t>监测</w:t>
      </w:r>
      <w:r>
        <w:t>监控体系，快速感知</w:t>
      </w:r>
    </w:p>
    <w:p w14:paraId="390BB5D2">
      <w:pPr>
        <w:ind w:firstLine="480"/>
        <w:rPr>
          <w:rFonts w:hint="eastAsia"/>
        </w:rPr>
      </w:pPr>
      <w:r>
        <w:t>在重点排水管网</w:t>
      </w:r>
      <w:r>
        <w:rPr>
          <w:rFonts w:hint="eastAsia"/>
        </w:rPr>
        <w:t>关键节点</w:t>
      </w:r>
      <w:r>
        <w:t>、</w:t>
      </w:r>
      <w:r>
        <w:rPr>
          <w:rFonts w:hint="eastAsia"/>
        </w:rPr>
        <w:t>雨水</w:t>
      </w:r>
      <w:r>
        <w:t>排水口</w:t>
      </w:r>
      <w:r>
        <w:rPr>
          <w:rFonts w:hint="eastAsia"/>
        </w:rPr>
        <w:t>、污水排放口</w:t>
      </w:r>
      <w:r>
        <w:t>等排水设施布设流量</w:t>
      </w:r>
      <w:r>
        <w:rPr>
          <w:rFonts w:hint="eastAsia"/>
        </w:rPr>
        <w:t>、水质</w:t>
      </w:r>
      <w:r>
        <w:t>监测设备，同时，建设完善</w:t>
      </w:r>
      <w:r>
        <w:rPr>
          <w:rFonts w:hint="eastAsia"/>
        </w:rPr>
        <w:t>重点雨水排口的</w:t>
      </w:r>
      <w:r>
        <w:t>视频感知传输体系，实时</w:t>
      </w:r>
      <w:r>
        <w:rPr>
          <w:rFonts w:hint="eastAsia"/>
        </w:rPr>
        <w:t>监控非法偷等排</w:t>
      </w:r>
      <w:r>
        <w:t>视频信息</w:t>
      </w:r>
      <w:r>
        <w:rPr>
          <w:rFonts w:hint="eastAsia"/>
        </w:rPr>
        <w:t>并取证，</w:t>
      </w:r>
      <w:r>
        <w:t>实现所有信息快速感知、实时掌握运行情况。</w:t>
      </w:r>
    </w:p>
    <w:p w14:paraId="114B0306">
      <w:pPr>
        <w:ind w:firstLine="480"/>
        <w:rPr>
          <w:rFonts w:hint="eastAsia" w:cs="Arial"/>
        </w:rPr>
      </w:pPr>
      <w:r>
        <w:rPr>
          <w:rFonts w:hint="eastAsia" w:cs="Arial"/>
        </w:rPr>
        <w:t>(2)构建污水在线监测数据分析云平台并持续运行，对监测数据进行分析，优化布点方案、提高监测数据的有效性和质量。</w:t>
      </w:r>
    </w:p>
    <w:p w14:paraId="05BFA678">
      <w:pPr>
        <w:ind w:firstLine="480"/>
        <w:rPr>
          <w:rFonts w:hint="eastAsia" w:cs="Arial"/>
        </w:rPr>
      </w:pPr>
      <w:r>
        <w:rPr>
          <w:rFonts w:hint="eastAsia" w:cs="Arial"/>
        </w:rPr>
        <w:t>(3)构建一体化管控平台，建立科学的分析工具，对项目范围内的排水系统进行持续管控，及时评估，执行有效的提质增效方案措施。</w:t>
      </w:r>
    </w:p>
    <w:p w14:paraId="2462004B">
      <w:pPr>
        <w:ind w:firstLine="480"/>
        <w:rPr>
          <w:rFonts w:hint="eastAsia"/>
        </w:rPr>
      </w:pPr>
    </w:p>
    <w:p w14:paraId="5EB207A6">
      <w:pPr>
        <w:pStyle w:val="3"/>
        <w:rPr>
          <w:rFonts w:hint="eastAsia"/>
        </w:rPr>
      </w:pPr>
      <w:bookmarkStart w:id="11" w:name="_Toc13144"/>
      <w:r>
        <w:rPr>
          <w:rFonts w:hint="eastAsia"/>
        </w:rPr>
        <w:t>设备选型策略</w:t>
      </w:r>
      <w:bookmarkEnd w:id="11"/>
    </w:p>
    <w:p w14:paraId="6EDC534D">
      <w:pPr>
        <w:ind w:firstLine="480"/>
        <w:rPr>
          <w:rFonts w:hint="eastAsia"/>
        </w:rPr>
      </w:pPr>
      <w:r>
        <w:rPr>
          <w:rFonts w:hint="eastAsia"/>
        </w:rPr>
        <w:t>（1）核心监测参数：</w:t>
      </w:r>
    </w:p>
    <w:tbl>
      <w:tblPr>
        <w:tblStyle w:val="20"/>
        <w:tblpPr w:leftFromText="180" w:rightFromText="180" w:vertAnchor="text" w:horzAnchor="page" w:tblpX="1762" w:tblpY="469"/>
        <w:tblOverlap w:val="never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1"/>
        <w:gridCol w:w="3817"/>
        <w:gridCol w:w="2531"/>
      </w:tblGrid>
      <w:tr w14:paraId="44200F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vAlign w:val="center"/>
          </w:tcPr>
          <w:p w14:paraId="1574B5A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核心监测参数</w:t>
            </w:r>
          </w:p>
        </w:tc>
        <w:tc>
          <w:tcPr>
            <w:tcW w:w="2240" w:type="pct"/>
            <w:vAlign w:val="center"/>
          </w:tcPr>
          <w:p w14:paraId="396A5556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1485" w:type="pct"/>
            <w:vAlign w:val="center"/>
          </w:tcPr>
          <w:p w14:paraId="3F589384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设备原理</w:t>
            </w:r>
          </w:p>
        </w:tc>
      </w:tr>
      <w:tr w14:paraId="7D70E0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1D00D9C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PH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44AF8D6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在线PH传感器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1DD131D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玻璃电极法</w:t>
            </w:r>
          </w:p>
        </w:tc>
      </w:tr>
      <w:tr w14:paraId="01DA3D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6E66B28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化学需氧量COD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74DB61F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在线COD传感器/在线COD分析仪/在线全光谱多参数传感器/便携式多参数分析仪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1F4A563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双波长紫外吸收法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/重铬酸盐法//全光谱法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光电比色法</w:t>
            </w:r>
          </w:p>
        </w:tc>
      </w:tr>
      <w:tr w14:paraId="09C11F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2C83545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氨氮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45479BB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在线氨氮传感器/在线氨氮分析仪/在线全光谱多参数传感器/便携式多参数分析仪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672ECED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离子选择法/水杨酸法/全光谱法/光电比色法</w:t>
            </w:r>
          </w:p>
        </w:tc>
      </w:tr>
      <w:tr w14:paraId="7348EA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50DCFAC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总磷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488E069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在线总磷分析仪/在线全光谱多参数传感器/便携式多参数分析仪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0B9F248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钼酸铵分光光度法/全光谱法/光电比色法</w:t>
            </w:r>
          </w:p>
        </w:tc>
      </w:tr>
      <w:tr w14:paraId="48AB3CB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4F57C380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总氮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74F3F17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在线总氮分析仪/在线全光谱多参数传感器/便携式多参数分析仪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4D837EF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过硫酸钾消解-紫外分光光度法/全光谱法/光电比色法</w:t>
            </w:r>
          </w:p>
        </w:tc>
      </w:tr>
      <w:tr w14:paraId="72EE0C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6C45615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流量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3CB53D0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超声波明渠流量计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0FF2DBF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超声波法</w:t>
            </w:r>
          </w:p>
        </w:tc>
      </w:tr>
    </w:tbl>
    <w:p w14:paraId="317539D3">
      <w:pPr>
        <w:ind w:firstLine="0" w:firstLineChars="0"/>
        <w:rPr>
          <w:rFonts w:hint="eastAsia"/>
          <w:color w:val="FF0000"/>
        </w:rPr>
      </w:pPr>
    </w:p>
    <w:p w14:paraId="79382D7D">
      <w:pPr>
        <w:numPr>
          <w:ilvl w:val="0"/>
          <w:numId w:val="2"/>
        </w:numPr>
        <w:ind w:firstLin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设备类型选择</w:t>
      </w:r>
    </w:p>
    <w:p w14:paraId="7B360C71">
      <w:pPr>
        <w:ind w:firstLine="0" w:firstLineChars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传感器类：</w:t>
      </w:r>
    </w:p>
    <w:p w14:paraId="63884AF4">
      <w:pPr>
        <w:ind w:firstLine="0" w:firstLineChars="0"/>
        <w:jc w:val="center"/>
        <w:rPr>
          <w:rFonts w:hint="eastAsia"/>
        </w:rPr>
      </w:pPr>
      <w:r>
        <w:rPr>
          <w:rFonts w:ascii="Times New Roman" w:hAnsi="Times New Roman" w:cs="Times New Roman"/>
          <w:b/>
          <w:sz w:val="32"/>
          <w:szCs w:val="32"/>
        </w:rPr>
        <w:drawing>
          <wp:inline distT="0" distB="0" distL="114300" distR="114300">
            <wp:extent cx="326390" cy="1350645"/>
            <wp:effectExtent l="365760" t="0" r="374650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160000">
                      <a:off x="0" y="0"/>
                      <a:ext cx="328911" cy="13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sz w:val="32"/>
          <w:szCs w:val="32"/>
        </w:rPr>
        <w:t xml:space="preserve">  </w:t>
      </w:r>
      <w:r>
        <w:rPr>
          <w:rFonts w:hint="eastAsia" w:ascii="Times New Roman" w:hAnsi="Times New Roman"/>
        </w:rPr>
        <w:drawing>
          <wp:inline distT="0" distB="0" distL="114300" distR="114300">
            <wp:extent cx="220980" cy="1373505"/>
            <wp:effectExtent l="407670" t="0" r="407670" b="0"/>
            <wp:docPr id="68" name="图片 68" descr="lQLPDhsUQbx-RArNCMLNAWuwbhGOLd90K5cB8dyl7UBnAA_363_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QLPDhsUQbx-RArNCMLNAWuwbhGOLd90K5cB8dyl7UBnAA_363_22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340000" flipH="1">
                      <a:off x="0" y="0"/>
                      <a:ext cx="22098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 </w:t>
      </w:r>
      <w:r>
        <w:rPr>
          <w:rFonts w:hint="eastAsia" w:eastAsiaTheme="minorEastAsia"/>
        </w:rPr>
        <w:drawing>
          <wp:inline distT="0" distB="0" distL="114300" distR="114300">
            <wp:extent cx="392430" cy="1581785"/>
            <wp:effectExtent l="370205" t="0" r="258445" b="0"/>
            <wp:docPr id="66" name="图片 66" descr="E:/新建文件夹 (9)/mmexport1716363568522.pngmmexport171636356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:/新建文件夹 (9)/mmexport1716363568522.pngmmexport1716363568522"/>
                    <pic:cNvPicPr>
                      <a:picLocks noChangeAspect="1"/>
                    </pic:cNvPicPr>
                  </pic:nvPicPr>
                  <pic:blipFill>
                    <a:blip r:embed="rId13"/>
                    <a:srcRect l="33411" r="33411"/>
                    <a:stretch>
                      <a:fillRect/>
                    </a:stretch>
                  </pic:blipFill>
                  <pic:spPr>
                    <a:xfrm rot="2400000">
                      <a:off x="0" y="0"/>
                      <a:ext cx="3924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</w:rPr>
        <w:t xml:space="preserve">  </w:t>
      </w:r>
      <w:r>
        <w:drawing>
          <wp:inline distT="0" distB="0" distL="114300" distR="114300">
            <wp:extent cx="977900" cy="1803400"/>
            <wp:effectExtent l="0" t="0" r="12700" b="101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81455" b="17129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4EE0">
      <w:pPr>
        <w:ind w:firstLine="0" w:firstLineChars="0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PH传感器      COD传感器      氨氮传感器      全光谱传感器</w:t>
      </w:r>
    </w:p>
    <w:p w14:paraId="4CCED837">
      <w:pPr>
        <w:ind w:firstLine="0" w:firstLineChars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化学分析仪：</w:t>
      </w:r>
    </w:p>
    <w:p w14:paraId="3649A51A">
      <w:pPr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1098550" cy="1958340"/>
            <wp:effectExtent l="0" t="0" r="13970" b="762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983C">
      <w:pPr>
        <w:ind w:firstLine="0" w:firstLineChars="0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在线COD/氨氮/总磷/总氮分析仪</w:t>
      </w:r>
    </w:p>
    <w:p w14:paraId="028FFBB6">
      <w:pPr>
        <w:ind w:firstLine="0" w:firstLineChars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流量计：</w:t>
      </w:r>
    </w:p>
    <w:p w14:paraId="68B81449">
      <w:pPr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1739900" cy="1099185"/>
            <wp:effectExtent l="0" t="0" r="1270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23F0">
      <w:pPr>
        <w:ind w:firstLine="0" w:firstLineChars="0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超声波明渠流量计</w:t>
      </w:r>
    </w:p>
    <w:p w14:paraId="0942A2DB">
      <w:pPr>
        <w:ind w:firstLine="0" w:firstLineChars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便携式：</w:t>
      </w:r>
    </w:p>
    <w:p w14:paraId="5C6E57FD">
      <w:pPr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3050540" cy="1150620"/>
            <wp:effectExtent l="0" t="0" r="12700" b="762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r="19409" b="18342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7A1A">
      <w:pPr>
        <w:ind w:firstLine="0" w:firstLineChars="0"/>
        <w:jc w:val="left"/>
        <w:rPr>
          <w:rFonts w:hint="eastAsia"/>
          <w:b/>
          <w:bCs/>
        </w:rPr>
      </w:pPr>
    </w:p>
    <w:p w14:paraId="7B82EE37">
      <w:pPr>
        <w:pStyle w:val="2"/>
        <w:rPr>
          <w:rFonts w:hint="eastAsia"/>
        </w:rPr>
      </w:pPr>
      <w:bookmarkStart w:id="12" w:name="_Toc18578"/>
      <w:bookmarkStart w:id="13" w:name="_Toc24440"/>
      <w:r>
        <w:rPr>
          <w:rFonts w:hint="eastAsia"/>
        </w:rPr>
        <w:t>产品介绍</w:t>
      </w:r>
      <w:bookmarkEnd w:id="12"/>
      <w:bookmarkEnd w:id="13"/>
    </w:p>
    <w:p w14:paraId="68F9ABB7">
      <w:pPr>
        <w:pStyle w:val="3"/>
        <w:rPr>
          <w:rFonts w:hint="eastAsia"/>
        </w:rPr>
      </w:pPr>
      <w:bookmarkStart w:id="14" w:name="_Toc8661"/>
      <w:r>
        <w:rPr>
          <w:rFonts w:hint="eastAsia"/>
        </w:rPr>
        <w:t>技术参数</w:t>
      </w:r>
      <w:bookmarkEnd w:id="14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6AA8E1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4D3D6F82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8EBBADF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166CE564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图片示例</w:t>
            </w:r>
          </w:p>
        </w:tc>
      </w:tr>
      <w:tr w14:paraId="1D5B37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927" w:type="pct"/>
            <w:shd w:val="clear" w:color="auto" w:fill="auto"/>
            <w:vAlign w:val="center"/>
          </w:tcPr>
          <w:p w14:paraId="5DD034C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在线全光谱多参数传感器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98F994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：全光谱吸收法</w:t>
            </w:r>
          </w:p>
          <w:p w14:paraId="6F44C3A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</w:t>
            </w:r>
          </w:p>
          <w:p w14:paraId="4E51325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0C3147CE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：±5%F.S.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F39F926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9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AA7E8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6" w:hRule="atLeast"/>
        </w:trPr>
        <w:tc>
          <w:tcPr>
            <w:tcW w:w="927" w:type="pct"/>
            <w:shd w:val="clear" w:color="auto" w:fill="auto"/>
            <w:vAlign w:val="center"/>
          </w:tcPr>
          <w:p w14:paraId="6BEA6ED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BAA853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原理：玻璃电极法</w:t>
            </w:r>
          </w:p>
          <w:p w14:paraId="77C4A26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量程：0-14 pH</w:t>
            </w:r>
          </w:p>
          <w:p w14:paraId="4D97686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48D956E">
            <w:pPr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26390" cy="1350645"/>
                  <wp:effectExtent l="0" t="358140" r="0" b="36703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330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22CB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927" w:type="pct"/>
            <w:shd w:val="clear" w:color="auto" w:fill="auto"/>
            <w:vAlign w:val="center"/>
          </w:tcPr>
          <w:p w14:paraId="55C47AD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在线COD传感器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DA8C79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</w:t>
            </w:r>
            <w:r>
              <w:rPr>
                <w:rFonts w:hint="eastAsia"/>
                <w:sz w:val="21"/>
                <w:szCs w:val="21"/>
              </w:rPr>
              <w:t>双波长紫外吸收法</w:t>
            </w:r>
          </w:p>
          <w:p w14:paraId="7EFCFA7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</w:t>
            </w:r>
            <w:r>
              <w:rPr>
                <w:rFonts w:hint="eastAsia"/>
                <w:sz w:val="21"/>
                <w:szCs w:val="21"/>
              </w:rPr>
              <w:t>0～500.0 mg/L</w:t>
            </w:r>
          </w:p>
          <w:p w14:paraId="4A226E2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精度：</w:t>
            </w:r>
            <w:r>
              <w:rPr>
                <w:rFonts w:hint="eastAsia"/>
                <w:sz w:val="21"/>
                <w:szCs w:val="21"/>
              </w:rPr>
              <w:t>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5E8481A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drawing>
                <wp:inline distT="0" distB="0" distL="114300" distR="114300">
                  <wp:extent cx="211455" cy="1327150"/>
                  <wp:effectExtent l="0" t="300990" r="0" b="371475"/>
                  <wp:docPr id="11" name="图片 1" descr="COD-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OD-4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3300000" flipH="1">
                            <a:off x="0" y="0"/>
                            <a:ext cx="21145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C6193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4" w:hRule="atLeast"/>
        </w:trPr>
        <w:tc>
          <w:tcPr>
            <w:tcW w:w="927" w:type="pct"/>
            <w:shd w:val="clear" w:color="auto" w:fill="auto"/>
            <w:vAlign w:val="center"/>
          </w:tcPr>
          <w:p w14:paraId="736D049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48565C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：离子选择电极法</w:t>
            </w:r>
          </w:p>
          <w:p w14:paraId="3DCDEC5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：0～100.00 mg/L</w:t>
            </w:r>
          </w:p>
          <w:p w14:paraId="03C815D5">
            <w:pPr>
              <w:spacing w:line="24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：读数的±10%或±1 mg/L 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0C62609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eastAsiaTheme="minorEastAsia"/>
              </w:rPr>
              <w:drawing>
                <wp:inline distT="0" distB="0" distL="114300" distR="114300">
                  <wp:extent cx="392430" cy="1581785"/>
                  <wp:effectExtent l="0" t="161925" r="0" b="268605"/>
                  <wp:docPr id="7" name="图片 7" descr="E:/新建文件夹 (9)/mmexport1716363568522.pngmmexport171636356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新建文件夹 (9)/mmexport1716363568522.pngmmexport17163635685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3411" r="33411"/>
                          <a:stretch>
                            <a:fillRect/>
                          </a:stretch>
                        </pic:blipFill>
                        <pic:spPr>
                          <a:xfrm rot="3480000">
                            <a:off x="0" y="0"/>
                            <a:ext cx="39243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45FE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927" w:type="pct"/>
            <w:shd w:val="clear" w:color="auto" w:fill="auto"/>
            <w:vAlign w:val="center"/>
          </w:tcPr>
          <w:p w14:paraId="60F67C6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在线COD分析仪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B0F101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：重铬酸盐法</w:t>
            </w:r>
          </w:p>
          <w:p w14:paraId="3BE96E0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：0.0～2000.00mg/L</w:t>
            </w:r>
          </w:p>
          <w:p w14:paraId="052E6EB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 水样浓度≥50mg/L，10%；水样浓度＜50mg/L，5mg/L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1592A9B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4498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8" w:hRule="atLeast"/>
        </w:trPr>
        <w:tc>
          <w:tcPr>
            <w:tcW w:w="927" w:type="pct"/>
            <w:shd w:val="clear" w:color="auto" w:fill="auto"/>
            <w:vAlign w:val="center"/>
          </w:tcPr>
          <w:p w14:paraId="123A7FC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在线氨氮分析仪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94460D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：水杨酸分光光度法</w:t>
            </w:r>
          </w:p>
          <w:p w14:paraId="7F43DB6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：0～150.00mg/L</w:t>
            </w:r>
          </w:p>
          <w:p w14:paraId="6944698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 浓度＜2mg/L，±0.2mg/L；浓度≥2mg/L，≤10%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090ACDF">
            <w:pPr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6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9A21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927" w:type="pct"/>
            <w:shd w:val="clear" w:color="auto" w:fill="auto"/>
            <w:vAlign w:val="center"/>
          </w:tcPr>
          <w:p w14:paraId="678E631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在线总磷分析仪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C7C5AD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：钼酸铵分光光度法</w:t>
            </w:r>
          </w:p>
          <w:p w14:paraId="29B6FDF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：.0～10.0/20.0mg/L</w:t>
            </w:r>
          </w:p>
          <w:p w14:paraId="6C39EE9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5829BA8">
            <w:pPr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7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32D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927" w:type="pct"/>
            <w:shd w:val="clear" w:color="auto" w:fill="auto"/>
            <w:vAlign w:val="center"/>
          </w:tcPr>
          <w:p w14:paraId="79F578B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在线总氮分析仪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925691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：过硫酸钾消解-紫外分光光度法</w:t>
            </w:r>
          </w:p>
          <w:p w14:paraId="0B3D520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：0.0～50.0/200.0mg/L</w:t>
            </w:r>
          </w:p>
          <w:p w14:paraId="4A8092A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186449E">
            <w:pPr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7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C9F2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27" w:type="pct"/>
            <w:shd w:val="clear" w:color="auto" w:fill="auto"/>
            <w:vAlign w:val="center"/>
          </w:tcPr>
          <w:p w14:paraId="27824F65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val="en-US" w:eastAsia="zh-CN" w:bidi="ar"/>
              </w:rPr>
              <w:t>数采仪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E6D851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动态管控：实时获取前端在线监测设备运行状态、工作参数、监测数据；</w:t>
            </w:r>
          </w:p>
          <w:p w14:paraId="0C772B0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远程升级：联网状态下可远程升级，调试维护更简单；</w:t>
            </w:r>
          </w:p>
          <w:p w14:paraId="184C397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远程调试：远程分析问题，进行调试；</w:t>
            </w:r>
          </w:p>
          <w:p w14:paraId="7F5FB1A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超标监控：污染物超标触发留样、报警、阀门控制；</w:t>
            </w:r>
          </w:p>
          <w:p w14:paraId="4F99C1C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巡检记录：运维巡检一键提交巡检日志，高效快捷；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92D9497">
            <w:pPr>
              <w:spacing w:line="240" w:lineRule="auto"/>
              <w:ind w:firstLine="0" w:firstLineChars="0"/>
              <w:jc w:val="center"/>
            </w:pPr>
            <w:r>
              <w:drawing>
                <wp:inline distT="0" distB="0" distL="114300" distR="114300">
                  <wp:extent cx="1019175" cy="1325245"/>
                  <wp:effectExtent l="0" t="0" r="1905" b="63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4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F03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27" w:type="pct"/>
            <w:shd w:val="clear" w:color="auto" w:fill="auto"/>
            <w:vAlign w:val="center"/>
          </w:tcPr>
          <w:p w14:paraId="398ECDA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  <w:t>超声波明渠流量计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67578D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瞬时流量范围：0~93m³/s(与确定量程配用堰槽规格有关)</w:t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ab/>
            </w:r>
          </w:p>
          <w:p w14:paraId="53AA51E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累计流量范围：9999999m³ (km³)</w:t>
            </w:r>
          </w:p>
          <w:p w14:paraId="481618A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流量精度：±5%（扩散段无阻碍流精度优于1%）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2BC04C0">
            <w:pPr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285240" cy="811530"/>
                  <wp:effectExtent l="0" t="0" r="10160" b="1143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F1EC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rHeight w:val="1392" w:hRule="atLeast"/>
        </w:trPr>
        <w:tc>
          <w:tcPr>
            <w:tcW w:w="927" w:type="pct"/>
            <w:shd w:val="clear" w:color="auto" w:fill="auto"/>
            <w:vAlign w:val="center"/>
          </w:tcPr>
          <w:p w14:paraId="4CEFC463">
            <w:pPr>
              <w:spacing w:line="240" w:lineRule="auto"/>
              <w:ind w:firstLine="0" w:firstLineChars="0"/>
              <w:jc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sz w:val="21"/>
                <w:szCs w:val="21"/>
              </w:rPr>
              <w:t>便携式多参数分析仪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5AA05D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536C0EC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工作波长范围：420nm 520nm，580nm，610nm；波长半宽度：5±2（nm）；</w:t>
            </w:r>
          </w:p>
          <w:p w14:paraId="4093EF3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仪器的检测范围：吸光度值0.000-3.000；</w:t>
            </w:r>
          </w:p>
          <w:p w14:paraId="465F3D4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光源灯：冷光源；</w:t>
            </w:r>
          </w:p>
          <w:p w14:paraId="2C27821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分辨率：0.001；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832DE24">
            <w:pPr>
              <w:autoSpaceDE w:val="0"/>
              <w:spacing w:beforeAutospacing="1" w:afterAutospacing="1"/>
              <w:ind w:firstLine="0" w:firstLineChars="0"/>
              <w:jc w:val="center"/>
            </w:pPr>
            <w:r>
              <w:rPr>
                <w:rFonts w:hint="eastAsia"/>
                <w:sz w:val="28"/>
                <w:szCs w:val="28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1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AAD5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27" w:type="pct"/>
            <w:shd w:val="clear" w:color="auto" w:fill="auto"/>
            <w:vAlign w:val="center"/>
          </w:tcPr>
          <w:p w14:paraId="6A13CCCB">
            <w:pPr>
              <w:spacing w:line="240" w:lineRule="auto"/>
              <w:ind w:firstLine="0" w:firstLineChars="0"/>
              <w:jc w:val="center"/>
              <w:rPr>
                <w:rFonts w:hint="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手持</w:t>
            </w:r>
            <w:r>
              <w:rPr>
                <w:rFonts w:hint="eastAsia"/>
                <w:sz w:val="21"/>
                <w:szCs w:val="21"/>
              </w:rPr>
              <w:t>式多参数检测仪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0EF1CE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显示：3.3 英寸单色液晶显示屏</w:t>
            </w:r>
          </w:p>
          <w:p w14:paraId="08FB327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外形尺寸：200mm*101mm*36mm</w:t>
            </w:r>
          </w:p>
          <w:p w14:paraId="3186758C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防护等级：IP67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0188184">
            <w:pPr>
              <w:autoSpaceDE w:val="0"/>
              <w:spacing w:beforeAutospacing="1" w:afterAutospacing="1"/>
              <w:ind w:firstLine="0" w:firstLineChars="0"/>
              <w:jc w:val="center"/>
            </w:pPr>
            <w:r>
              <w:rPr>
                <w:rFonts w:hint="eastAsia"/>
                <w:sz w:val="28"/>
                <w:szCs w:val="28"/>
                <w:lang w:bidi="ar"/>
              </w:rPr>
              <w:drawing>
                <wp:inline distT="0" distB="0" distL="114300" distR="114300">
                  <wp:extent cx="733425" cy="1333500"/>
                  <wp:effectExtent l="0" t="0" r="13335" b="7620"/>
                  <wp:docPr id="20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203CA">
      <w:pPr>
        <w:ind w:firstLine="0" w:firstLineChars="0"/>
        <w:rPr>
          <w:rFonts w:hint="eastAsia"/>
        </w:rPr>
      </w:pPr>
    </w:p>
    <w:p w14:paraId="6E4DF648">
      <w:pPr>
        <w:pStyle w:val="3"/>
        <w:rPr>
          <w:rFonts w:hint="eastAsia"/>
        </w:rPr>
      </w:pPr>
      <w:bookmarkStart w:id="15" w:name="_Toc25640"/>
      <w:bookmarkStart w:id="16" w:name="_Toc15098"/>
      <w:r>
        <w:rPr>
          <w:rFonts w:hint="eastAsia"/>
        </w:rPr>
        <w:t>场景适应性</w:t>
      </w:r>
      <w:bookmarkEnd w:id="15"/>
      <w:bookmarkEnd w:id="16"/>
    </w:p>
    <w:p w14:paraId="3FEE1B2C">
      <w:pPr>
        <w:ind w:firstLine="480"/>
        <w:rPr>
          <w:rFonts w:hint="eastAsia"/>
        </w:rPr>
      </w:pPr>
      <w:r>
        <w:rPr>
          <w:rFonts w:hint="eastAsia"/>
        </w:rPr>
        <w:t>城镇污水处理厂排口水质监测工作面临着监测参数繁多、需实时掌握水质动态、遵循严格标准法规等复杂挑战，本方案所选用的设备能很好地适应场景需求。</w:t>
      </w:r>
    </w:p>
    <w:p w14:paraId="2C9539EE">
      <w:pPr>
        <w:ind w:firstLine="480"/>
        <w:rPr>
          <w:rFonts w:hint="eastAsia"/>
        </w:rPr>
      </w:pPr>
      <w:r>
        <w:rPr>
          <w:rFonts w:hint="eastAsia"/>
        </w:rPr>
        <w:t>1. 多参数全面监测：在线全光谱多参数传感器可同时监测COD、色度、TOC、浊度、BOD等多种指标，结合在线pH传感器、在线氨氮传感器等设备，能全面涵盖城镇污水处理厂排口常规指标、特殊污染物和新兴污染物的监测需求。无论是衡量污水处理效果的核心参数，还是工业废水混入带来的重金属、石油类污染物，以及部分先进处理厂关注的药物残留等新兴污染物，都能精准监测，为全面评估水质状况提供数据支持。</w:t>
      </w:r>
    </w:p>
    <w:p w14:paraId="73DC3C38">
      <w:pPr>
        <w:ind w:firstLine="480"/>
        <w:rPr>
          <w:rFonts w:hint="eastAsia"/>
        </w:rPr>
      </w:pPr>
      <w:r>
        <w:rPr>
          <w:rFonts w:hint="eastAsia"/>
        </w:rPr>
        <w:t>2. 实时连续监测：多数污水处理厂配备24小时在线监测设备，如在线COD传感器、在线氨氮分析仪等，结合在线全光谱多参数传感器，关键参数每分钟或每小时采集一次，形成连续数据流。这些设备能实时传输数据至环保监管平台，确保及时捕捉水质异常变化，避免传统人工采样的时间盲区，满足实时性与连续性监测要求，以便及时发现问题并采取措施。</w:t>
      </w:r>
    </w:p>
    <w:p w14:paraId="62FF2B99">
      <w:pPr>
        <w:ind w:firstLine="480"/>
        <w:rPr>
          <w:rFonts w:hint="eastAsia"/>
        </w:rPr>
      </w:pPr>
      <w:r>
        <w:rPr>
          <w:rFonts w:hint="eastAsia"/>
        </w:rPr>
        <w:t>3. 满足严格标准法规：城镇污水处理厂排口需符合《城镇污水处理厂污染物排放标准》及地方标准，部分地区还有季节性差异化标准。本方案的监测设备精度高，如在线COD传感器精度为读数的±5% ，在线氨氮传感器精度为读数的±10%或±1 mg/L（以大者为准），在线全光谱多参数传感器精度达±5%F.S.，能准确测量污染物浓度，为判断污水是否达标排放提供可靠依据。同时，设备数据可作为执法依据，助力监管部门对超标排放行为进行有效监管。</w:t>
      </w:r>
    </w:p>
    <w:p w14:paraId="72388524">
      <w:pPr>
        <w:ind w:firstLine="480"/>
        <w:rPr>
          <w:rFonts w:hint="eastAsia"/>
        </w:rPr>
      </w:pPr>
      <w:r>
        <w:rPr>
          <w:rFonts w:hint="eastAsia"/>
        </w:rPr>
        <w:t>4.适应复杂排口环境：排口环境复杂，存在水流波动、杂质干扰等问题。超声波明渠流量计具备自动清洗、校准和故障诊断功能，可在复杂水流条件下准确测量流量；在线全光谱多参数传感器采用全光谱吸收法，能有效减少杂质干扰，且具备完善的维护和防护措施，可保障设备稳定运行，确保监测数据的准确性。</w:t>
      </w:r>
    </w:p>
    <w:p w14:paraId="7D5899E1">
      <w:pPr>
        <w:ind w:firstLine="480"/>
        <w:rPr>
          <w:rFonts w:hint="eastAsia"/>
        </w:rPr>
      </w:pPr>
      <w:r>
        <w:rPr>
          <w:rFonts w:hint="eastAsia"/>
        </w:rPr>
        <w:t xml:space="preserve">5. 数据管理与透明度需求：监测数据需同步至企业、环保部门及公众平台，接受多方监督，并长期存储支持历史回溯和合规审计。本方案的设备可与物联网、大数据技术结合，实现数据的高效采集、传输和存储，满足多级监管和数据可追溯性要求。部分城市要求实时公开排口数据，相关设备能及时准确地提供数据，增强公众参与感。 </w:t>
      </w:r>
    </w:p>
    <w:p w14:paraId="4B144AD8">
      <w:pPr>
        <w:ind w:firstLine="480"/>
        <w:rPr>
          <w:rFonts w:hint="eastAsia"/>
          <w:color w:val="FF0000"/>
        </w:rPr>
      </w:pPr>
    </w:p>
    <w:p w14:paraId="64880EEB">
      <w:pPr>
        <w:pStyle w:val="2"/>
        <w:rPr>
          <w:rFonts w:hint="eastAsia"/>
        </w:rPr>
      </w:pPr>
      <w:bookmarkStart w:id="17" w:name="_Toc10252"/>
      <w:bookmarkStart w:id="18" w:name="_Toc27010"/>
      <w:r>
        <w:rPr>
          <w:rFonts w:hint="eastAsia"/>
        </w:rPr>
        <w:t>设备寿命及维护</w:t>
      </w:r>
      <w:bookmarkEnd w:id="17"/>
      <w:bookmarkEnd w:id="18"/>
    </w:p>
    <w:p w14:paraId="52B12E07">
      <w:pPr>
        <w:pStyle w:val="3"/>
        <w:rPr>
          <w:rFonts w:hint="eastAsia"/>
        </w:rPr>
      </w:pPr>
      <w:bookmarkStart w:id="19" w:name="_Toc7223"/>
      <w:r>
        <w:rPr>
          <w:rFonts w:hint="eastAsia"/>
        </w:rPr>
        <w:t>设备寿命周期与维护周期表</w:t>
      </w:r>
      <w:bookmarkEnd w:id="19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56A89A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23FA885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0F30D85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5FE7B21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使用寿命</w:t>
            </w:r>
          </w:p>
        </w:tc>
      </w:tr>
      <w:tr w14:paraId="3D55AC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1D36B27C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66A0A9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D2486D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1年</w:t>
            </w:r>
          </w:p>
        </w:tc>
      </w:tr>
      <w:tr w14:paraId="4DDB88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ADA394F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在线COD传感器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0D5458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0D9C80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2-3年</w:t>
            </w:r>
          </w:p>
        </w:tc>
      </w:tr>
      <w:tr w14:paraId="347349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391D1F9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259E65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3DD6E2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半年</w:t>
            </w:r>
          </w:p>
        </w:tc>
      </w:tr>
      <w:tr w14:paraId="10D678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31A1A99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</w:rPr>
              <w:t>在线COD分析仪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1F2C48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96ACA0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3-5年</w:t>
            </w:r>
          </w:p>
        </w:tc>
      </w:tr>
      <w:tr w14:paraId="5526995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EE5BBFA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在线氨氮分析仪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E69155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063F12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3-5年</w:t>
            </w:r>
          </w:p>
        </w:tc>
      </w:tr>
      <w:tr w14:paraId="41D4787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44D57F57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在线总磷分析仪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D82F33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3B8565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3-5年</w:t>
            </w:r>
          </w:p>
        </w:tc>
      </w:tr>
      <w:tr w14:paraId="544061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F1EE7B8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在线总氮分析仪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FAC39F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D37799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3-5年</w:t>
            </w:r>
          </w:p>
        </w:tc>
      </w:tr>
      <w:tr w14:paraId="7DA2CB0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44F0498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1"/>
                <w:szCs w:val="21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141501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1A9E42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2-3年</w:t>
            </w:r>
          </w:p>
        </w:tc>
      </w:tr>
      <w:tr w14:paraId="4E1BC11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69533549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便携式多参数分析仪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83033D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C40D44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2-3年</w:t>
            </w:r>
          </w:p>
        </w:tc>
      </w:tr>
      <w:tr w14:paraId="085037A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9CA81E5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超声波明渠流量计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8E5E41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66B2AA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bidi="ar"/>
              </w:rPr>
              <w:t>2-3年</w:t>
            </w:r>
          </w:p>
        </w:tc>
      </w:tr>
    </w:tbl>
    <w:p w14:paraId="08734282">
      <w:pPr>
        <w:pStyle w:val="3"/>
        <w:rPr>
          <w:rFonts w:hint="eastAsia"/>
        </w:rPr>
      </w:pPr>
      <w:bookmarkStart w:id="20" w:name="_Toc7903"/>
      <w:r>
        <w:rPr>
          <w:rFonts w:hint="eastAsia"/>
        </w:rPr>
        <w:t>传感器日常维护</w:t>
      </w:r>
      <w:bookmarkEnd w:id="20"/>
    </w:p>
    <w:p w14:paraId="48CB23FB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在线PH传感器</w:t>
      </w:r>
    </w:p>
    <w:p w14:paraId="34303B36">
      <w:pPr>
        <w:ind w:firstLine="480"/>
        <w:rPr>
          <w:rFonts w:hint="eastAsia"/>
        </w:rPr>
      </w:pPr>
      <w:r>
        <w:rPr>
          <w:rFonts w:hint="eastAsia"/>
        </w:rPr>
        <w:t>（1）测量前用蒸馏水洗净并擦干传感器，插入被测液1/3深度，防杂质污染。</w:t>
      </w:r>
    </w:p>
    <w:p w14:paraId="395C5717">
      <w:pPr>
        <w:ind w:firstLine="480"/>
        <w:rPr>
          <w:rFonts w:hint="eastAsia"/>
        </w:rPr>
      </w:pPr>
      <w:r>
        <w:rPr>
          <w:rFonts w:hint="eastAsia"/>
        </w:rPr>
        <w:t>（2）闲置保养，洗净后浸泡于3mol/L氯化钾溶液中（保护套或容器），维持电极性能。</w:t>
      </w:r>
    </w:p>
    <w:p w14:paraId="2685EA58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在线COD传感器</w:t>
      </w:r>
    </w:p>
    <w:p w14:paraId="7A7BF567">
      <w:pPr>
        <w:ind w:firstLine="480"/>
        <w:rPr>
          <w:rFonts w:hint="eastAsia"/>
        </w:rPr>
      </w:pPr>
      <w:r>
        <w:rPr>
          <w:rFonts w:hint="eastAsia"/>
        </w:rPr>
        <w:t>（1）测量时保证待测溶液完全没过 COD 的上、下石英片。</w:t>
      </w:r>
    </w:p>
    <w:p w14:paraId="00825C8B">
      <w:pPr>
        <w:ind w:firstLine="480"/>
        <w:rPr>
          <w:rFonts w:hint="eastAsia"/>
        </w:rPr>
      </w:pPr>
      <w:r>
        <w:rPr>
          <w:rFonts w:hint="eastAsia"/>
        </w:rPr>
        <w:t>（2）测量时确保 COD 的石英片干净，无异物、无气泡。</w:t>
      </w:r>
    </w:p>
    <w:p w14:paraId="2424F82B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在线氨氮传感器</w:t>
      </w:r>
    </w:p>
    <w:p w14:paraId="395161E3">
      <w:pPr>
        <w:ind w:firstLine="480"/>
        <w:rPr>
          <w:rFonts w:hint="eastAsia"/>
        </w:rPr>
      </w:pPr>
      <w:r>
        <w:rPr>
          <w:rFonts w:hint="eastAsia"/>
        </w:rPr>
        <w:t>（1）摘掉电极保护套，在清水中浸泡2小时活化，去离子水洗净后测试，初次用需在清水中泡30分钟以上、12小时以内。</w:t>
      </w:r>
    </w:p>
    <w:p w14:paraId="022525C3">
      <w:pPr>
        <w:ind w:firstLine="480"/>
        <w:rPr>
          <w:rFonts w:hint="eastAsia"/>
        </w:rPr>
      </w:pPr>
      <w:r>
        <w:rPr>
          <w:rFonts w:hint="eastAsia"/>
        </w:rPr>
        <w:t>（2）长期（超两周）不用干燥储存，套上保护帽；短期不用放清水中浸泡；几天不用用含保护液外壳保存，下次用前清水泡30分钟以上。</w:t>
      </w:r>
    </w:p>
    <w:p w14:paraId="66264F01">
      <w:pPr>
        <w:ind w:firstLine="480"/>
        <w:rPr>
          <w:rFonts w:hint="eastAsia"/>
        </w:rPr>
      </w:pPr>
      <w:r>
        <w:rPr>
          <w:rFonts w:hint="eastAsia"/>
        </w:rPr>
        <w:t>（3）检查接线端子干燥情况，沾污时用无水酒精擦拭吹干。</w:t>
      </w:r>
    </w:p>
    <w:p w14:paraId="66B1B6CD">
      <w:pPr>
        <w:ind w:firstLine="480"/>
        <w:rPr>
          <w:rFonts w:hint="eastAsia"/>
        </w:rPr>
      </w:pPr>
      <w:r>
        <w:rPr>
          <w:rFonts w:hint="eastAsia"/>
        </w:rPr>
        <w:t>（4）PVC膜半透明或有沉积物，用蒸馏水（或去离子水）冲洗。</w:t>
      </w:r>
    </w:p>
    <w:p w14:paraId="4ABEB45C">
      <w:pPr>
        <w:ind w:firstLine="480"/>
        <w:rPr>
          <w:rFonts w:hint="eastAsia"/>
        </w:rPr>
      </w:pPr>
      <w:r>
        <w:rPr>
          <w:rFonts w:hint="eastAsia"/>
        </w:rPr>
        <w:t>（5）电极使用久出现测量误差，须进行校正。</w:t>
      </w:r>
    </w:p>
    <w:p w14:paraId="1119F7C1">
      <w:pPr>
        <w:ind w:firstLine="480"/>
        <w:rPr>
          <w:rFonts w:hint="eastAsia"/>
        </w:rPr>
      </w:pPr>
      <w:r>
        <w:rPr>
          <w:rFonts w:hint="eastAsia"/>
        </w:rPr>
        <w:t>（6）校准时放校准液中轻晃、静置，待读数稳定（约5分钟）再校准。</w:t>
      </w:r>
    </w:p>
    <w:p w14:paraId="2C4261C9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在线COD/氨氮/总磷/总氮分析仪</w:t>
      </w:r>
    </w:p>
    <w:p w14:paraId="09AE181E">
      <w:pPr>
        <w:ind w:firstLine="480"/>
        <w:rPr>
          <w:rFonts w:hint="eastAsia"/>
        </w:rPr>
      </w:pPr>
      <w:r>
        <w:rPr>
          <w:rFonts w:hint="eastAsia"/>
        </w:rPr>
        <w:t>（1）定期用温和的清洁剂清洗仪器外部，去除灰尘和污渍。</w:t>
      </w:r>
    </w:p>
    <w:p w14:paraId="76DFDDEF">
      <w:pPr>
        <w:ind w:firstLine="480"/>
        <w:rPr>
          <w:rFonts w:hint="eastAsia"/>
        </w:rPr>
      </w:pPr>
      <w:r>
        <w:rPr>
          <w:rFonts w:hint="eastAsia"/>
        </w:rPr>
        <w:t>（2）检查试剂余量，及时添加或更换。注意试剂保质期，避免使用过期试剂。定期更换试剂管路，防止堵塞和交叉污染，更换频率根据使用情况确定。</w:t>
      </w:r>
    </w:p>
    <w:p w14:paraId="05520C05">
      <w:pPr>
        <w:ind w:firstLine="480"/>
        <w:rPr>
          <w:rFonts w:hint="eastAsia"/>
        </w:rPr>
      </w:pPr>
      <w:r>
        <w:rPr>
          <w:rFonts w:hint="eastAsia"/>
        </w:rPr>
        <w:t>（3）按照仪器使用手册规定的时间进行校准，包括零点校准和量程校准，使用标准溶液进行操作，确保测量结果的准确性。</w:t>
      </w:r>
    </w:p>
    <w:p w14:paraId="37A3C866">
      <w:pPr>
        <w:ind w:firstLine="480"/>
        <w:rPr>
          <w:rFonts w:hint="eastAsia"/>
        </w:rPr>
      </w:pPr>
      <w:r>
        <w:rPr>
          <w:rFonts w:hint="eastAsia"/>
        </w:rPr>
        <w:t>（4）检查采样泵、蠕动泵等部件的工作状态，查看是否有泄漏、异常噪音或磨损。检查仪器的连接部件是否松动，及时紧固，保证仪器稳定运行。</w:t>
      </w:r>
    </w:p>
    <w:p w14:paraId="214BCDD1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在线全光谱多参数传感器</w:t>
      </w:r>
    </w:p>
    <w:p w14:paraId="74239FD1">
      <w:pPr>
        <w:ind w:firstLine="480"/>
        <w:rPr>
          <w:rFonts w:hint="eastAsia"/>
        </w:rPr>
      </w:pPr>
      <w:r>
        <w:rPr>
          <w:rFonts w:hint="eastAsia"/>
        </w:rPr>
        <w:t>（1）定期用自来水清洗外表面，若有碎屑残留，用湿润软布擦拭；顽固污垢可加家用洗涤液清洗。</w:t>
      </w:r>
    </w:p>
    <w:p w14:paraId="15B70D6A">
      <w:pPr>
        <w:ind w:firstLine="480"/>
        <w:rPr>
          <w:rFonts w:hint="eastAsia"/>
        </w:rPr>
      </w:pPr>
      <w:r>
        <w:rPr>
          <w:rFonts w:hint="eastAsia"/>
        </w:rPr>
        <w:t>（2）查看线缆是否绷紧、测量窗口有无脏污、清洁刷是否正常及有无损坏。</w:t>
      </w:r>
    </w:p>
    <w:p w14:paraId="2A8A51FB">
      <w:pPr>
        <w:ind w:firstLine="480"/>
        <w:rPr>
          <w:rFonts w:hint="eastAsia"/>
        </w:rPr>
      </w:pPr>
      <w:r>
        <w:rPr>
          <w:rFonts w:hint="eastAsia"/>
        </w:rPr>
        <w:t>（3）校准传感器，在使用前将传感器置入去离子水，保证光路浸没且无气泡，发送光谱校准指令完成校准。</w:t>
      </w:r>
    </w:p>
    <w:p w14:paraId="1777E60C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便携式多参数分析仪</w:t>
      </w:r>
    </w:p>
    <w:p w14:paraId="6DC1285B">
      <w:pPr>
        <w:ind w:firstLine="480"/>
        <w:rPr>
          <w:rFonts w:hint="eastAsia"/>
        </w:rPr>
      </w:pPr>
      <w:r>
        <w:rPr>
          <w:rFonts w:hint="eastAsia"/>
        </w:rPr>
        <w:t>（1）平常不用时拔掉电源插头。若有反应液体溅到载物台或仪器外壁，及时用湿抹布擦去，必要时消毒。每次使用完毕用湿抹布擦拭保持洁净。</w:t>
      </w:r>
    </w:p>
    <w:p w14:paraId="26362EA2">
      <w:pPr>
        <w:ind w:firstLine="480"/>
        <w:rPr>
          <w:rFonts w:hint="eastAsia"/>
        </w:rPr>
      </w:pPr>
      <w:r>
        <w:rPr>
          <w:rFonts w:hint="eastAsia"/>
        </w:rPr>
        <w:t>（2）仪器有开机自检功能，出现故障时，依据故障提示或常见故障排查方法处理。如水质检测仪不能启动，检查电源；自检不正常，查看光源灯、重新设置波长值或更换滤光片；检测结果不正确，根据具体原因更换光源灯、滤光片、试剂，排除干扰源，重新校准标定或处理样本；</w:t>
      </w:r>
    </w:p>
    <w:p w14:paraId="07A7D532">
      <w:pPr>
        <w:ind w:firstLine="480"/>
        <w:rPr>
          <w:rFonts w:hint="eastAsia"/>
        </w:rPr>
      </w:pPr>
      <w:r>
        <w:rPr>
          <w:rFonts w:hint="eastAsia"/>
        </w:rPr>
        <w:t>（3）本仪器属于计量类仪器，出现检测结果超出规定范围、实验条件改变、用标准溶液检验出现误差等情形时，需使用标准溶液重新进行校准和标定，标液可选用国家标物中心发行的质控品、从厂家购买或用户自行配置（配置应严格按照对应检测项目最新版本的环境标准），以保证测定结果的准确性。</w:t>
      </w:r>
    </w:p>
    <w:p w14:paraId="4CAA988F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超声波明渠流量计</w:t>
      </w:r>
    </w:p>
    <w:p w14:paraId="47AB8508">
      <w:pPr>
        <w:ind w:firstLine="480"/>
        <w:rPr>
          <w:rFonts w:hint="eastAsia"/>
        </w:rPr>
      </w:pPr>
      <w:r>
        <w:rPr>
          <w:rFonts w:hint="eastAsia"/>
        </w:rPr>
        <w:t>（1）定期用软布或清水冲洗传感器表面，去除污垢、杂物，避免影响声波传输，注意不可使用尖锐工具刮擦。</w:t>
      </w:r>
    </w:p>
    <w:p w14:paraId="1A1B7101">
      <w:pPr>
        <w:ind w:firstLine="480"/>
        <w:rPr>
          <w:rFonts w:hint="eastAsia"/>
        </w:rPr>
      </w:pPr>
      <w:r>
        <w:rPr>
          <w:rFonts w:hint="eastAsia"/>
        </w:rPr>
        <w:t>（2）查看传感器安装位置是否松动、偏移，确保其与明渠贴合良好，安装角度正确，保证测量精度。</w:t>
      </w:r>
    </w:p>
    <w:p w14:paraId="29CAF8D3">
      <w:pPr>
        <w:ind w:firstLine="480"/>
        <w:rPr>
          <w:rFonts w:hint="eastAsia"/>
        </w:rPr>
      </w:pPr>
      <w:r>
        <w:rPr>
          <w:rFonts w:hint="eastAsia"/>
        </w:rPr>
        <w:t>（3）检查连接线缆有无破损、老化，接线端是否松动，发现问题及时修复或更换，确保信号传输稳定。</w:t>
      </w:r>
    </w:p>
    <w:p w14:paraId="6AB878BD">
      <w:pPr>
        <w:ind w:firstLine="480"/>
        <w:rPr>
          <w:rFonts w:hint="eastAsia"/>
        </w:rPr>
      </w:pPr>
      <w:r>
        <w:rPr>
          <w:rFonts w:hint="eastAsia"/>
        </w:rPr>
        <w:t>（4）定期查看测量数据，分析变化趋势，若数据异常波动，排查设备故障或明渠水流变化等原因。</w:t>
      </w:r>
    </w:p>
    <w:p w14:paraId="41FCCC71">
      <w:pPr>
        <w:pStyle w:val="3"/>
        <w:rPr>
          <w:rFonts w:hint="eastAsia"/>
        </w:rPr>
      </w:pPr>
      <w:bookmarkStart w:id="21" w:name="_Toc9648"/>
      <w:bookmarkStart w:id="22" w:name="_Toc27951"/>
      <w:bookmarkStart w:id="23" w:name="_Toc23903"/>
      <w:r>
        <w:rPr>
          <w:rFonts w:hint="eastAsia"/>
        </w:rPr>
        <w:t>设备维护注意事项</w:t>
      </w:r>
      <w:bookmarkEnd w:id="21"/>
      <w:bookmarkEnd w:id="22"/>
      <w:bookmarkEnd w:id="23"/>
    </w:p>
    <w:p w14:paraId="1A3BE677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在线PH传感器</w:t>
      </w:r>
    </w:p>
    <w:p w14:paraId="07052DCA">
      <w:pPr>
        <w:ind w:firstLine="480"/>
        <w:rPr>
          <w:rFonts w:hint="eastAsia"/>
        </w:rPr>
      </w:pPr>
      <w:r>
        <w:rPr>
          <w:rFonts w:hint="eastAsia"/>
        </w:rPr>
        <w:t>（1）用无水酒精擦拭接线端子上的沾污，确保干燥后使用。</w:t>
      </w:r>
    </w:p>
    <w:p w14:paraId="6CBA4797">
      <w:pPr>
        <w:ind w:firstLine="480"/>
        <w:rPr>
          <w:rFonts w:hint="eastAsia"/>
        </w:rPr>
      </w:pPr>
      <w:r>
        <w:rPr>
          <w:rFonts w:hint="eastAsia"/>
        </w:rPr>
        <w:t>（2）勿长期浸泡蒸馏水/蛋白质溶液，远离有机硅油脂。</w:t>
      </w:r>
    </w:p>
    <w:p w14:paraId="41596850">
      <w:pPr>
        <w:ind w:firstLine="480"/>
        <w:rPr>
          <w:rFonts w:hint="eastAsia"/>
        </w:rPr>
      </w:pPr>
      <w:r>
        <w:rPr>
          <w:rFonts w:hint="eastAsia"/>
        </w:rPr>
        <w:t>（3）玻璃膜老化/沉积时，用稀盐酸清洗后水洗，必要时重新标定。</w:t>
      </w:r>
    </w:p>
    <w:p w14:paraId="1E0393AA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在线COD传感器</w:t>
      </w:r>
    </w:p>
    <w:p w14:paraId="0A44A8FE">
      <w:pPr>
        <w:ind w:firstLine="480"/>
        <w:rPr>
          <w:rFonts w:hint="eastAsia"/>
        </w:rPr>
      </w:pPr>
      <w:r>
        <w:rPr>
          <w:rFonts w:hint="eastAsia"/>
        </w:rPr>
        <w:t>（1）水流较急时固定传感器，防止损坏。</w:t>
      </w:r>
    </w:p>
    <w:p w14:paraId="0713CFA6">
      <w:pPr>
        <w:ind w:firstLine="480"/>
        <w:rPr>
          <w:rFonts w:hint="eastAsia"/>
        </w:rPr>
      </w:pPr>
      <w:r>
        <w:rPr>
          <w:rFonts w:hint="eastAsia"/>
        </w:rPr>
        <w:t>（2） 禁止用传感器电缆吊装传感器，确保线缆接头紧固。</w:t>
      </w:r>
    </w:p>
    <w:p w14:paraId="1E11CFB3">
      <w:pPr>
        <w:ind w:firstLine="480"/>
        <w:rPr>
          <w:rFonts w:hint="eastAsia"/>
        </w:rPr>
      </w:pPr>
      <w:r>
        <w:rPr>
          <w:rFonts w:hint="eastAsia"/>
        </w:rPr>
        <w:t>（3） 探头含敏感光学和电子部件，避免受到剧烈机械撞击，且探头内部无需用户维护。</w:t>
      </w:r>
    </w:p>
    <w:p w14:paraId="2C59C8F1">
      <w:pPr>
        <w:ind w:firstLine="480"/>
        <w:rPr>
          <w:rFonts w:hint="eastAsia"/>
        </w:rPr>
      </w:pPr>
      <w:r>
        <w:rPr>
          <w:rFonts w:hint="eastAsia"/>
        </w:rPr>
        <w:t>（4）使用中避免对传感器直接施加机械应力。</w:t>
      </w:r>
    </w:p>
    <w:p w14:paraId="0B7E80E6">
      <w:pPr>
        <w:ind w:firstLine="480"/>
        <w:rPr>
          <w:rFonts w:hint="eastAsia"/>
        </w:rPr>
      </w:pPr>
      <w:r>
        <w:rPr>
          <w:rFonts w:hint="eastAsia"/>
        </w:rPr>
        <w:t xml:space="preserve">（5）传感器用 12VDC 电源供电时尾线线缆极限长度 150M，超长度需适当增加电压以保证正常工作 。 </w:t>
      </w:r>
    </w:p>
    <w:p w14:paraId="0F23A5A4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在线氨氮传感器</w:t>
      </w:r>
    </w:p>
    <w:p w14:paraId="65962CE3">
      <w:pPr>
        <w:ind w:firstLine="480"/>
        <w:rPr>
          <w:rFonts w:hint="eastAsia"/>
        </w:rPr>
      </w:pPr>
      <w:r>
        <w:rPr>
          <w:rFonts w:hint="eastAsia"/>
        </w:rPr>
        <w:t>（1）膜头用去离子水清洗，勿碰伤，测量时距底部至少2cm，敏感膜内无气泡，可轻敲除泡。</w:t>
      </w:r>
    </w:p>
    <w:p w14:paraId="4D44F607">
      <w:pPr>
        <w:ind w:firstLine="480"/>
        <w:rPr>
          <w:rFonts w:hint="eastAsia"/>
        </w:rPr>
      </w:pPr>
      <w:r>
        <w:rPr>
          <w:rFonts w:hint="eastAsia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699F4428">
      <w:pPr>
        <w:ind w:firstLine="480"/>
        <w:rPr>
          <w:rFonts w:hint="eastAsia"/>
        </w:rPr>
      </w:pPr>
      <w:r>
        <w:rPr>
          <w:rFonts w:hint="eastAsia"/>
        </w:rPr>
        <w:t>（3）检查通讯时，两电极须浸泡在溶液中。</w:t>
      </w:r>
    </w:p>
    <w:p w14:paraId="1E0695AA">
      <w:pPr>
        <w:ind w:firstLine="480"/>
        <w:rPr>
          <w:rFonts w:hint="eastAsia"/>
        </w:rPr>
      </w:pPr>
      <w:r>
        <w:rPr>
          <w:rFonts w:hint="eastAsia"/>
        </w:rPr>
        <w:t>（4）标液有使用次数限制，1mg/L的2次/瓶、10mg/L的4次/瓶、100mg/L的6次/瓶。</w:t>
      </w:r>
    </w:p>
    <w:p w14:paraId="7DA85A25">
      <w:pPr>
        <w:ind w:firstLine="480"/>
        <w:rPr>
          <w:rFonts w:hint="eastAsia"/>
        </w:rPr>
      </w:pPr>
      <w:r>
        <w:rPr>
          <w:rFonts w:hint="eastAsia"/>
        </w:rPr>
        <w:t xml:space="preserve">（5）注意保护参比电极外漏白色布条，勿揪出损坏。 </w:t>
      </w:r>
    </w:p>
    <w:p w14:paraId="3E9730E8">
      <w:pPr>
        <w:ind w:firstLine="480"/>
        <w:rPr>
          <w:rFonts w:hint="eastAsia"/>
        </w:rPr>
      </w:pPr>
      <w:r>
        <w:rPr>
          <w:rFonts w:hint="eastAsia"/>
        </w:rPr>
        <w:t>（6）防止电极长期浸泡在蒸馏水或蛋白质溶液中，避免与有机硅油脂接触。</w:t>
      </w:r>
    </w:p>
    <w:p w14:paraId="493C0AAC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在线COD/氨氮/总磷/总氮分析仪</w:t>
      </w:r>
    </w:p>
    <w:p w14:paraId="1F7252E3">
      <w:pPr>
        <w:ind w:firstLine="480"/>
        <w:rPr>
          <w:rFonts w:hint="eastAsia"/>
        </w:rPr>
      </w:pPr>
      <w:r>
        <w:rPr>
          <w:rFonts w:hint="eastAsia"/>
        </w:rPr>
        <w:t>（1）严格按照操作手册进行操作，避免误操作损坏仪器。维护过程中如需接触试剂，应佩戴防护手套和护目镜，防止试剂腐蚀。</w:t>
      </w:r>
    </w:p>
    <w:p w14:paraId="7FE27F3D">
      <w:pPr>
        <w:ind w:firstLine="480"/>
        <w:rPr>
          <w:rFonts w:hint="eastAsia"/>
        </w:rPr>
      </w:pPr>
      <w:r>
        <w:rPr>
          <w:rFonts w:hint="eastAsia"/>
        </w:rPr>
        <w:t>（2）仪器应安装在干燥、通风良好的环境中，避免阳光直射和高温高湿环境。远离强电磁场干扰源，防止影响测量精度。</w:t>
      </w:r>
    </w:p>
    <w:p w14:paraId="2F3850E1">
      <w:pPr>
        <w:ind w:firstLine="480"/>
        <w:rPr>
          <w:rFonts w:hint="eastAsia"/>
        </w:rPr>
      </w:pPr>
      <w:r>
        <w:rPr>
          <w:rFonts w:hint="eastAsia"/>
        </w:rPr>
        <w:t>（3）仪器出现故障时，不要擅自拆解维修，应联系专业维修人员。记录故障现象和发生时间，为维修提供参考。</w:t>
      </w:r>
    </w:p>
    <w:p w14:paraId="1E839C2F">
      <w:pPr>
        <w:ind w:firstLine="480"/>
        <w:rPr>
          <w:rFonts w:hint="eastAsia"/>
        </w:rPr>
      </w:pPr>
      <w:r>
        <w:rPr>
          <w:rFonts w:hint="eastAsia"/>
        </w:rPr>
        <w:t xml:space="preserve">（4）定期检查仪器的接地情况，确保使用安全。对废弃试剂进行妥善处理，按照环保要求进行回收或中和排放，避免污染环境。 </w:t>
      </w:r>
    </w:p>
    <w:p w14:paraId="3A0B85C0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在线全光谱多参数传感器</w:t>
      </w:r>
    </w:p>
    <w:p w14:paraId="6716E5F2">
      <w:pPr>
        <w:ind w:firstLine="480"/>
        <w:rPr>
          <w:rFonts w:hint="eastAsia"/>
        </w:rPr>
      </w:pPr>
      <w:r>
        <w:rPr>
          <w:rFonts w:hint="eastAsia"/>
        </w:rPr>
        <w:t>（1）防止传感器受到剧烈机械撞击，使用中避免对其直接施加机械应力（压力、划痕等）。</w:t>
      </w:r>
    </w:p>
    <w:p w14:paraId="748074E4">
      <w:pPr>
        <w:ind w:firstLine="480"/>
        <w:rPr>
          <w:rFonts w:hint="eastAsia"/>
        </w:rPr>
      </w:pPr>
      <w:r>
        <w:rPr>
          <w:rFonts w:hint="eastAsia"/>
        </w:rPr>
        <w:t>（2）避免传感器被阳光暴晒，不要用手触摸传感器。</w:t>
      </w:r>
    </w:p>
    <w:p w14:paraId="7F1131F4">
      <w:pPr>
        <w:ind w:firstLine="480"/>
        <w:rPr>
          <w:rFonts w:hint="eastAsia"/>
        </w:rPr>
      </w:pPr>
      <w:r>
        <w:rPr>
          <w:rFonts w:hint="eastAsia"/>
        </w:rPr>
        <w:t>（3）测量和校准时，确保传感器表面无气泡附着。</w:t>
      </w:r>
    </w:p>
    <w:p w14:paraId="51B669D5">
      <w:pPr>
        <w:ind w:firstLine="480"/>
        <w:rPr>
          <w:rFonts w:hint="eastAsia"/>
        </w:rPr>
      </w:pPr>
    </w:p>
    <w:p w14:paraId="5E06E486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便携式多参数分析仪</w:t>
      </w:r>
    </w:p>
    <w:p w14:paraId="4979C1D8">
      <w:pPr>
        <w:ind w:firstLine="480"/>
        <w:rPr>
          <w:rFonts w:hint="eastAsia"/>
        </w:rPr>
      </w:pPr>
      <w:r>
        <w:rPr>
          <w:rFonts w:hint="eastAsia"/>
        </w:rPr>
        <w:t>（1）仪器的维修需要专业人员操作，非专业人员请勿自行维修。维修或因其他原因拆卸外壳时必须切断电源。</w:t>
      </w:r>
    </w:p>
    <w:p w14:paraId="5F0E5B27">
      <w:pPr>
        <w:ind w:firstLine="480"/>
        <w:rPr>
          <w:rFonts w:hint="eastAsia"/>
        </w:rPr>
      </w:pPr>
      <w:r>
        <w:rPr>
          <w:rFonts w:hint="eastAsia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44CBBF49">
      <w:pPr>
        <w:ind w:firstLine="480"/>
        <w:rPr>
          <w:rFonts w:hint="eastAsia"/>
        </w:rPr>
      </w:pPr>
      <w:r>
        <w:rPr>
          <w:rFonts w:hint="eastAsia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57761E5F">
      <w:pPr>
        <w:ind w:firstLine="480"/>
        <w:rPr>
          <w:rFonts w:hint="eastAsia"/>
        </w:rPr>
      </w:pPr>
      <w:r>
        <w:rPr>
          <w:rFonts w:hint="eastAsia"/>
        </w:rPr>
        <w:t xml:space="preserve">（4）请勿让任何溶剂、油脂类、腐蚀性物质接触仪器。仪器使用期限为6年，效期结束后按规定处理或联系回收，避免污染环境。 </w:t>
      </w:r>
    </w:p>
    <w:p w14:paraId="69780DF5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超声波明渠流量计</w:t>
      </w:r>
    </w:p>
    <w:p w14:paraId="3DBC5BFA">
      <w:pPr>
        <w:ind w:firstLine="480"/>
        <w:rPr>
          <w:rFonts w:hint="eastAsia"/>
        </w:rPr>
      </w:pPr>
      <w:r>
        <w:rPr>
          <w:rFonts w:hint="eastAsia"/>
        </w:rPr>
        <w:t>（1）严格按操作手册操作，维护时先切断电源，防止触电。</w:t>
      </w:r>
    </w:p>
    <w:p w14:paraId="7E2155D7">
      <w:pPr>
        <w:ind w:firstLine="480"/>
        <w:rPr>
          <w:rFonts w:hint="eastAsia"/>
        </w:rPr>
      </w:pPr>
      <w:r>
        <w:rPr>
          <w:rFonts w:hint="eastAsia"/>
        </w:rPr>
        <w:t>（2）避免在强电磁干扰、高温、高湿环境下使用，防止设备受损或测量失准。</w:t>
      </w:r>
    </w:p>
    <w:p w14:paraId="5FE71902">
      <w:pPr>
        <w:ind w:firstLine="480"/>
        <w:rPr>
          <w:rFonts w:hint="eastAsia"/>
        </w:rPr>
      </w:pPr>
      <w:r>
        <w:rPr>
          <w:rFonts w:hint="eastAsia"/>
        </w:rPr>
        <w:t>（3）安装和使用中防止设备受剧烈震动，以免损坏内部部件。</w:t>
      </w:r>
    </w:p>
    <w:p w14:paraId="3FB73DF7">
      <w:pPr>
        <w:ind w:firstLine="480"/>
        <w:rPr>
          <w:rFonts w:hint="eastAsia"/>
        </w:rPr>
      </w:pPr>
      <w:r>
        <w:rPr>
          <w:rFonts w:hint="eastAsia"/>
        </w:rPr>
        <w:t xml:space="preserve">（4）设备故障时，由专业人员维修，不可自行拆解，维修时使用合适工具，防止损坏设备。 </w:t>
      </w:r>
    </w:p>
    <w:p w14:paraId="73D0F735">
      <w:pPr>
        <w:ind w:firstLine="480"/>
        <w:rPr>
          <w:rFonts w:hint="eastAsia"/>
        </w:rPr>
      </w:pPr>
    </w:p>
    <w:p w14:paraId="32A89B39">
      <w:pPr>
        <w:pStyle w:val="2"/>
        <w:rPr>
          <w:rFonts w:hint="eastAsia"/>
        </w:rPr>
      </w:pPr>
      <w:bookmarkStart w:id="24" w:name="_Toc25257"/>
      <w:bookmarkStart w:id="25" w:name="_Toc18219"/>
      <w:r>
        <w:rPr>
          <w:rFonts w:hint="eastAsia"/>
        </w:rPr>
        <w:t>案例展示</w:t>
      </w:r>
      <w:bookmarkEnd w:id="24"/>
      <w:bookmarkEnd w:id="25"/>
    </w:p>
    <w:p w14:paraId="0957B400">
      <w:pPr>
        <w:pStyle w:val="3"/>
        <w:rPr>
          <w:rFonts w:hint="eastAsia"/>
        </w:rPr>
      </w:pPr>
      <w:bookmarkStart w:id="26" w:name="_Toc5085"/>
      <w:r>
        <w:rPr>
          <w:rFonts w:hint="eastAsia"/>
        </w:rPr>
        <w:t>案例</w:t>
      </w:r>
      <w:bookmarkEnd w:id="26"/>
    </w:p>
    <w:p w14:paraId="03978507">
      <w:pPr>
        <w:bidi w:val="0"/>
        <w:rPr>
          <w:rFonts w:hint="eastAsia"/>
        </w:rPr>
      </w:pPr>
      <w:r>
        <w:rPr>
          <w:rFonts w:hint="eastAsia"/>
        </w:rPr>
        <w:t>项目名称： 云南省昆明市污水处理厂项目</w:t>
      </w:r>
    </w:p>
    <w:p w14:paraId="0206B492">
      <w:pPr>
        <w:bidi w:val="0"/>
        <w:rPr>
          <w:rFonts w:hint="eastAsia"/>
        </w:rPr>
      </w:pPr>
      <w:r>
        <w:rPr>
          <w:rFonts w:hint="eastAsia"/>
        </w:rPr>
        <w:t>项目地址： 云南省昆明市</w:t>
      </w:r>
    </w:p>
    <w:p w14:paraId="6E59223A">
      <w:pPr>
        <w:bidi w:val="0"/>
        <w:rPr>
          <w:rFonts w:hint="eastAsia"/>
        </w:rPr>
      </w:pPr>
      <w:r>
        <w:rPr>
          <w:rFonts w:hint="eastAsia"/>
        </w:rPr>
        <w:t>应用产品： 在线分析仪</w:t>
      </w:r>
    </w:p>
    <w:p w14:paraId="15CD82E7">
      <w:pPr>
        <w:bidi w:val="0"/>
        <w:rPr>
          <w:rFonts w:hint="eastAsia"/>
        </w:rPr>
      </w:pPr>
      <w:r>
        <w:rPr>
          <w:rFonts w:hint="eastAsia"/>
        </w:rPr>
        <w:t>监测因素： 总磷、总氮、COD、氨氮</w:t>
      </w:r>
    </w:p>
    <w:p w14:paraId="63D0551A">
      <w:pPr>
        <w:bidi w:val="0"/>
        <w:rPr>
          <w:rFonts w:hint="eastAsia"/>
        </w:rPr>
      </w:pPr>
      <w:r>
        <w:rPr>
          <w:rFonts w:hint="eastAsia"/>
        </w:rPr>
        <w:t>应用效果： 节能减排，有效提升了污水处理厂运行效率</w:t>
      </w:r>
    </w:p>
    <w:p w14:paraId="17CEB123">
      <w:pPr>
        <w:bidi w:val="0"/>
        <w:jc w:val="center"/>
        <w:rPr>
          <w:rFonts w:hint="eastAsia"/>
        </w:rPr>
      </w:pPr>
      <w:r>
        <w:drawing>
          <wp:inline distT="0" distB="0" distL="114300" distR="114300">
            <wp:extent cx="3089910" cy="2134235"/>
            <wp:effectExtent l="0" t="0" r="3810" b="14605"/>
            <wp:docPr id="6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F355B">
    <w:pPr>
      <w:pStyle w:val="12"/>
      <w:ind w:firstLine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D97A94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ADD5C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8723E2"/>
    <w:multiLevelType w:val="singleLevel"/>
    <w:tmpl w:val="E78723E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20720"/>
    <w:rsid w:val="000E70C4"/>
    <w:rsid w:val="00234776"/>
    <w:rsid w:val="002438FD"/>
    <w:rsid w:val="00370AB4"/>
    <w:rsid w:val="003B326D"/>
    <w:rsid w:val="008753CB"/>
    <w:rsid w:val="008D7448"/>
    <w:rsid w:val="00A10114"/>
    <w:rsid w:val="00A30227"/>
    <w:rsid w:val="00DF00DE"/>
    <w:rsid w:val="09DF435C"/>
    <w:rsid w:val="0C2F1549"/>
    <w:rsid w:val="0CF05FA0"/>
    <w:rsid w:val="12AE6653"/>
    <w:rsid w:val="1456008E"/>
    <w:rsid w:val="15FB79DC"/>
    <w:rsid w:val="161F7EB7"/>
    <w:rsid w:val="1FE35C4B"/>
    <w:rsid w:val="204B17E7"/>
    <w:rsid w:val="21154D5A"/>
    <w:rsid w:val="249B7324"/>
    <w:rsid w:val="25E76B6C"/>
    <w:rsid w:val="275F6D2E"/>
    <w:rsid w:val="28333D17"/>
    <w:rsid w:val="28AF7842"/>
    <w:rsid w:val="32F31EAA"/>
    <w:rsid w:val="3CAD2E9B"/>
    <w:rsid w:val="416830A7"/>
    <w:rsid w:val="41E23AAD"/>
    <w:rsid w:val="42011EE9"/>
    <w:rsid w:val="4283171C"/>
    <w:rsid w:val="499C3073"/>
    <w:rsid w:val="4C3842FE"/>
    <w:rsid w:val="4DA8648A"/>
    <w:rsid w:val="4DFD02CF"/>
    <w:rsid w:val="514806E5"/>
    <w:rsid w:val="52416EAD"/>
    <w:rsid w:val="56551179"/>
    <w:rsid w:val="5A9164F8"/>
    <w:rsid w:val="5C2514E6"/>
    <w:rsid w:val="5C9516B2"/>
    <w:rsid w:val="5E856373"/>
    <w:rsid w:val="611F660B"/>
    <w:rsid w:val="636B69F0"/>
    <w:rsid w:val="64A07A63"/>
    <w:rsid w:val="65AB1956"/>
    <w:rsid w:val="66A26CE2"/>
    <w:rsid w:val="67917192"/>
    <w:rsid w:val="684C6BDB"/>
    <w:rsid w:val="6C2E3BA6"/>
    <w:rsid w:val="6CAD6DE8"/>
    <w:rsid w:val="70EB02B8"/>
    <w:rsid w:val="726447C6"/>
    <w:rsid w:val="74B44E65"/>
    <w:rsid w:val="799F35BE"/>
    <w:rsid w:val="7BB265A2"/>
    <w:rsid w:val="7C376AA7"/>
    <w:rsid w:val="7EA1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ind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1"/>
        <w:numId w:val="1"/>
      </w:numPr>
      <w:ind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numPr>
        <w:ilvl w:val="2"/>
        <w:numId w:val="1"/>
      </w:numPr>
      <w:ind w:firstLine="0"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numPr>
        <w:ilvl w:val="3"/>
        <w:numId w:val="1"/>
      </w:numPr>
      <w:ind w:left="0" w:firstLine="720"/>
      <w:outlineLvl w:val="3"/>
    </w:pPr>
    <w:rPr>
      <w:rFonts w:cstheme="majorBidi"/>
      <w:b/>
      <w:sz w:val="28"/>
      <w:szCs w:val="28"/>
    </w:rPr>
  </w:style>
  <w:style w:type="paragraph" w:styleId="6">
    <w:name w:val="heading 5"/>
    <w:basedOn w:val="5"/>
    <w:next w:val="1"/>
    <w:link w:val="28"/>
    <w:semiHidden/>
    <w:unhideWhenUsed/>
    <w:qFormat/>
    <w:uiPriority w:val="9"/>
    <w:pPr>
      <w:numPr>
        <w:ilvl w:val="4"/>
      </w:numPr>
      <w:spacing w:before="80" w:after="40"/>
      <w:ind w:firstLineChars="0"/>
      <w:outlineLvl w:val="4"/>
    </w:p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ind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ind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4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</w:rPr>
  </w:style>
  <w:style w:type="paragraph" w:styleId="18">
    <w:name w:val="Title"/>
    <w:basedOn w:val="1"/>
    <w:next w:val="1"/>
    <w:link w:val="33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0">
    <w:name w:val="Table Grid"/>
    <w:basedOn w:val="1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22"/>
    <w:rPr>
      <w:b/>
    </w:rPr>
  </w:style>
  <w:style w:type="character" w:styleId="23">
    <w:name w:val="Hyperlink"/>
    <w:basedOn w:val="21"/>
    <w:unhideWhenUsed/>
    <w:qFormat/>
    <w:uiPriority w:val="99"/>
    <w:rPr>
      <w:color w:val="0563C1"/>
      <w:u w:val="single"/>
    </w:rPr>
  </w:style>
  <w:style w:type="character" w:customStyle="1" w:styleId="24">
    <w:name w:val="标题 1 字符"/>
    <w:basedOn w:val="21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5">
    <w:name w:val="标题 2 字符"/>
    <w:basedOn w:val="21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6">
    <w:name w:val="标题 3 字符"/>
    <w:basedOn w:val="21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7">
    <w:name w:val="标题 4 字符"/>
    <w:basedOn w:val="21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8">
    <w:name w:val="标题 5 字符"/>
    <w:basedOn w:val="21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9">
    <w:name w:val="标题 6 字符"/>
    <w:basedOn w:val="21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0">
    <w:name w:val="标题 7 字符"/>
    <w:basedOn w:val="21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1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1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1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1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1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明显强调1"/>
    <w:basedOn w:val="21"/>
    <w:qFormat/>
    <w:uiPriority w:val="21"/>
    <w:rPr>
      <w:i/>
      <w:iCs/>
      <w:color w:val="104862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0">
    <w:name w:val="明显引用 字符"/>
    <w:basedOn w:val="21"/>
    <w:link w:val="39"/>
    <w:qFormat/>
    <w:uiPriority w:val="30"/>
    <w:rPr>
      <w:i/>
      <w:iCs/>
      <w:color w:val="104862" w:themeColor="accent1" w:themeShade="BF"/>
    </w:rPr>
  </w:style>
  <w:style w:type="character" w:customStyle="1" w:styleId="41">
    <w:name w:val="页眉 字符"/>
    <w:basedOn w:val="21"/>
    <w:link w:val="13"/>
    <w:qFormat/>
    <w:uiPriority w:val="99"/>
    <w:rPr>
      <w:sz w:val="18"/>
      <w:szCs w:val="18"/>
    </w:rPr>
  </w:style>
  <w:style w:type="character" w:customStyle="1" w:styleId="42">
    <w:name w:val="页脚 字符"/>
    <w:basedOn w:val="21"/>
    <w:link w:val="12"/>
    <w:qFormat/>
    <w:uiPriority w:val="99"/>
    <w:rPr>
      <w:sz w:val="18"/>
      <w:szCs w:val="18"/>
    </w:rPr>
  </w:style>
  <w:style w:type="paragraph" w:customStyle="1" w:styleId="4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4">
    <w:name w:val="表格style"/>
    <w:qFormat/>
    <w:uiPriority w:val="0"/>
    <w:pPr>
      <w:widowControl w:val="0"/>
      <w:jc w:val="center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Table Paragraph"/>
    <w:basedOn w:val="1"/>
    <w:qFormat/>
    <w:uiPriority w:val="1"/>
  </w:style>
  <w:style w:type="paragraph" w:customStyle="1" w:styleId="4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47">
    <w:name w:val="列出段落1"/>
    <w:basedOn w:val="1"/>
    <w:qFormat/>
    <w:uiPriority w:val="34"/>
    <w:pPr>
      <w:suppressAutoHyphens/>
      <w:ind w:firstLine="420"/>
      <w:jc w:val="left"/>
    </w:pPr>
    <w:rPr>
      <w:rFonts w:ascii="Times" w:hAnsi="Times" w:cs="Times New Roman"/>
      <w:kern w:val="1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4859</Words>
  <Characters>5348</Characters>
  <Lines>67</Lines>
  <Paragraphs>19</Paragraphs>
  <TotalTime>2</TotalTime>
  <ScaleCrop>false</ScaleCrop>
  <LinksUpToDate>false</LinksUpToDate>
  <CharactersWithSpaces>5446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2025-07-25T02:05:12Z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