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0B3E1">
      <w:pPr>
        <w:ind w:firstLine="480"/>
        <w:rPr>
          <w:rFonts w:hint="eastAsia"/>
          <w:color w:val="auto"/>
        </w:rPr>
      </w:pPr>
    </w:p>
    <w:p w14:paraId="64519C3F">
      <w:pPr>
        <w:ind w:firstLine="480"/>
        <w:rPr>
          <w:rFonts w:hint="eastAsia"/>
          <w:color w:val="auto"/>
        </w:rPr>
      </w:pPr>
    </w:p>
    <w:p w14:paraId="29E4111A">
      <w:pPr>
        <w:ind w:firstLine="480"/>
        <w:rPr>
          <w:rFonts w:hint="eastAsia"/>
          <w:color w:val="auto"/>
        </w:rPr>
      </w:pPr>
    </w:p>
    <w:p w14:paraId="2D70E1B9">
      <w:pPr>
        <w:ind w:firstLine="0" w:firstLineChars="0"/>
        <w:jc w:val="center"/>
        <w:rPr>
          <w:rFonts w:hint="eastAsia"/>
          <w:b/>
          <w:bCs/>
          <w:color w:val="auto"/>
          <w:sz w:val="52"/>
          <w:szCs w:val="52"/>
        </w:rPr>
      </w:pPr>
      <w:bookmarkStart w:id="0" w:name="OLE_LINK11"/>
      <w:r>
        <w:rPr>
          <w:rFonts w:hint="eastAsia"/>
          <w:b/>
          <w:bCs/>
          <w:color w:val="auto"/>
          <w:sz w:val="52"/>
          <w:szCs w:val="52"/>
        </w:rPr>
        <w:t>供水行业细分场景</w:t>
      </w:r>
    </w:p>
    <w:p w14:paraId="5E90306D">
      <w:pPr>
        <w:ind w:firstLine="0" w:firstLineChars="0"/>
        <w:jc w:val="right"/>
        <w:rPr>
          <w:rFonts w:hint="eastAsia"/>
          <w:b/>
          <w:bCs/>
          <w:color w:val="auto"/>
          <w:sz w:val="52"/>
          <w:szCs w:val="52"/>
        </w:rPr>
      </w:pPr>
      <w:r>
        <w:rPr>
          <w:rFonts w:hint="eastAsia"/>
          <w:b/>
          <w:bCs/>
          <w:color w:val="auto"/>
          <w:sz w:val="52"/>
          <w:szCs w:val="52"/>
        </w:rPr>
        <w:t>——直饮水质监测方案</w:t>
      </w:r>
    </w:p>
    <w:bookmarkEnd w:id="0"/>
    <w:p w14:paraId="5C9EA49B">
      <w:pPr>
        <w:ind w:firstLine="480"/>
        <w:rPr>
          <w:rFonts w:hint="eastAsia"/>
          <w:color w:val="auto"/>
        </w:rPr>
      </w:pPr>
    </w:p>
    <w:p w14:paraId="4D1DB46F">
      <w:pPr>
        <w:ind w:firstLine="480"/>
        <w:rPr>
          <w:rFonts w:hint="eastAsia"/>
          <w:color w:val="auto"/>
        </w:rPr>
      </w:pPr>
    </w:p>
    <w:p w14:paraId="079FF645">
      <w:pPr>
        <w:ind w:firstLine="480"/>
        <w:rPr>
          <w:rFonts w:hint="eastAsia"/>
          <w:color w:val="auto"/>
        </w:rPr>
      </w:pPr>
    </w:p>
    <w:p w14:paraId="1EB776C8">
      <w:pPr>
        <w:ind w:firstLine="480"/>
        <w:rPr>
          <w:rFonts w:hint="eastAsia"/>
          <w:color w:val="auto"/>
        </w:rPr>
      </w:pPr>
    </w:p>
    <w:p w14:paraId="7F549598">
      <w:pPr>
        <w:ind w:firstLine="480"/>
        <w:rPr>
          <w:rFonts w:hint="eastAsia"/>
          <w:color w:val="auto"/>
        </w:rPr>
      </w:pPr>
    </w:p>
    <w:p w14:paraId="6AFBD83C">
      <w:pPr>
        <w:ind w:firstLine="480"/>
        <w:rPr>
          <w:rFonts w:hint="eastAsia"/>
          <w:color w:val="auto"/>
        </w:rPr>
      </w:pPr>
    </w:p>
    <w:p w14:paraId="5AA364EA">
      <w:pPr>
        <w:ind w:firstLine="480"/>
        <w:rPr>
          <w:rFonts w:hint="eastAsia"/>
          <w:color w:val="auto"/>
        </w:rPr>
      </w:pPr>
    </w:p>
    <w:p w14:paraId="49634D3C">
      <w:pPr>
        <w:ind w:firstLine="480"/>
        <w:rPr>
          <w:rFonts w:hint="eastAsia"/>
          <w:color w:val="auto"/>
        </w:rPr>
      </w:pPr>
    </w:p>
    <w:p w14:paraId="0196C3AD">
      <w:pPr>
        <w:ind w:firstLine="480"/>
        <w:rPr>
          <w:rFonts w:hint="eastAsia"/>
          <w:color w:val="auto"/>
        </w:rPr>
      </w:pPr>
    </w:p>
    <w:p w14:paraId="0FDD8543">
      <w:pPr>
        <w:ind w:firstLine="480"/>
        <w:rPr>
          <w:rFonts w:hint="eastAsia"/>
          <w:color w:val="auto"/>
        </w:rPr>
      </w:pPr>
    </w:p>
    <w:p w14:paraId="404E24C5">
      <w:pPr>
        <w:ind w:firstLine="480"/>
        <w:rPr>
          <w:rFonts w:hint="eastAsia"/>
          <w:color w:val="auto"/>
        </w:rPr>
      </w:pPr>
    </w:p>
    <w:p w14:paraId="10E57F36">
      <w:pPr>
        <w:ind w:firstLine="480"/>
        <w:rPr>
          <w:rFonts w:hint="eastAsia"/>
          <w:color w:val="auto"/>
        </w:rPr>
      </w:pPr>
    </w:p>
    <w:p w14:paraId="4F4DEA1F">
      <w:pPr>
        <w:ind w:firstLine="480"/>
        <w:rPr>
          <w:rFonts w:hint="eastAsia"/>
          <w:color w:val="auto"/>
        </w:rPr>
      </w:pPr>
    </w:p>
    <w:p w14:paraId="7B1B873E">
      <w:pPr>
        <w:ind w:firstLine="480"/>
        <w:rPr>
          <w:rFonts w:hint="eastAsia"/>
          <w:color w:val="auto"/>
        </w:rPr>
      </w:pPr>
    </w:p>
    <w:p w14:paraId="6A204983">
      <w:pPr>
        <w:ind w:firstLine="480"/>
        <w:rPr>
          <w:rFonts w:hint="eastAsia"/>
          <w:color w:val="auto"/>
        </w:rPr>
      </w:pPr>
    </w:p>
    <w:p w14:paraId="73B10752">
      <w:pPr>
        <w:ind w:firstLine="480"/>
        <w:rPr>
          <w:rFonts w:hint="eastAsia"/>
          <w:color w:val="auto"/>
        </w:rPr>
      </w:pPr>
    </w:p>
    <w:p w14:paraId="6972C1BC">
      <w:pPr>
        <w:ind w:firstLine="480"/>
        <w:rPr>
          <w:rFonts w:hint="eastAsia"/>
          <w:color w:val="auto"/>
        </w:rPr>
      </w:pPr>
    </w:p>
    <w:p w14:paraId="727F2754">
      <w:pPr>
        <w:ind w:firstLine="480"/>
        <w:rPr>
          <w:rFonts w:hint="eastAsia"/>
          <w:color w:val="auto"/>
        </w:rPr>
      </w:pPr>
    </w:p>
    <w:p w14:paraId="1314C026">
      <w:pPr>
        <w:ind w:firstLine="480"/>
        <w:rPr>
          <w:rFonts w:hint="eastAsia"/>
          <w:color w:val="auto"/>
        </w:rPr>
      </w:pPr>
    </w:p>
    <w:p w14:paraId="1E1C2462">
      <w:pPr>
        <w:ind w:firstLine="480"/>
        <w:rPr>
          <w:rFonts w:hint="eastAsia"/>
          <w:color w:val="auto"/>
        </w:rPr>
      </w:pPr>
    </w:p>
    <w:p w14:paraId="38AC8E61">
      <w:pPr>
        <w:ind w:firstLine="0" w:firstLineChars="0"/>
        <w:jc w:val="center"/>
        <w:rPr>
          <w:rFonts w:hint="eastAsia"/>
          <w:b/>
          <w:bCs/>
          <w:color w:val="auto"/>
          <w:sz w:val="40"/>
          <w:szCs w:val="40"/>
          <w:lang w:val="zh-CN"/>
        </w:rPr>
      </w:pPr>
      <w:r>
        <w:rPr>
          <w:b/>
          <w:bCs/>
          <w:color w:val="auto"/>
          <w:sz w:val="40"/>
          <w:szCs w:val="40"/>
        </w:rPr>
        <w:t>202</w:t>
      </w:r>
      <w:r>
        <w:rPr>
          <w:rFonts w:hint="eastAsia"/>
          <w:b/>
          <w:bCs/>
          <w:color w:val="auto"/>
          <w:sz w:val="40"/>
          <w:szCs w:val="40"/>
        </w:rPr>
        <w:t>5</w:t>
      </w:r>
      <w:r>
        <w:rPr>
          <w:b/>
          <w:bCs/>
          <w:color w:val="auto"/>
          <w:sz w:val="40"/>
          <w:szCs w:val="40"/>
          <w:lang w:val="zh-CN"/>
        </w:rPr>
        <w:t>年</w:t>
      </w:r>
      <w:r>
        <w:rPr>
          <w:rFonts w:hint="eastAsia"/>
          <w:b/>
          <w:bCs/>
          <w:color w:val="auto"/>
          <w:sz w:val="40"/>
          <w:szCs w:val="40"/>
        </w:rPr>
        <w:t>2</w:t>
      </w:r>
      <w:r>
        <w:rPr>
          <w:b/>
          <w:bCs/>
          <w:color w:val="auto"/>
          <w:sz w:val="40"/>
          <w:szCs w:val="40"/>
          <w:lang w:val="zh-CN"/>
        </w:rPr>
        <w:t>月</w:t>
      </w:r>
    </w:p>
    <w:p w14:paraId="4EDF03B7">
      <w:pPr>
        <w:ind w:firstLine="480"/>
        <w:rPr>
          <w:rFonts w:hint="eastAsia"/>
          <w:color w:val="auto"/>
        </w:rPr>
      </w:pPr>
    </w:p>
    <w:p w14:paraId="2664AD0E">
      <w:pPr>
        <w:ind w:firstLine="480"/>
        <w:rPr>
          <w:rFonts w:hint="eastAsia"/>
          <w:color w:val="auto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45C49E0D">
      <w:pPr>
        <w:ind w:firstLine="480"/>
        <w:rPr>
          <w:rFonts w:hint="eastAsia"/>
          <w:color w:val="auto"/>
        </w:rPr>
      </w:pPr>
    </w:p>
    <w:p w14:paraId="22F035C9">
      <w:pPr>
        <w:spacing w:line="240" w:lineRule="auto"/>
        <w:ind w:firstLine="0" w:firstLineChars="0"/>
        <w:jc w:val="center"/>
        <w:rPr>
          <w:rFonts w:hint="eastAsia"/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目录</w:t>
      </w:r>
    </w:p>
    <w:p w14:paraId="1330B737">
      <w:pPr>
        <w:pStyle w:val="14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  <w:color w:val="auto"/>
        </w:rPr>
        <w:instrText xml:space="preserve">TOC \o "1-3" \h \u </w:instrText>
      </w:r>
      <w:r>
        <w:rPr>
          <w:rFonts w:hint="eastAsia"/>
          <w:color w:val="auto"/>
        </w:rPr>
        <w:fldChar w:fldCharType="separate"/>
      </w: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_Toc30146 </w:instrText>
      </w:r>
      <w:r>
        <w:rPr>
          <w:rFonts w:hint="eastAsia"/>
        </w:rPr>
        <w:fldChar w:fldCharType="separate"/>
      </w:r>
      <w:r>
        <w:rPr>
          <w:rFonts w:hint="eastAsia"/>
        </w:rPr>
        <w:t>一、 公司简介</w:t>
      </w:r>
      <w:r>
        <w:tab/>
      </w:r>
      <w:r>
        <w:fldChar w:fldCharType="begin"/>
      </w:r>
      <w:r>
        <w:instrText xml:space="preserve"> PAGEREF _Toc30146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3EBE186E">
      <w:pPr>
        <w:pStyle w:val="14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_Toc25382 </w:instrText>
      </w:r>
      <w:r>
        <w:rPr>
          <w:rFonts w:hint="eastAsia"/>
        </w:rPr>
        <w:fldChar w:fldCharType="separate"/>
      </w:r>
      <w:r>
        <w:rPr>
          <w:rFonts w:hint="eastAsia"/>
        </w:rPr>
        <w:t>二、 直饮水质监测概述</w:t>
      </w:r>
      <w:r>
        <w:tab/>
      </w:r>
      <w:r>
        <w:fldChar w:fldCharType="begin"/>
      </w:r>
      <w:r>
        <w:instrText xml:space="preserve"> PAGEREF _Toc25382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581D8F73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_Toc8467 </w:instrText>
      </w:r>
      <w:r>
        <w:rPr>
          <w:rFonts w:hint="eastAsia"/>
        </w:rPr>
        <w:fldChar w:fldCharType="separate"/>
      </w:r>
      <w:r>
        <w:rPr>
          <w:rFonts w:hint="eastAsia"/>
        </w:rPr>
        <w:t>2.1. 直饮水行业背景</w:t>
      </w:r>
      <w:r>
        <w:tab/>
      </w:r>
      <w:r>
        <w:fldChar w:fldCharType="begin"/>
      </w:r>
      <w:r>
        <w:instrText xml:space="preserve"> PAGEREF _Toc8467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58D683BE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_Toc23604 </w:instrText>
      </w:r>
      <w:r>
        <w:rPr>
          <w:rFonts w:hint="eastAsia"/>
        </w:rPr>
        <w:fldChar w:fldCharType="separate"/>
      </w:r>
      <w:r>
        <w:rPr>
          <w:rFonts w:hint="eastAsia"/>
        </w:rPr>
        <w:t>2.2. 直饮水监测特点</w:t>
      </w:r>
      <w:r>
        <w:tab/>
      </w:r>
      <w:r>
        <w:fldChar w:fldCharType="begin"/>
      </w:r>
      <w:r>
        <w:instrText xml:space="preserve"> PAGEREF _Toc23604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12609E45">
      <w:pPr>
        <w:pStyle w:val="14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_Toc30345 </w:instrText>
      </w:r>
      <w:r>
        <w:rPr>
          <w:rFonts w:hint="eastAsia"/>
        </w:rPr>
        <w:fldChar w:fldCharType="separate"/>
      </w:r>
      <w:r>
        <w:rPr>
          <w:rFonts w:hint="eastAsia"/>
        </w:rPr>
        <w:t>三、 建设方案设计</w:t>
      </w:r>
      <w:r>
        <w:tab/>
      </w:r>
      <w:r>
        <w:fldChar w:fldCharType="begin"/>
      </w:r>
      <w:r>
        <w:instrText xml:space="preserve"> PAGEREF _Toc30345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6C237C03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_Toc1295 </w:instrText>
      </w:r>
      <w:r>
        <w:rPr>
          <w:rFonts w:hint="eastAsia"/>
        </w:rPr>
        <w:fldChar w:fldCharType="separate"/>
      </w:r>
      <w:r>
        <w:rPr>
          <w:rFonts w:hint="eastAsia"/>
        </w:rPr>
        <w:t>3.1. 系统框架图</w:t>
      </w:r>
      <w:r>
        <w:tab/>
      </w:r>
      <w:r>
        <w:fldChar w:fldCharType="begin"/>
      </w:r>
      <w:r>
        <w:instrText xml:space="preserve"> PAGEREF _Toc1295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62DF524B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_Toc16091 </w:instrText>
      </w:r>
      <w:r>
        <w:rPr>
          <w:rFonts w:hint="eastAsia"/>
        </w:rPr>
        <w:fldChar w:fldCharType="separate"/>
      </w:r>
      <w:r>
        <w:rPr>
          <w:rFonts w:hint="eastAsia"/>
        </w:rPr>
        <w:t>3.2. 设备选型策略</w:t>
      </w:r>
      <w:r>
        <w:tab/>
      </w:r>
      <w:r>
        <w:fldChar w:fldCharType="begin"/>
      </w:r>
      <w:r>
        <w:instrText xml:space="preserve"> PAGEREF _Toc16091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1FF6E28A">
      <w:pPr>
        <w:pStyle w:val="14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_Toc10131 </w:instrText>
      </w:r>
      <w:r>
        <w:rPr>
          <w:rFonts w:hint="eastAsia"/>
        </w:rPr>
        <w:fldChar w:fldCharType="separate"/>
      </w:r>
      <w:r>
        <w:rPr>
          <w:rFonts w:hint="eastAsia"/>
        </w:rPr>
        <w:t>四、 产品介绍</w:t>
      </w:r>
      <w:r>
        <w:tab/>
      </w:r>
      <w:r>
        <w:fldChar w:fldCharType="begin"/>
      </w:r>
      <w:r>
        <w:instrText xml:space="preserve"> PAGEREF _Toc10131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437CB362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_Toc6277 </w:instrText>
      </w:r>
      <w:r>
        <w:rPr>
          <w:rFonts w:hint="eastAsia"/>
        </w:rPr>
        <w:fldChar w:fldCharType="separate"/>
      </w:r>
      <w:r>
        <w:rPr>
          <w:rFonts w:hint="eastAsia"/>
        </w:rPr>
        <w:t>4.1. 技术参数</w:t>
      </w:r>
      <w:r>
        <w:tab/>
      </w:r>
      <w:r>
        <w:fldChar w:fldCharType="begin"/>
      </w:r>
      <w:r>
        <w:instrText xml:space="preserve"> PAGEREF _Toc6277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5AFA3B37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_Toc15374 </w:instrText>
      </w:r>
      <w:r>
        <w:rPr>
          <w:rFonts w:hint="eastAsia"/>
        </w:rPr>
        <w:fldChar w:fldCharType="separate"/>
      </w:r>
      <w:r>
        <w:rPr>
          <w:rFonts w:hint="eastAsia"/>
        </w:rPr>
        <w:t>4.2. 场景适配性</w:t>
      </w:r>
      <w:r>
        <w:tab/>
      </w:r>
      <w:r>
        <w:fldChar w:fldCharType="begin"/>
      </w:r>
      <w:r>
        <w:instrText xml:space="preserve"> PAGEREF _Toc15374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0005E30C">
      <w:pPr>
        <w:pStyle w:val="14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_Toc18239 </w:instrText>
      </w:r>
      <w:r>
        <w:rPr>
          <w:rFonts w:hint="eastAsia"/>
        </w:rPr>
        <w:fldChar w:fldCharType="separate"/>
      </w:r>
      <w:r>
        <w:rPr>
          <w:rFonts w:hint="eastAsia"/>
        </w:rPr>
        <w:t>五、 设备寿命及维护</w:t>
      </w:r>
      <w:r>
        <w:tab/>
      </w:r>
      <w:r>
        <w:fldChar w:fldCharType="begin"/>
      </w:r>
      <w:r>
        <w:instrText xml:space="preserve"> PAGEREF _Toc18239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593BE890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_Toc31099 </w:instrText>
      </w:r>
      <w:r>
        <w:rPr>
          <w:rFonts w:hint="eastAsia"/>
        </w:rPr>
        <w:fldChar w:fldCharType="separate"/>
      </w:r>
      <w:r>
        <w:rPr>
          <w:rFonts w:hint="eastAsia"/>
        </w:rPr>
        <w:t>5.1. 设备寿命周期与维护周期表</w:t>
      </w:r>
      <w:r>
        <w:tab/>
      </w:r>
      <w:r>
        <w:fldChar w:fldCharType="begin"/>
      </w:r>
      <w:r>
        <w:instrText xml:space="preserve"> PAGEREF _Toc31099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094F3483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_Toc1999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5.2. 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日常维护</w:t>
      </w:r>
      <w:r>
        <w:tab/>
      </w:r>
      <w:r>
        <w:fldChar w:fldCharType="begin"/>
      </w:r>
      <w:r>
        <w:instrText xml:space="preserve"> PAGEREF _Toc1999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20085E5A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_Toc19563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5.3. 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维护注意事项</w:t>
      </w:r>
      <w:r>
        <w:tab/>
      </w:r>
      <w:r>
        <w:fldChar w:fldCharType="begin"/>
      </w:r>
      <w:r>
        <w:instrText xml:space="preserve"> PAGEREF _Toc19563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46CB9AAA">
      <w:pPr>
        <w:pStyle w:val="14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_Toc21439 </w:instrText>
      </w:r>
      <w:r>
        <w:rPr>
          <w:rFonts w:hint="eastAsia"/>
        </w:rPr>
        <w:fldChar w:fldCharType="separate"/>
      </w:r>
      <w:r>
        <w:rPr>
          <w:rFonts w:hint="eastAsia"/>
        </w:rPr>
        <w:t>六、 案例展示</w:t>
      </w:r>
      <w:r>
        <w:tab/>
      </w:r>
      <w:r>
        <w:fldChar w:fldCharType="begin"/>
      </w:r>
      <w:r>
        <w:instrText xml:space="preserve"> PAGEREF _Toc21439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21AF4E70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_Toc4732 </w:instrText>
      </w:r>
      <w:r>
        <w:rPr>
          <w:rFonts w:hint="eastAsia"/>
        </w:rPr>
        <w:fldChar w:fldCharType="separate"/>
      </w:r>
      <w:r>
        <w:rPr>
          <w:rFonts w:hint="eastAsia"/>
        </w:rPr>
        <w:t>6.1. 案例1：丹东某小区直饮水泵房</w:t>
      </w:r>
      <w:r>
        <w:tab/>
      </w:r>
      <w:r>
        <w:fldChar w:fldCharType="begin"/>
      </w:r>
      <w:r>
        <w:instrText xml:space="preserve"> PAGEREF _Toc4732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68EA5904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_Toc7046 </w:instrText>
      </w:r>
      <w:r>
        <w:rPr>
          <w:rFonts w:hint="eastAsia"/>
        </w:rPr>
        <w:fldChar w:fldCharType="separate"/>
      </w:r>
      <w:r>
        <w:rPr>
          <w:rFonts w:hint="eastAsia"/>
        </w:rPr>
        <w:t>6.2. 案例2：山东某</w:t>
      </w:r>
      <w:r>
        <w:rPr>
          <w:rFonts w:hint="eastAsia"/>
          <w:lang w:val="en-US" w:eastAsia="zh-CN"/>
        </w:rPr>
        <w:t>学校</w:t>
      </w:r>
      <w:r>
        <w:rPr>
          <w:rFonts w:hint="eastAsia"/>
        </w:rPr>
        <w:t>直饮水泵房</w:t>
      </w:r>
      <w:r>
        <w:tab/>
      </w:r>
      <w:r>
        <w:fldChar w:fldCharType="begin"/>
      </w:r>
      <w:r>
        <w:instrText xml:space="preserve"> PAGEREF _Toc7046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7B727561">
      <w:pPr>
        <w:pStyle w:val="16"/>
        <w:tabs>
          <w:tab w:val="right" w:leader="dot" w:pos="8306"/>
        </w:tabs>
      </w:pPr>
      <w:r>
        <w:rPr>
          <w:rFonts w:hint="eastAsia"/>
          <w:color w:val="auto"/>
        </w:rPr>
        <w:fldChar w:fldCharType="begin"/>
      </w:r>
      <w:r>
        <w:rPr>
          <w:rFonts w:hint="eastAsia"/>
        </w:rPr>
        <w:instrText xml:space="preserve"> HYPERLINK \l _Toc9811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6.3. </w:t>
      </w:r>
      <w:r>
        <w:rPr>
          <w:rFonts w:hint="eastAsia"/>
          <w:lang w:val="en-US" w:eastAsia="zh-CN"/>
        </w:rPr>
        <w:t>案例3：四川</w:t>
      </w:r>
      <w:r>
        <w:rPr>
          <w:rFonts w:hint="eastAsia"/>
        </w:rPr>
        <w:t>某</w:t>
      </w:r>
      <w:r>
        <w:rPr>
          <w:rFonts w:hint="eastAsia"/>
          <w:lang w:val="en-US" w:eastAsia="zh-CN"/>
        </w:rPr>
        <w:t>高端小区直饮</w:t>
      </w:r>
      <w:r>
        <w:rPr>
          <w:rFonts w:hint="eastAsia"/>
        </w:rPr>
        <w:t>水泵房</w:t>
      </w:r>
      <w:r>
        <w:tab/>
      </w:r>
      <w:r>
        <w:fldChar w:fldCharType="begin"/>
      </w:r>
      <w:r>
        <w:instrText xml:space="preserve"> PAGEREF _Toc9811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color w:val="auto"/>
        </w:rPr>
        <w:fldChar w:fldCharType="end"/>
      </w:r>
    </w:p>
    <w:p w14:paraId="1B60B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/>
          <w:color w:val="auto"/>
        </w:rPr>
      </w:pPr>
      <w:r>
        <w:rPr>
          <w:rFonts w:hint="eastAsia"/>
          <w:color w:val="auto"/>
        </w:rPr>
        <w:fldChar w:fldCharType="end"/>
      </w:r>
    </w:p>
    <w:p w14:paraId="024F23C7">
      <w:pPr>
        <w:ind w:firstLine="0" w:firstLineChars="0"/>
        <w:rPr>
          <w:rFonts w:hint="eastAsia"/>
          <w:color w:val="auto"/>
        </w:rPr>
        <w:sectPr>
          <w:headerReference r:id="rId11" w:type="default"/>
          <w:footerReference r:id="rId12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3311EB2C">
      <w:pPr>
        <w:pStyle w:val="2"/>
        <w:rPr>
          <w:rFonts w:hint="eastAsia"/>
          <w:color w:val="auto"/>
        </w:rPr>
      </w:pPr>
      <w:bookmarkStart w:id="1" w:name="_Toc30146"/>
      <w:bookmarkStart w:id="2" w:name="_Toc3865"/>
      <w:r>
        <w:rPr>
          <w:rFonts w:hint="eastAsia"/>
          <w:color w:val="auto"/>
        </w:rPr>
        <w:t>公司简介</w:t>
      </w:r>
      <w:bookmarkEnd w:id="1"/>
      <w:bookmarkEnd w:id="2"/>
    </w:p>
    <w:p w14:paraId="5177C057">
      <w:pPr>
        <w:ind w:firstLine="480"/>
        <w:rPr>
          <w:rFonts w:hint="eastAsia"/>
          <w:color w:val="auto"/>
        </w:rPr>
      </w:pPr>
    </w:p>
    <w:p w14:paraId="7A1A9CC6">
      <w:pPr>
        <w:ind w:firstLine="0" w:firstLineChars="0"/>
        <w:jc w:val="center"/>
        <w:rPr>
          <w:rFonts w:hint="eastAsia"/>
          <w:color w:val="auto"/>
        </w:rPr>
      </w:pPr>
      <w:r>
        <w:rPr>
          <w:color w:val="auto"/>
        </w:rPr>
        <w:drawing>
          <wp:inline distT="0" distB="0" distL="0" distR="0">
            <wp:extent cx="4585970" cy="339598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4998">
      <w:pPr>
        <w:ind w:firstLine="0" w:firstLineChars="0"/>
        <w:jc w:val="left"/>
        <w:rPr>
          <w:rFonts w:hint="eastAsia"/>
          <w:color w:val="auto"/>
        </w:rPr>
      </w:pPr>
    </w:p>
    <w:p w14:paraId="34FD3B30">
      <w:pPr>
        <w:ind w:firstLine="48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青岛精诚仪器仪表</w:t>
      </w:r>
      <w:r>
        <w:rPr>
          <w:rFonts w:hint="eastAsia"/>
          <w:color w:val="auto"/>
        </w:rPr>
        <w:t>有限公司（简称</w:t>
      </w:r>
      <w:r>
        <w:rPr>
          <w:rFonts w:hint="eastAsia"/>
          <w:color w:val="auto"/>
          <w:lang w:val="en-US" w:eastAsia="zh-CN"/>
        </w:rPr>
        <w:t>青岛精诚</w:t>
      </w:r>
      <w:r>
        <w:rPr>
          <w:rFonts w:hint="eastAsia"/>
          <w:color w:val="auto"/>
        </w:rPr>
        <w:t>），是一家专业从事生态环境、水利水务、工业过程控制、智慧农业、海洋监测等应用的水质分析仪器研发制造商，以自主研发生产的水质自动监测仪器为核心，应用自动化控制与系统集成技术，为客户提供自动化、智能化的环境监测系统解决方案，并为客户提供环境监测设施的第三方运营服务。</w:t>
      </w:r>
    </w:p>
    <w:p w14:paraId="71D47AA6">
      <w:pPr>
        <w:ind w:firstLine="48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我公司</w:t>
      </w:r>
      <w:r>
        <w:rPr>
          <w:rFonts w:hint="eastAsia"/>
          <w:color w:val="auto"/>
        </w:rPr>
        <w:t>拥有完善的研发、生产、销售和技术服务团队，是国内水质数字传感领导品牌，为国内近百个市、县（区）政府和生态环境部门提供水环境监测技术支撑。</w:t>
      </w:r>
    </w:p>
    <w:p w14:paraId="7F7226D1">
      <w:pPr>
        <w:ind w:firstLine="480"/>
        <w:rPr>
          <w:rFonts w:hint="eastAsia"/>
          <w:color w:val="auto"/>
        </w:rPr>
      </w:pPr>
    </w:p>
    <w:p w14:paraId="6B1D4955">
      <w:pPr>
        <w:ind w:firstLine="480"/>
        <w:rPr>
          <w:rFonts w:hint="eastAsia"/>
          <w:color w:val="auto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BE087F2">
      <w:pPr>
        <w:pStyle w:val="2"/>
        <w:rPr>
          <w:rFonts w:hint="eastAsia"/>
          <w:color w:val="auto"/>
        </w:rPr>
      </w:pPr>
      <w:bookmarkStart w:id="3" w:name="_Toc25382"/>
      <w:bookmarkStart w:id="4" w:name="_Toc28553"/>
      <w:r>
        <w:rPr>
          <w:rFonts w:hint="eastAsia"/>
          <w:color w:val="auto"/>
        </w:rPr>
        <w:t>直饮水质监测概述</w:t>
      </w:r>
      <w:bookmarkEnd w:id="3"/>
      <w:bookmarkEnd w:id="4"/>
    </w:p>
    <w:p w14:paraId="2FCC3245">
      <w:pPr>
        <w:pStyle w:val="3"/>
        <w:rPr>
          <w:rFonts w:hint="eastAsia"/>
          <w:color w:val="auto"/>
        </w:rPr>
      </w:pPr>
      <w:bookmarkStart w:id="5" w:name="OLE_LINK1"/>
      <w:bookmarkStart w:id="6" w:name="_Toc8467"/>
      <w:r>
        <w:rPr>
          <w:rFonts w:hint="eastAsia"/>
          <w:color w:val="auto"/>
        </w:rPr>
        <w:t>直饮水</w:t>
      </w:r>
      <w:bookmarkEnd w:id="5"/>
      <w:r>
        <w:rPr>
          <w:rFonts w:hint="eastAsia"/>
          <w:color w:val="auto"/>
        </w:rPr>
        <w:t>行业背景</w:t>
      </w:r>
      <w:bookmarkEnd w:id="6"/>
    </w:p>
    <w:p w14:paraId="47B1555C">
      <w:pPr>
        <w:ind w:firstLine="0" w:firstLineChars="0"/>
        <w:jc w:val="left"/>
        <w:rPr>
          <w:rFonts w:hint="eastAsia"/>
          <w:color w:val="auto"/>
        </w:rPr>
      </w:pPr>
      <w:r>
        <w:rPr>
          <w:rFonts w:hint="eastAsia"/>
          <w:color w:val="auto"/>
        </w:rPr>
        <w:t>（1）直饮水水质监测核心痛点</w:t>
      </w:r>
    </w:p>
    <w:p w14:paraId="79249185">
      <w:pPr>
        <w:ind w:firstLine="482"/>
        <w:rPr>
          <w:rFonts w:hint="eastAsia"/>
          <w:b/>
          <w:bCs/>
          <w:color w:val="auto"/>
        </w:rPr>
      </w:pPr>
      <w:r>
        <w:rPr>
          <w:b/>
          <w:bCs/>
          <w:color w:val="auto"/>
        </w:rPr>
        <w:t>实时性不足</w:t>
      </w:r>
    </w:p>
    <w:p w14:paraId="0AEF9920">
      <w:pPr>
        <w:ind w:firstLine="480"/>
        <w:rPr>
          <w:rFonts w:hint="eastAsia"/>
          <w:color w:val="auto"/>
        </w:rPr>
      </w:pPr>
      <w:r>
        <w:rPr>
          <w:color w:val="auto"/>
        </w:rPr>
        <w:t>监测滞后：传统方法依赖实验室检测，结果反馈慢，难以及时应对水质变化。</w:t>
      </w:r>
    </w:p>
    <w:p w14:paraId="24D21334">
      <w:pPr>
        <w:ind w:firstLine="480"/>
        <w:rPr>
          <w:rFonts w:hint="eastAsia"/>
          <w:color w:val="auto"/>
        </w:rPr>
      </w:pPr>
      <w:r>
        <w:rPr>
          <w:color w:val="auto"/>
        </w:rPr>
        <w:t>连续监测困难：缺乏实时监测设备，无法持续掌握水质动态。</w:t>
      </w:r>
    </w:p>
    <w:p w14:paraId="2A377CAC">
      <w:pPr>
        <w:ind w:firstLine="482"/>
        <w:rPr>
          <w:rFonts w:hint="eastAsia"/>
          <w:b/>
          <w:bCs/>
          <w:color w:val="auto"/>
        </w:rPr>
      </w:pPr>
      <w:r>
        <w:rPr>
          <w:b/>
          <w:bCs/>
          <w:color w:val="auto"/>
        </w:rPr>
        <w:t>精度与可靠性问题</w:t>
      </w:r>
    </w:p>
    <w:p w14:paraId="2DB6909A">
      <w:pPr>
        <w:ind w:firstLine="480"/>
        <w:rPr>
          <w:rFonts w:hint="eastAsia"/>
          <w:color w:val="auto"/>
        </w:rPr>
      </w:pPr>
      <w:r>
        <w:rPr>
          <w:color w:val="auto"/>
        </w:rPr>
        <w:t>检测误差：传感器精度不足，可能导致误报或漏报。</w:t>
      </w:r>
    </w:p>
    <w:p w14:paraId="4FD62DAD">
      <w:pPr>
        <w:ind w:firstLine="480"/>
        <w:rPr>
          <w:rFonts w:hint="eastAsia"/>
          <w:color w:val="auto"/>
        </w:rPr>
      </w:pPr>
      <w:r>
        <w:rPr>
          <w:color w:val="auto"/>
        </w:rPr>
        <w:t>设备稳定性差：长期运行中，设备易受环境影响，数据可靠性下降。</w:t>
      </w:r>
    </w:p>
    <w:p w14:paraId="66A3157F">
      <w:pPr>
        <w:ind w:firstLine="482"/>
        <w:rPr>
          <w:rFonts w:hint="eastAsia"/>
          <w:b/>
          <w:bCs/>
          <w:color w:val="auto"/>
        </w:rPr>
      </w:pPr>
      <w:r>
        <w:rPr>
          <w:b/>
          <w:bCs/>
          <w:color w:val="auto"/>
        </w:rPr>
        <w:t>成本压力</w:t>
      </w:r>
    </w:p>
    <w:p w14:paraId="197C8633">
      <w:pPr>
        <w:ind w:firstLine="480"/>
        <w:rPr>
          <w:rFonts w:hint="eastAsia"/>
          <w:color w:val="auto"/>
        </w:rPr>
      </w:pPr>
      <w:r>
        <w:rPr>
          <w:color w:val="auto"/>
        </w:rPr>
        <w:t>设备费用高：高精度监测设备价格昂贵，增加运营成本。</w:t>
      </w:r>
    </w:p>
    <w:p w14:paraId="59351CEE">
      <w:pPr>
        <w:ind w:firstLine="480"/>
        <w:rPr>
          <w:rFonts w:hint="eastAsia"/>
          <w:color w:val="auto"/>
        </w:rPr>
      </w:pPr>
      <w:r>
        <w:rPr>
          <w:color w:val="auto"/>
        </w:rPr>
        <w:t>维护费用高：设备需要定期校准和维护，进一步推高成本。</w:t>
      </w:r>
    </w:p>
    <w:p w14:paraId="65A3BE76">
      <w:pPr>
        <w:ind w:firstLine="482"/>
        <w:rPr>
          <w:rFonts w:hint="eastAsia"/>
          <w:b/>
          <w:bCs/>
          <w:color w:val="auto"/>
        </w:rPr>
      </w:pPr>
      <w:r>
        <w:rPr>
          <w:b/>
          <w:bCs/>
          <w:color w:val="auto"/>
        </w:rPr>
        <w:t>多参数监测复杂</w:t>
      </w:r>
    </w:p>
    <w:p w14:paraId="55CE9333">
      <w:pPr>
        <w:ind w:firstLine="480"/>
        <w:rPr>
          <w:rFonts w:hint="eastAsia"/>
          <w:color w:val="auto"/>
        </w:rPr>
      </w:pPr>
      <w:r>
        <w:rPr>
          <w:color w:val="auto"/>
        </w:rPr>
        <w:t>参数多样：水质监测涉及多项指标，单一设备难以全面覆盖。</w:t>
      </w:r>
    </w:p>
    <w:p w14:paraId="70F1FFAA">
      <w:pPr>
        <w:ind w:firstLine="480"/>
        <w:rPr>
          <w:rFonts w:hint="eastAsia"/>
          <w:color w:val="auto"/>
        </w:rPr>
      </w:pPr>
      <w:r>
        <w:rPr>
          <w:color w:val="auto"/>
        </w:rPr>
        <w:t>数据整合难：多源数据整合和分析复杂，影响决策效率。</w:t>
      </w:r>
    </w:p>
    <w:p w14:paraId="0EEA0B6E">
      <w:pPr>
        <w:numPr>
          <w:ilvl w:val="0"/>
          <w:numId w:val="3"/>
        </w:numPr>
        <w:ind w:firstLine="0" w:firstLineChars="0"/>
        <w:jc w:val="left"/>
        <w:rPr>
          <w:rFonts w:hint="eastAsia"/>
          <w:color w:val="auto"/>
        </w:rPr>
      </w:pPr>
      <w:bookmarkStart w:id="7" w:name="OLE_LINK3"/>
      <w:r>
        <w:rPr>
          <w:rFonts w:hint="eastAsia"/>
          <w:color w:val="auto"/>
        </w:rPr>
        <w:t>直饮水的</w:t>
      </w:r>
      <w:bookmarkStart w:id="8" w:name="OLE_LINK2"/>
      <w:r>
        <w:rPr>
          <w:rFonts w:hint="eastAsia"/>
          <w:color w:val="auto"/>
        </w:rPr>
        <w:t xml:space="preserve">水质标准与法规要求 </w:t>
      </w:r>
    </w:p>
    <w:p w14:paraId="17B92A66">
      <w:pPr>
        <w:ind w:firstLine="480"/>
        <w:rPr>
          <w:rFonts w:hint="eastAsia"/>
          <w:color w:val="auto"/>
        </w:rPr>
      </w:pPr>
      <w:r>
        <w:rPr>
          <w:color w:val="auto"/>
        </w:rPr>
        <w:t>《生活饮用水卫生标准》（GB 5749-20</w:t>
      </w:r>
      <w:r>
        <w:rPr>
          <w:rFonts w:hint="eastAsia"/>
          <w:color w:val="auto"/>
          <w:lang w:val="en-US" w:eastAsia="zh-CN"/>
        </w:rPr>
        <w:t>20</w:t>
      </w:r>
      <w:r>
        <w:rPr>
          <w:color w:val="auto"/>
        </w:rPr>
        <w:t>）：中国的主要饮用水标准，涵盖微生物、毒理、感官和一般化学指标等106项。</w:t>
      </w:r>
    </w:p>
    <w:p w14:paraId="359C4234">
      <w:pPr>
        <w:ind w:firstLine="480"/>
        <w:rPr>
          <w:rFonts w:hint="eastAsia"/>
          <w:color w:val="auto"/>
        </w:rPr>
      </w:pPr>
      <w:r>
        <w:rPr>
          <w:color w:val="auto"/>
        </w:rPr>
        <w:t>《饮用净水水质标准》（CJ 94-2005）：适用于直饮水系统，要求高于普通生活饮用水标准。</w:t>
      </w:r>
    </w:p>
    <w:bookmarkEnd w:id="7"/>
    <w:bookmarkEnd w:id="8"/>
    <w:p w14:paraId="610D5FCB">
      <w:pPr>
        <w:pStyle w:val="3"/>
        <w:rPr>
          <w:rFonts w:hint="eastAsia"/>
          <w:color w:val="auto"/>
        </w:rPr>
      </w:pPr>
      <w:bookmarkStart w:id="9" w:name="_Toc16844"/>
      <w:bookmarkStart w:id="10" w:name="_Toc23604"/>
      <w:r>
        <w:rPr>
          <w:rFonts w:hint="eastAsia"/>
          <w:color w:val="auto"/>
        </w:rPr>
        <w:t>直饮水监测特点</w:t>
      </w:r>
      <w:bookmarkEnd w:id="9"/>
      <w:bookmarkEnd w:id="10"/>
    </w:p>
    <w:p w14:paraId="774E3983">
      <w:pPr>
        <w:ind w:firstLine="480"/>
        <w:rPr>
          <w:rFonts w:hint="eastAsia"/>
          <w:color w:val="auto"/>
          <w:shd w:val="clear" w:color="auto" w:fill="FFFFFF"/>
        </w:rPr>
      </w:pPr>
      <w:bookmarkStart w:id="11" w:name="_Toc15099"/>
      <w:r>
        <w:rPr>
          <w:rFonts w:hint="eastAsia"/>
          <w:color w:val="auto"/>
          <w:shd w:val="clear" w:color="auto" w:fill="FFFFFF"/>
        </w:rPr>
        <w:t>（2）浊度：衡量水中悬浮物含量的指标，直饮水浊度应小于一定限值，如0.5NTU（浊度单位）以下。</w:t>
      </w:r>
    </w:p>
    <w:p w14:paraId="0F0152E6">
      <w:pPr>
        <w:ind w:firstLine="480"/>
        <w:rPr>
          <w:rFonts w:hint="eastAsia"/>
          <w:color w:val="auto"/>
          <w:shd w:val="clear" w:color="auto" w:fill="FFFFFF"/>
        </w:rPr>
      </w:pPr>
      <w:r>
        <w:rPr>
          <w:rFonts w:hint="eastAsia"/>
          <w:color w:val="auto"/>
          <w:shd w:val="clear" w:color="auto" w:fill="FFFFFF"/>
        </w:rPr>
        <w:t>（3）pH值：衡量水的酸碱性的指标，适宜的pH值范围为6.5~8.5。</w:t>
      </w:r>
    </w:p>
    <w:p w14:paraId="7D19A4E9">
      <w:pPr>
        <w:ind w:firstLine="480"/>
        <w:rPr>
          <w:rFonts w:hint="eastAsia"/>
          <w:color w:val="auto"/>
          <w:shd w:val="clear" w:color="auto" w:fill="FFFFFF"/>
        </w:rPr>
      </w:pPr>
      <w:r>
        <w:rPr>
          <w:rFonts w:hint="eastAsia"/>
          <w:color w:val="auto"/>
          <w:shd w:val="clear" w:color="auto" w:fill="FFFFFF"/>
        </w:rPr>
        <w:t>（</w:t>
      </w:r>
      <w:r>
        <w:rPr>
          <w:rFonts w:hint="eastAsia"/>
          <w:color w:val="auto"/>
          <w:shd w:val="clear" w:color="auto" w:fill="FFFFFF"/>
          <w:lang w:val="en-US" w:eastAsia="zh-CN"/>
        </w:rPr>
        <w:t>4</w:t>
      </w:r>
      <w:r>
        <w:rPr>
          <w:rFonts w:hint="eastAsia"/>
          <w:color w:val="auto"/>
          <w:shd w:val="clear" w:color="auto" w:fill="FFFFFF"/>
        </w:rPr>
        <w:t>）余氯：衡量水中氯离子含量的指标，直饮水氯化物应小于一定限值。</w:t>
      </w:r>
    </w:p>
    <w:p w14:paraId="53C772F6">
      <w:pPr>
        <w:pStyle w:val="2"/>
        <w:rPr>
          <w:rFonts w:hint="eastAsia"/>
          <w:color w:val="auto"/>
        </w:rPr>
      </w:pPr>
      <w:bookmarkStart w:id="12" w:name="_Toc30345"/>
      <w:r>
        <w:rPr>
          <w:rFonts w:hint="eastAsia"/>
          <w:color w:val="auto"/>
        </w:rPr>
        <w:t>建设方案设计</w:t>
      </w:r>
      <w:bookmarkEnd w:id="11"/>
      <w:bookmarkEnd w:id="12"/>
    </w:p>
    <w:p w14:paraId="25921FEF">
      <w:pPr>
        <w:pStyle w:val="3"/>
        <w:rPr>
          <w:rFonts w:hint="eastAsia"/>
          <w:color w:val="auto"/>
        </w:rPr>
      </w:pPr>
      <w:bookmarkStart w:id="13" w:name="_Toc1295"/>
      <w:r>
        <w:rPr>
          <w:rFonts w:hint="eastAsia"/>
          <w:color w:val="auto"/>
        </w:rPr>
        <w:t>系统框架图</w:t>
      </w:r>
      <w:bookmarkEnd w:id="13"/>
    </w:p>
    <w:p w14:paraId="71DFE21F">
      <w:pPr>
        <w:ind w:firstLine="480"/>
        <w:rPr>
          <w:rFonts w:hint="eastAsia"/>
          <w:color w:val="auto"/>
        </w:rPr>
      </w:pPr>
      <w:r>
        <w:rPr>
          <w:rFonts w:hint="eastAsia"/>
          <w:color w:val="auto"/>
        </w:rPr>
        <w:drawing>
          <wp:inline distT="0" distB="0" distL="114300" distR="114300">
            <wp:extent cx="5273675" cy="2680335"/>
            <wp:effectExtent l="0" t="0" r="14605" b="1905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B859">
      <w:pPr>
        <w:rPr>
          <w:rFonts w:hint="eastAsia"/>
          <w:color w:val="auto"/>
        </w:rPr>
      </w:pPr>
      <w:r>
        <w:rPr>
          <w:rFonts w:hint="eastAsia"/>
          <w:color w:val="auto"/>
        </w:rPr>
        <w:t>关键功能：</w:t>
      </w:r>
    </w:p>
    <w:p w14:paraId="5E96F630">
      <w:pPr>
        <w:rPr>
          <w:rFonts w:hint="eastAsia"/>
          <w:color w:val="auto"/>
        </w:rPr>
      </w:pPr>
      <w:bookmarkStart w:id="14" w:name="OLE_LINK15"/>
      <w:bookmarkStart w:id="15" w:name="OLE_LINK12"/>
      <w:r>
        <w:rPr>
          <w:rFonts w:hint="eastAsia" w:ascii="Times New Roman" w:hAnsi="Times New Roman" w:cs="Times New Roman"/>
          <w:color w:val="auto"/>
          <w:kern w:val="0"/>
          <w:lang w:bidi="ar"/>
        </w:rPr>
        <w:t>（1）</w:t>
      </w:r>
      <w:bookmarkEnd w:id="14"/>
      <w:r>
        <w:rPr>
          <w:rFonts w:hint="eastAsia"/>
          <w:color w:val="auto"/>
          <w:kern w:val="0"/>
          <w:lang w:bidi="ar"/>
        </w:rPr>
        <w:t xml:space="preserve">供水水质监测微系统可同时接 </w:t>
      </w:r>
      <w:r>
        <w:rPr>
          <w:rFonts w:ascii="Times New Roman" w:hAnsi="Times New Roman" w:cs="Times New Roman"/>
          <w:color w:val="auto"/>
          <w:kern w:val="0"/>
          <w:lang w:bidi="ar"/>
        </w:rPr>
        <w:t xml:space="preserve">4 </w:t>
      </w:r>
      <w:r>
        <w:rPr>
          <w:rFonts w:hint="eastAsia"/>
          <w:color w:val="auto"/>
          <w:kern w:val="0"/>
          <w:lang w:bidi="ar"/>
        </w:rPr>
        <w:t>支传感器，连续监测包括</w:t>
      </w:r>
      <w:bookmarkStart w:id="16" w:name="OLE_LINK4"/>
      <w:r>
        <w:rPr>
          <w:rFonts w:hint="eastAsia"/>
          <w:color w:val="auto"/>
          <w:kern w:val="0"/>
          <w:lang w:bidi="ar"/>
        </w:rPr>
        <w:t>余氯、浊度、</w:t>
      </w:r>
      <w:r>
        <w:rPr>
          <w:rFonts w:ascii="Times New Roman" w:hAnsi="Times New Roman" w:cs="Times New Roman"/>
          <w:color w:val="auto"/>
          <w:kern w:val="0"/>
          <w:lang w:bidi="ar"/>
        </w:rPr>
        <w:t>pH</w:t>
      </w:r>
      <w:r>
        <w:rPr>
          <w:rFonts w:hint="eastAsia"/>
          <w:color w:val="auto"/>
          <w:kern w:val="0"/>
          <w:lang w:bidi="ar"/>
        </w:rPr>
        <w:t>、电导率和温度</w:t>
      </w:r>
      <w:bookmarkEnd w:id="16"/>
      <w:r>
        <w:rPr>
          <w:rFonts w:hint="eastAsia"/>
          <w:color w:val="auto"/>
          <w:kern w:val="0"/>
          <w:lang w:bidi="ar"/>
        </w:rPr>
        <w:t xml:space="preserve"> </w:t>
      </w:r>
      <w:r>
        <w:rPr>
          <w:rFonts w:ascii="Times New Roman" w:hAnsi="Times New Roman" w:cs="Times New Roman"/>
          <w:color w:val="auto"/>
          <w:kern w:val="0"/>
          <w:lang w:bidi="ar"/>
        </w:rPr>
        <w:t xml:space="preserve">5 </w:t>
      </w:r>
      <w:r>
        <w:rPr>
          <w:rFonts w:hint="eastAsia"/>
          <w:color w:val="auto"/>
          <w:kern w:val="0"/>
          <w:lang w:bidi="ar"/>
        </w:rPr>
        <w:t xml:space="preserve">种水质参数，其他参数可根据要求进行定制； </w:t>
      </w:r>
    </w:p>
    <w:p w14:paraId="606F70B1">
      <w:pPr>
        <w:rPr>
          <w:rFonts w:hint="eastAsia"/>
          <w:color w:val="auto"/>
        </w:rPr>
      </w:pPr>
      <w:r>
        <w:rPr>
          <w:rFonts w:hint="eastAsia" w:ascii="Times New Roman" w:hAnsi="Times New Roman" w:cs="Times New Roman"/>
          <w:color w:val="auto"/>
          <w:kern w:val="0"/>
          <w:lang w:bidi="ar"/>
        </w:rPr>
        <w:t>（2）</w:t>
      </w:r>
      <w:r>
        <w:rPr>
          <w:rFonts w:hint="eastAsia"/>
          <w:color w:val="auto"/>
          <w:kern w:val="0"/>
          <w:lang w:bidi="ar"/>
        </w:rPr>
        <w:t xml:space="preserve">配置灵活可选，通讯功能齐备； </w:t>
      </w:r>
    </w:p>
    <w:p w14:paraId="2E432DAA">
      <w:pPr>
        <w:rPr>
          <w:rFonts w:hint="eastAsia"/>
          <w:color w:val="auto"/>
        </w:rPr>
      </w:pPr>
      <w:r>
        <w:rPr>
          <w:rFonts w:hint="eastAsia" w:ascii="Times New Roman" w:hAnsi="Times New Roman" w:cs="Times New Roman"/>
          <w:color w:val="auto"/>
          <w:kern w:val="0"/>
          <w:lang w:bidi="ar"/>
        </w:rPr>
        <w:t>（3）</w:t>
      </w:r>
      <w:r>
        <w:rPr>
          <w:rFonts w:hint="eastAsia"/>
          <w:color w:val="auto"/>
          <w:kern w:val="0"/>
          <w:lang w:bidi="ar"/>
        </w:rPr>
        <w:t xml:space="preserve">采用一体化设计，体积小，易安装，维护量更低，专门为无人值守的应用场合设计； </w:t>
      </w:r>
    </w:p>
    <w:p w14:paraId="623B93CB">
      <w:pPr>
        <w:rPr>
          <w:rFonts w:hint="eastAsia"/>
          <w:color w:val="auto"/>
        </w:rPr>
      </w:pPr>
      <w:r>
        <w:rPr>
          <w:rFonts w:hint="eastAsia" w:ascii="Times New Roman" w:hAnsi="Times New Roman" w:cs="Times New Roman"/>
          <w:color w:val="auto"/>
          <w:kern w:val="0"/>
          <w:lang w:bidi="ar"/>
        </w:rPr>
        <w:t>（4）</w:t>
      </w:r>
      <w:r>
        <w:rPr>
          <w:rFonts w:hint="eastAsia"/>
          <w:color w:val="auto"/>
          <w:kern w:val="0"/>
          <w:lang w:bidi="ar"/>
        </w:rPr>
        <w:t xml:space="preserve">带有密码锁安全可靠； </w:t>
      </w:r>
    </w:p>
    <w:p w14:paraId="22A1C610">
      <w:pPr>
        <w:rPr>
          <w:rFonts w:hint="eastAsia"/>
          <w:color w:val="auto"/>
          <w:kern w:val="0"/>
          <w:lang w:bidi="ar"/>
        </w:rPr>
      </w:pPr>
      <w:r>
        <w:rPr>
          <w:rFonts w:hint="eastAsia" w:ascii="Times New Roman" w:hAnsi="Times New Roman" w:cs="Times New Roman"/>
          <w:color w:val="auto"/>
          <w:kern w:val="0"/>
          <w:lang w:bidi="ar"/>
        </w:rPr>
        <w:t>（5）</w:t>
      </w:r>
      <w:r>
        <w:rPr>
          <w:rFonts w:hint="eastAsia"/>
          <w:color w:val="auto"/>
          <w:kern w:val="0"/>
          <w:lang w:bidi="ar"/>
        </w:rPr>
        <w:t xml:space="preserve">专用的工控采集设备 </w:t>
      </w:r>
      <w:r>
        <w:rPr>
          <w:rFonts w:ascii="Times New Roman" w:hAnsi="Times New Roman" w:cs="Times New Roman"/>
          <w:color w:val="auto"/>
          <w:kern w:val="0"/>
          <w:lang w:bidi="ar"/>
        </w:rPr>
        <w:t>MPC-206S</w:t>
      </w:r>
      <w:r>
        <w:rPr>
          <w:rFonts w:hint="eastAsia"/>
          <w:color w:val="auto"/>
          <w:kern w:val="0"/>
          <w:lang w:bidi="ar"/>
        </w:rPr>
        <w:t>，</w:t>
      </w:r>
      <w:r>
        <w:rPr>
          <w:rFonts w:ascii="Times New Roman" w:hAnsi="Times New Roman" w:cs="Times New Roman"/>
          <w:color w:val="auto"/>
          <w:kern w:val="0"/>
          <w:lang w:bidi="ar"/>
        </w:rPr>
        <w:t xml:space="preserve">1 </w:t>
      </w:r>
      <w:r>
        <w:rPr>
          <w:rFonts w:hint="eastAsia"/>
          <w:color w:val="auto"/>
          <w:kern w:val="0"/>
          <w:lang w:bidi="ar"/>
        </w:rPr>
        <w:t xml:space="preserve">路 </w:t>
      </w:r>
      <w:r>
        <w:rPr>
          <w:rFonts w:ascii="Times New Roman" w:hAnsi="Times New Roman" w:cs="Times New Roman"/>
          <w:color w:val="auto"/>
          <w:kern w:val="0"/>
          <w:lang w:bidi="ar"/>
        </w:rPr>
        <w:t xml:space="preserve">RS485 </w:t>
      </w:r>
      <w:r>
        <w:rPr>
          <w:rFonts w:hint="eastAsia"/>
          <w:color w:val="auto"/>
          <w:kern w:val="0"/>
          <w:lang w:bidi="ar"/>
        </w:rPr>
        <w:t>输出，</w:t>
      </w:r>
      <w:r>
        <w:rPr>
          <w:rFonts w:ascii="Times New Roman" w:hAnsi="Times New Roman" w:cs="Times New Roman"/>
          <w:color w:val="auto"/>
          <w:kern w:val="0"/>
          <w:lang w:bidi="ar"/>
        </w:rPr>
        <w:t xml:space="preserve">4 </w:t>
      </w:r>
      <w:r>
        <w:rPr>
          <w:rFonts w:hint="eastAsia"/>
          <w:color w:val="auto"/>
          <w:kern w:val="0"/>
          <w:lang w:bidi="ar"/>
        </w:rPr>
        <w:t xml:space="preserve">路 </w:t>
      </w:r>
      <w:r>
        <w:rPr>
          <w:rFonts w:ascii="Times New Roman" w:hAnsi="Times New Roman" w:cs="Times New Roman"/>
          <w:color w:val="auto"/>
          <w:kern w:val="0"/>
          <w:lang w:bidi="ar"/>
        </w:rPr>
        <w:t xml:space="preserve">485 </w:t>
      </w:r>
      <w:r>
        <w:rPr>
          <w:rFonts w:hint="eastAsia"/>
          <w:color w:val="auto"/>
          <w:kern w:val="0"/>
          <w:lang w:bidi="ar"/>
        </w:rPr>
        <w:t>接口设计，互不干扰稳定可靠</w:t>
      </w:r>
    </w:p>
    <w:p w14:paraId="2A3E5419">
      <w:pPr>
        <w:rPr>
          <w:rFonts w:hint="eastAsia"/>
          <w:color w:val="auto"/>
          <w:kern w:val="0"/>
          <w:lang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bookmarkEnd w:id="15"/>
    <w:p w14:paraId="2E20989E">
      <w:pPr>
        <w:pStyle w:val="3"/>
        <w:rPr>
          <w:rFonts w:hint="eastAsia"/>
          <w:color w:val="auto"/>
        </w:rPr>
      </w:pPr>
      <w:bookmarkStart w:id="17" w:name="_Toc16091"/>
      <w:r>
        <w:rPr>
          <w:rFonts w:hint="eastAsia"/>
          <w:color w:val="auto"/>
        </w:rPr>
        <w:t>设备选型策略</w:t>
      </w:r>
      <w:bookmarkEnd w:id="17"/>
    </w:p>
    <w:p w14:paraId="33609FD6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分类一：直饮水设备生产厂家（传感器可直接集成到直饮水设备内）：</w:t>
      </w:r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2131"/>
        <w:gridCol w:w="2390"/>
        <w:gridCol w:w="1872"/>
      </w:tblGrid>
      <w:tr w14:paraId="28EF813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7" w:type="pct"/>
            <w:vAlign w:val="center"/>
          </w:tcPr>
          <w:p w14:paraId="338BC023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核心监测参数</w:t>
            </w:r>
          </w:p>
        </w:tc>
        <w:tc>
          <w:tcPr>
            <w:tcW w:w="1250" w:type="pct"/>
            <w:vAlign w:val="center"/>
          </w:tcPr>
          <w:p w14:paraId="1356D748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设备名称</w:t>
            </w:r>
          </w:p>
        </w:tc>
        <w:tc>
          <w:tcPr>
            <w:tcW w:w="1402" w:type="pct"/>
            <w:vAlign w:val="center"/>
          </w:tcPr>
          <w:p w14:paraId="058DB376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设备原理</w:t>
            </w:r>
          </w:p>
        </w:tc>
        <w:tc>
          <w:tcPr>
            <w:tcW w:w="1098" w:type="pct"/>
            <w:vAlign w:val="center"/>
          </w:tcPr>
          <w:p w14:paraId="6D165E52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图片</w:t>
            </w:r>
          </w:p>
        </w:tc>
      </w:tr>
      <w:tr w14:paraId="5C16FCD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7" w:type="pct"/>
            <w:vAlign w:val="center"/>
          </w:tcPr>
          <w:p w14:paraId="7D0712EC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余氯</w:t>
            </w:r>
          </w:p>
        </w:tc>
        <w:tc>
          <w:tcPr>
            <w:tcW w:w="1250" w:type="pct"/>
            <w:vAlign w:val="center"/>
          </w:tcPr>
          <w:p w14:paraId="136DEF5C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余氯传感器</w:t>
            </w:r>
          </w:p>
        </w:tc>
        <w:tc>
          <w:tcPr>
            <w:tcW w:w="1402" w:type="pct"/>
            <w:vAlign w:val="center"/>
          </w:tcPr>
          <w:p w14:paraId="7B844734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 xml:space="preserve">恒电压法 </w:t>
            </w:r>
          </w:p>
        </w:tc>
        <w:tc>
          <w:tcPr>
            <w:tcW w:w="1098" w:type="pct"/>
            <w:vMerge w:val="restart"/>
            <w:vAlign w:val="center"/>
          </w:tcPr>
          <w:p w14:paraId="69473937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32"/>
                <w:szCs w:val="32"/>
              </w:rPr>
              <w:drawing>
                <wp:inline distT="0" distB="0" distL="114300" distR="114300">
                  <wp:extent cx="191770" cy="795020"/>
                  <wp:effectExtent l="0" t="213360" r="0" b="219710"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3267888" flipH="1">
                            <a:off x="0" y="0"/>
                            <a:ext cx="19177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6EE06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7" w:type="pct"/>
            <w:vAlign w:val="center"/>
          </w:tcPr>
          <w:p w14:paraId="22661B4B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浊度</w:t>
            </w:r>
          </w:p>
        </w:tc>
        <w:tc>
          <w:tcPr>
            <w:tcW w:w="1250" w:type="pct"/>
            <w:vAlign w:val="center"/>
          </w:tcPr>
          <w:p w14:paraId="4231E350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浊度传感器</w:t>
            </w:r>
          </w:p>
        </w:tc>
        <w:tc>
          <w:tcPr>
            <w:tcW w:w="1402" w:type="pct"/>
            <w:vAlign w:val="center"/>
          </w:tcPr>
          <w:p w14:paraId="0EEA5074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散射光法</w:t>
            </w:r>
          </w:p>
        </w:tc>
        <w:tc>
          <w:tcPr>
            <w:tcW w:w="1098" w:type="pct"/>
            <w:vMerge w:val="continue"/>
            <w:vAlign w:val="center"/>
          </w:tcPr>
          <w:p w14:paraId="57A95BBC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</w:tr>
      <w:tr w14:paraId="7CC89A8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7" w:type="pct"/>
            <w:vAlign w:val="center"/>
          </w:tcPr>
          <w:p w14:paraId="4F025287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pH</w:t>
            </w:r>
          </w:p>
        </w:tc>
        <w:tc>
          <w:tcPr>
            <w:tcW w:w="1250" w:type="pct"/>
            <w:vAlign w:val="center"/>
          </w:tcPr>
          <w:p w14:paraId="2724E002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pH传感器</w:t>
            </w:r>
          </w:p>
        </w:tc>
        <w:tc>
          <w:tcPr>
            <w:tcW w:w="1402" w:type="pct"/>
            <w:vAlign w:val="center"/>
          </w:tcPr>
          <w:p w14:paraId="4CB273D5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玻璃电极法</w:t>
            </w:r>
          </w:p>
        </w:tc>
        <w:tc>
          <w:tcPr>
            <w:tcW w:w="1098" w:type="pct"/>
            <w:vMerge w:val="continue"/>
            <w:vAlign w:val="center"/>
          </w:tcPr>
          <w:p w14:paraId="3C00A86E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</w:tr>
      <w:tr w14:paraId="74083AA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7" w:type="pct"/>
            <w:vAlign w:val="center"/>
          </w:tcPr>
          <w:p w14:paraId="65C4D90E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电导率</w:t>
            </w:r>
          </w:p>
        </w:tc>
        <w:tc>
          <w:tcPr>
            <w:tcW w:w="1250" w:type="pct"/>
            <w:vAlign w:val="center"/>
          </w:tcPr>
          <w:p w14:paraId="4BC7D1D1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电导率传感器</w:t>
            </w:r>
          </w:p>
        </w:tc>
        <w:tc>
          <w:tcPr>
            <w:tcW w:w="1402" w:type="pct"/>
            <w:vAlign w:val="center"/>
          </w:tcPr>
          <w:p w14:paraId="4BC90FB3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 xml:space="preserve">电极法 </w:t>
            </w:r>
          </w:p>
        </w:tc>
        <w:tc>
          <w:tcPr>
            <w:tcW w:w="1098" w:type="pct"/>
            <w:vMerge w:val="continue"/>
            <w:vAlign w:val="center"/>
          </w:tcPr>
          <w:p w14:paraId="5D9159F1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</w:tr>
    </w:tbl>
    <w:p w14:paraId="2CE93B49">
      <w:pPr>
        <w:ind w:firstLine="480"/>
        <w:jc w:val="both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分类二：直饮水泵房改造或传感器不能直接集成到直饮水设备内：</w:t>
      </w:r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1664"/>
        <w:gridCol w:w="1665"/>
        <w:gridCol w:w="1665"/>
        <w:gridCol w:w="1866"/>
      </w:tblGrid>
      <w:tr w14:paraId="012AEFD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pct"/>
            <w:vAlign w:val="center"/>
          </w:tcPr>
          <w:p w14:paraId="2C1F325A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核心</w:t>
            </w: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设备</w:t>
            </w:r>
          </w:p>
        </w:tc>
        <w:tc>
          <w:tcPr>
            <w:tcW w:w="1000" w:type="pct"/>
            <w:vAlign w:val="center"/>
          </w:tcPr>
          <w:p w14:paraId="3BB7D80E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监测参数</w:t>
            </w:r>
          </w:p>
        </w:tc>
        <w:tc>
          <w:tcPr>
            <w:tcW w:w="1000" w:type="pct"/>
            <w:vAlign w:val="center"/>
          </w:tcPr>
          <w:p w14:paraId="355CD6BC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设备名称</w:t>
            </w:r>
          </w:p>
        </w:tc>
        <w:tc>
          <w:tcPr>
            <w:tcW w:w="1000" w:type="pct"/>
            <w:vAlign w:val="center"/>
          </w:tcPr>
          <w:p w14:paraId="41D869F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设备原理</w:t>
            </w:r>
          </w:p>
        </w:tc>
        <w:tc>
          <w:tcPr>
            <w:tcW w:w="1000" w:type="pct"/>
            <w:vAlign w:val="center"/>
          </w:tcPr>
          <w:p w14:paraId="2A45F208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图片</w:t>
            </w:r>
          </w:p>
        </w:tc>
      </w:tr>
      <w:tr w14:paraId="7C6CADD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pct"/>
            <w:vMerge w:val="restart"/>
            <w:vAlign w:val="center"/>
          </w:tcPr>
          <w:p w14:paraId="434F44D6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直饮水水质监测系统</w:t>
            </w:r>
          </w:p>
        </w:tc>
        <w:tc>
          <w:tcPr>
            <w:tcW w:w="1000" w:type="pct"/>
            <w:vAlign w:val="center"/>
          </w:tcPr>
          <w:p w14:paraId="0DCDF0E8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余氯</w:t>
            </w:r>
          </w:p>
        </w:tc>
        <w:tc>
          <w:tcPr>
            <w:tcW w:w="1000" w:type="pct"/>
            <w:vAlign w:val="center"/>
          </w:tcPr>
          <w:p w14:paraId="257DDC15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余氯传感器</w:t>
            </w:r>
          </w:p>
        </w:tc>
        <w:tc>
          <w:tcPr>
            <w:tcW w:w="1000" w:type="pct"/>
            <w:vAlign w:val="center"/>
          </w:tcPr>
          <w:p w14:paraId="2CD44A4B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 xml:space="preserve">恒电压法 </w:t>
            </w:r>
          </w:p>
        </w:tc>
        <w:tc>
          <w:tcPr>
            <w:tcW w:w="1000" w:type="pct"/>
            <w:vMerge w:val="restart"/>
            <w:vAlign w:val="center"/>
          </w:tcPr>
          <w:p w14:paraId="4B106ED7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drawing>
                <wp:inline distT="0" distB="0" distL="114300" distR="114300">
                  <wp:extent cx="1038225" cy="1300480"/>
                  <wp:effectExtent l="0" t="0" r="9525" b="13970"/>
                  <wp:docPr id="16" name="图片 1" descr="/tmp/webword_663558690/upload_post_object_v2_249722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/tmp/webword_663558690/upload_post_object_v2_24972288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EBC41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pct"/>
            <w:vMerge w:val="continue"/>
            <w:vAlign w:val="center"/>
          </w:tcPr>
          <w:p w14:paraId="58C17EFB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  <w:tc>
          <w:tcPr>
            <w:tcW w:w="1000" w:type="pct"/>
            <w:vAlign w:val="center"/>
          </w:tcPr>
          <w:p w14:paraId="093F443F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浊度</w:t>
            </w:r>
          </w:p>
        </w:tc>
        <w:tc>
          <w:tcPr>
            <w:tcW w:w="1000" w:type="pct"/>
            <w:vAlign w:val="center"/>
          </w:tcPr>
          <w:p w14:paraId="077EBFD0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浊度传感器</w:t>
            </w:r>
          </w:p>
        </w:tc>
        <w:tc>
          <w:tcPr>
            <w:tcW w:w="1000" w:type="pct"/>
            <w:vAlign w:val="center"/>
          </w:tcPr>
          <w:p w14:paraId="6248C662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散射光法</w:t>
            </w:r>
          </w:p>
        </w:tc>
        <w:tc>
          <w:tcPr>
            <w:tcW w:w="1000" w:type="pct"/>
            <w:vMerge w:val="continue"/>
            <w:vAlign w:val="center"/>
          </w:tcPr>
          <w:p w14:paraId="3CD593D9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</w:tr>
      <w:tr w14:paraId="7A62F5A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pct"/>
            <w:vMerge w:val="continue"/>
            <w:vAlign w:val="center"/>
          </w:tcPr>
          <w:p w14:paraId="7DD15604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  <w:tc>
          <w:tcPr>
            <w:tcW w:w="1000" w:type="pct"/>
            <w:vAlign w:val="center"/>
          </w:tcPr>
          <w:p w14:paraId="669AF040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pH</w:t>
            </w:r>
          </w:p>
        </w:tc>
        <w:tc>
          <w:tcPr>
            <w:tcW w:w="1000" w:type="pct"/>
            <w:vAlign w:val="center"/>
          </w:tcPr>
          <w:p w14:paraId="0599D05B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pH传感器</w:t>
            </w:r>
          </w:p>
        </w:tc>
        <w:tc>
          <w:tcPr>
            <w:tcW w:w="1000" w:type="pct"/>
            <w:vAlign w:val="center"/>
          </w:tcPr>
          <w:p w14:paraId="181D6BF2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玻璃电极法</w:t>
            </w:r>
          </w:p>
        </w:tc>
        <w:tc>
          <w:tcPr>
            <w:tcW w:w="1000" w:type="pct"/>
            <w:vMerge w:val="continue"/>
            <w:vAlign w:val="center"/>
          </w:tcPr>
          <w:p w14:paraId="26DA58BF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</w:tr>
      <w:tr w14:paraId="2D97A82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7" w:type="pct"/>
            <w:vMerge w:val="continue"/>
            <w:vAlign w:val="center"/>
          </w:tcPr>
          <w:p w14:paraId="31ED1457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  <w:tc>
          <w:tcPr>
            <w:tcW w:w="1000" w:type="pct"/>
            <w:vAlign w:val="center"/>
          </w:tcPr>
          <w:p w14:paraId="271A08DB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电导率</w:t>
            </w:r>
          </w:p>
        </w:tc>
        <w:tc>
          <w:tcPr>
            <w:tcW w:w="1000" w:type="pct"/>
            <w:vAlign w:val="center"/>
          </w:tcPr>
          <w:p w14:paraId="3DB67BC9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电导率传感器</w:t>
            </w:r>
          </w:p>
        </w:tc>
        <w:tc>
          <w:tcPr>
            <w:tcW w:w="1000" w:type="pct"/>
            <w:vAlign w:val="center"/>
          </w:tcPr>
          <w:p w14:paraId="3BB94507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 xml:space="preserve">电极法 </w:t>
            </w:r>
          </w:p>
        </w:tc>
        <w:tc>
          <w:tcPr>
            <w:tcW w:w="1000" w:type="pct"/>
            <w:vMerge w:val="continue"/>
            <w:vAlign w:val="center"/>
          </w:tcPr>
          <w:p w14:paraId="5E61A522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</w:tc>
      </w:tr>
    </w:tbl>
    <w:p w14:paraId="45E42A75">
      <w:pPr>
        <w:ind w:firstLine="480"/>
        <w:jc w:val="center"/>
        <w:rPr>
          <w:rFonts w:hint="eastAsia"/>
          <w:color w:val="auto"/>
        </w:rPr>
      </w:pPr>
    </w:p>
    <w:p w14:paraId="5D3DAFE1">
      <w:pPr>
        <w:pStyle w:val="2"/>
        <w:rPr>
          <w:rFonts w:hint="eastAsia"/>
          <w:color w:val="auto"/>
        </w:rPr>
      </w:pPr>
      <w:bookmarkStart w:id="18" w:name="_Toc24440"/>
      <w:bookmarkStart w:id="19" w:name="_Toc10131"/>
      <w:r>
        <w:rPr>
          <w:rFonts w:hint="eastAsia"/>
          <w:color w:val="auto"/>
        </w:rPr>
        <w:t>产品介绍</w:t>
      </w:r>
      <w:bookmarkEnd w:id="18"/>
      <w:bookmarkEnd w:id="19"/>
    </w:p>
    <w:p w14:paraId="39934121">
      <w:pPr>
        <w:pStyle w:val="3"/>
        <w:rPr>
          <w:rFonts w:hint="eastAsia"/>
          <w:color w:val="auto"/>
        </w:rPr>
      </w:pPr>
      <w:bookmarkStart w:id="20" w:name="_Toc6277"/>
      <w:r>
        <w:rPr>
          <w:rFonts w:hint="eastAsia"/>
          <w:color w:val="auto"/>
        </w:rPr>
        <w:t>技术参数</w:t>
      </w:r>
      <w:bookmarkEnd w:id="20"/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185"/>
        <w:gridCol w:w="2754"/>
      </w:tblGrid>
      <w:tr w14:paraId="73F711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7" w:type="pct"/>
            <w:vAlign w:val="center"/>
          </w:tcPr>
          <w:p w14:paraId="614C5F2A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设备名称</w:t>
            </w:r>
          </w:p>
        </w:tc>
        <w:tc>
          <w:tcPr>
            <w:tcW w:w="2456" w:type="pct"/>
            <w:vAlign w:val="center"/>
          </w:tcPr>
          <w:p w14:paraId="49EBB5BC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监测参数</w:t>
            </w:r>
          </w:p>
        </w:tc>
        <w:tc>
          <w:tcPr>
            <w:tcW w:w="1616" w:type="pct"/>
            <w:vAlign w:val="center"/>
          </w:tcPr>
          <w:p w14:paraId="28AC459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图片示例</w:t>
            </w:r>
          </w:p>
        </w:tc>
      </w:tr>
      <w:tr w14:paraId="216DC91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atLeast"/>
        </w:trPr>
        <w:tc>
          <w:tcPr>
            <w:tcW w:w="927" w:type="pct"/>
            <w:shd w:val="clear" w:color="auto" w:fill="auto"/>
            <w:vAlign w:val="center"/>
          </w:tcPr>
          <w:p w14:paraId="325C0D4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在线余氯传感器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F379F10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原理：恒压法</w:t>
            </w:r>
          </w:p>
          <w:p w14:paraId="25310EEF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量程：0～2.000mg/L</w:t>
            </w:r>
          </w:p>
          <w:p w14:paraId="1B6A5B4C">
            <w:pPr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sz w:val="21"/>
                <w:szCs w:val="21"/>
              </w:rPr>
              <w:t>读数的±5%/±0.05mg/L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F700F8F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cs="Times New Roman"/>
                <w:sz w:val="28"/>
                <w:szCs w:val="28"/>
              </w:rPr>
              <w:drawing>
                <wp:inline distT="0" distB="0" distL="114300" distR="114300">
                  <wp:extent cx="254000" cy="1050925"/>
                  <wp:effectExtent l="0" t="201930" r="0" b="306070"/>
                  <wp:docPr id="23" name="图片 23" descr="64c5201a486764d6471562335dbe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4c5201a486764d6471562335dbe01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3800000">
                            <a:off x="0" y="0"/>
                            <a:ext cx="254000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7E8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9" w:hRule="atLeast"/>
        </w:trPr>
        <w:tc>
          <w:tcPr>
            <w:tcW w:w="927" w:type="pct"/>
            <w:vAlign w:val="center"/>
          </w:tcPr>
          <w:p w14:paraId="6EB11DE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在线浊度传感器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32BA44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原理：光散射</w:t>
            </w:r>
          </w:p>
          <w:p w14:paraId="3E05274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量程：0~10.000NTU</w:t>
            </w:r>
          </w:p>
          <w:p w14:paraId="22709E42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精度：±2%或±0.02NTU以大为准；±0.3℃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7ECA8F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798830" cy="1207135"/>
                  <wp:effectExtent l="0" t="0" r="1270" b="1206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2AA3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927" w:type="pct"/>
            <w:vAlign w:val="center"/>
          </w:tcPr>
          <w:p w14:paraId="5B8FF44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在线PH传感器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8D4AF2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原理：玻璃电极法</w:t>
            </w:r>
          </w:p>
          <w:p w14:paraId="55591BB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量程：0-14 pH</w:t>
            </w:r>
          </w:p>
          <w:p w14:paraId="3A771CB3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精度：±0.1 pH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4C74D6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drawing>
                <wp:inline distT="0" distB="0" distL="114300" distR="114300">
                  <wp:extent cx="326390" cy="1350645"/>
                  <wp:effectExtent l="0" t="349885" r="0" b="360045"/>
                  <wp:docPr id="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3360000">
                            <a:off x="0" y="0"/>
                            <a:ext cx="328911" cy="135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0FFA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927" w:type="pct"/>
            <w:vAlign w:val="center"/>
          </w:tcPr>
          <w:p w14:paraId="0FAC82A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在线电导率传感器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BAF580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：接触式电极法</w:t>
            </w:r>
          </w:p>
          <w:p w14:paraId="66ACA78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：0～5000 μS/cm</w:t>
            </w:r>
          </w:p>
          <w:p w14:paraId="7A0E577A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：读数的±1%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CB1C0BA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drawing>
                <wp:inline distT="0" distB="0" distL="114300" distR="114300">
                  <wp:extent cx="302260" cy="1303020"/>
                  <wp:effectExtent l="8890" t="233045" r="13970" b="241935"/>
                  <wp:docPr id="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4080000">
                            <a:off x="0" y="0"/>
                            <a:ext cx="306471" cy="131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1F8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</w:trPr>
        <w:tc>
          <w:tcPr>
            <w:tcW w:w="927" w:type="pct"/>
            <w:shd w:val="clear" w:color="auto" w:fill="auto"/>
            <w:vAlign w:val="center"/>
          </w:tcPr>
          <w:p w14:paraId="1FAF1F4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供水水质微站系统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D68C273">
            <w:pPr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集成</w:t>
            </w:r>
            <w:r>
              <w:rPr>
                <w:rFonts w:hint="eastAsia"/>
                <w:sz w:val="21"/>
                <w:szCs w:val="21"/>
              </w:rPr>
              <w:t>PH、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电导率</w:t>
            </w:r>
            <w:r>
              <w:rPr>
                <w:rFonts w:hint="eastAsia"/>
                <w:sz w:val="21"/>
                <w:szCs w:val="21"/>
              </w:rPr>
              <w:t>、浊度、余氯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等传感器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787840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1625600" cy="846455"/>
                  <wp:effectExtent l="0" t="0" r="12700" b="10795"/>
                  <wp:docPr id="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A6B9C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2" w:hRule="atLeast"/>
        </w:trPr>
        <w:tc>
          <w:tcPr>
            <w:tcW w:w="927" w:type="pct"/>
            <w:vAlign w:val="center"/>
          </w:tcPr>
          <w:p w14:paraId="61B8D99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在线全光谱多参数传感器</w:t>
            </w:r>
          </w:p>
        </w:tc>
        <w:tc>
          <w:tcPr>
            <w:tcW w:w="2456" w:type="pct"/>
            <w:vAlign w:val="center"/>
          </w:tcPr>
          <w:p w14:paraId="763C641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：全光谱吸收法</w:t>
            </w:r>
          </w:p>
          <w:p w14:paraId="65C7D5CC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</w:t>
            </w:r>
          </w:p>
          <w:p w14:paraId="27E8C7B1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COD：0～200mg/Lequiv. KHP；色度：0～500Hazen；TOC：0～150mg/L；浊度：0～400NTU；BOD：0～150mg/L；UV254：0～1.5AU；TP：0～15mg/L；TN：0～100mg/L；NHN：0～80mg/L；硝酸盐：0～15mg/L；亚硝酸盐：0～10mg/L；CODMn：0～100mg/L</w:t>
            </w:r>
          </w:p>
          <w:p w14:paraId="2CF7EBB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：±5%F.S.</w:t>
            </w:r>
          </w:p>
        </w:tc>
        <w:tc>
          <w:tcPr>
            <w:tcW w:w="1616" w:type="pct"/>
            <w:vAlign w:val="center"/>
          </w:tcPr>
          <w:p w14:paraId="0F043343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drawing>
                <wp:inline distT="0" distB="0" distL="114300" distR="114300">
                  <wp:extent cx="426085" cy="1622425"/>
                  <wp:effectExtent l="0" t="220345" r="0" b="328930"/>
                  <wp:docPr id="51" name="图片 7" descr="C:/Users/lina/Desktop/FUV-408-.pngFUV-40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7" descr="C:/Users/lina/Desktop/FUV-408-.pngFUV-408-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9555" r="30036"/>
                          <a:stretch>
                            <a:fillRect/>
                          </a:stretch>
                        </pic:blipFill>
                        <pic:spPr>
                          <a:xfrm rot="3540000">
                            <a:off x="0" y="0"/>
                            <a:ext cx="42608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FE04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927" w:type="pct"/>
            <w:vAlign w:val="center"/>
          </w:tcPr>
          <w:p w14:paraId="5F9F8717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便携式多参数分析仪</w:t>
            </w:r>
          </w:p>
        </w:tc>
        <w:tc>
          <w:tcPr>
            <w:tcW w:w="2456" w:type="pct"/>
            <w:vAlign w:val="center"/>
          </w:tcPr>
          <w:p w14:paraId="060E712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检测参数：COD、 高锰酸盐指数、氨氮、总磷、总氮、硝酸盐氮、亚硝酸盐氮、磷酸盐、硫酸盐、亚硫酸盐、硫化物、余氯、重金属（铜镍锌锰）等</w:t>
            </w:r>
          </w:p>
          <w:p w14:paraId="73167E16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工作波长范围：420nm 520nm，580nm，610nm；波长半宽度：5±2（nm）；</w:t>
            </w:r>
          </w:p>
          <w:p w14:paraId="40F00B4D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仪器的检测范围：吸光度值0.000-3.000；</w:t>
            </w:r>
          </w:p>
          <w:p w14:paraId="53EE65CF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光源灯：冷光源；</w:t>
            </w:r>
          </w:p>
          <w:p w14:paraId="7BC4920F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分辨率：0.001；</w:t>
            </w:r>
          </w:p>
        </w:tc>
        <w:tc>
          <w:tcPr>
            <w:tcW w:w="1616" w:type="pct"/>
            <w:vAlign w:val="center"/>
          </w:tcPr>
          <w:p w14:paraId="593F0DB7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bidi="ar"/>
              </w:rPr>
              <w:drawing>
                <wp:inline distT="0" distB="0" distL="114300" distR="114300">
                  <wp:extent cx="828675" cy="1152525"/>
                  <wp:effectExtent l="0" t="0" r="9525" b="5715"/>
                  <wp:docPr id="1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2EB1A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927" w:type="pct"/>
            <w:vAlign w:val="center"/>
          </w:tcPr>
          <w:p w14:paraId="461054C3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手持</w:t>
            </w:r>
            <w:r>
              <w:rPr>
                <w:rFonts w:hint="eastAsia"/>
                <w:sz w:val="21"/>
                <w:szCs w:val="21"/>
              </w:rPr>
              <w:t>式多参数检测仪</w:t>
            </w:r>
          </w:p>
        </w:tc>
        <w:tc>
          <w:tcPr>
            <w:tcW w:w="2456" w:type="pct"/>
            <w:vAlign w:val="center"/>
          </w:tcPr>
          <w:p w14:paraId="7B90940E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显示：3.3 英寸单色液晶显示屏</w:t>
            </w:r>
          </w:p>
          <w:p w14:paraId="748CC76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外形尺寸：200mm*101mm*36mm</w:t>
            </w:r>
          </w:p>
          <w:p w14:paraId="57CAD764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防护等级：IP67</w:t>
            </w:r>
          </w:p>
        </w:tc>
        <w:tc>
          <w:tcPr>
            <w:tcW w:w="1616" w:type="pct"/>
            <w:vAlign w:val="center"/>
          </w:tcPr>
          <w:p w14:paraId="5DDC0167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/>
                <w:sz w:val="28"/>
                <w:szCs w:val="28"/>
                <w:lang w:bidi="ar"/>
              </w:rPr>
              <w:drawing>
                <wp:inline distT="0" distB="0" distL="114300" distR="114300">
                  <wp:extent cx="733425" cy="1333500"/>
                  <wp:effectExtent l="0" t="0" r="13335" b="7620"/>
                  <wp:docPr id="11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AF13B">
      <w:pPr>
        <w:rPr>
          <w:rFonts w:hint="eastAsia"/>
        </w:rPr>
      </w:pPr>
    </w:p>
    <w:p w14:paraId="175BC343">
      <w:pPr>
        <w:pStyle w:val="3"/>
        <w:rPr>
          <w:rFonts w:hint="eastAsia"/>
          <w:color w:val="auto"/>
        </w:rPr>
      </w:pPr>
      <w:bookmarkStart w:id="21" w:name="_Toc15374"/>
      <w:r>
        <w:rPr>
          <w:rFonts w:hint="eastAsia"/>
          <w:color w:val="auto"/>
        </w:rPr>
        <w:t>场景适配性</w:t>
      </w:r>
      <w:bookmarkEnd w:id="21"/>
    </w:p>
    <w:p w14:paraId="365EAC32">
      <w:pPr>
        <w:rPr>
          <w:rFonts w:hint="eastAsia"/>
          <w:color w:val="auto"/>
        </w:rPr>
      </w:pPr>
      <w:r>
        <w:rPr>
          <w:rFonts w:hint="eastAsia"/>
          <w:color w:val="auto"/>
        </w:rPr>
        <w:t xml:space="preserve">体积小、功能强、投入少，可长期连续在线监测，连续、实时、准确地监测目标水域的水质及其变化状况。测量数据可通过无线通讯方式远程传输到服务器，客户可通过手机 </w:t>
      </w:r>
      <w:r>
        <w:rPr>
          <w:color w:val="auto"/>
        </w:rPr>
        <w:t xml:space="preserve">APP </w:t>
      </w:r>
      <w:r>
        <w:rPr>
          <w:rFonts w:hint="eastAsia"/>
          <w:color w:val="auto"/>
        </w:rPr>
        <w:t>或网站实时获得监测数据。</w:t>
      </w:r>
    </w:p>
    <w:p w14:paraId="5CB5BFDB">
      <w:pPr>
        <w:ind w:firstLine="480"/>
        <w:rPr>
          <w:rFonts w:hint="eastAsia"/>
          <w:color w:val="auto"/>
        </w:rPr>
      </w:pPr>
    </w:p>
    <w:p w14:paraId="438E2AF2">
      <w:pPr>
        <w:pStyle w:val="2"/>
        <w:rPr>
          <w:rFonts w:hint="eastAsia"/>
          <w:color w:val="auto"/>
        </w:rPr>
      </w:pPr>
      <w:bookmarkStart w:id="22" w:name="_Toc27010"/>
      <w:bookmarkStart w:id="23" w:name="_Toc18239"/>
      <w:r>
        <w:rPr>
          <w:rFonts w:hint="eastAsia"/>
          <w:color w:val="auto"/>
        </w:rPr>
        <w:t>设备寿命及维护</w:t>
      </w:r>
      <w:bookmarkEnd w:id="22"/>
      <w:bookmarkEnd w:id="23"/>
    </w:p>
    <w:p w14:paraId="40125F74">
      <w:pPr>
        <w:pStyle w:val="3"/>
        <w:rPr>
          <w:rFonts w:hint="eastAsia"/>
          <w:color w:val="auto"/>
        </w:rPr>
      </w:pPr>
      <w:bookmarkStart w:id="24" w:name="_Toc31099"/>
      <w:r>
        <w:rPr>
          <w:rFonts w:hint="eastAsia"/>
          <w:color w:val="auto"/>
        </w:rPr>
        <w:t>设备寿命周期与维护周期表</w:t>
      </w:r>
      <w:bookmarkEnd w:id="24"/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2839"/>
        <w:gridCol w:w="2841"/>
      </w:tblGrid>
      <w:tr w14:paraId="43702D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E63A8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设备名称</w:t>
            </w:r>
          </w:p>
        </w:tc>
        <w:tc>
          <w:tcPr>
            <w:tcW w:w="1666" w:type="pct"/>
            <w:vAlign w:val="center"/>
          </w:tcPr>
          <w:p w14:paraId="4046E9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维护周期</w:t>
            </w:r>
          </w:p>
        </w:tc>
        <w:tc>
          <w:tcPr>
            <w:tcW w:w="1667" w:type="pct"/>
            <w:vAlign w:val="center"/>
          </w:tcPr>
          <w:p w14:paraId="7B88A0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使用寿命</w:t>
            </w:r>
          </w:p>
        </w:tc>
      </w:tr>
      <w:tr w14:paraId="1003ED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3C7C6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在线余氯传感器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C881E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D0125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1年</w:t>
            </w:r>
          </w:p>
        </w:tc>
      </w:tr>
      <w:tr w14:paraId="6AA4F0D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01B769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在线浊度传感器</w:t>
            </w:r>
          </w:p>
        </w:tc>
        <w:tc>
          <w:tcPr>
            <w:tcW w:w="1666" w:type="pct"/>
            <w:vAlign w:val="center"/>
          </w:tcPr>
          <w:p w14:paraId="744CA3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3B2DE4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224784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37889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在线PH传感器</w:t>
            </w:r>
          </w:p>
        </w:tc>
        <w:tc>
          <w:tcPr>
            <w:tcW w:w="1666" w:type="pct"/>
            <w:vAlign w:val="center"/>
          </w:tcPr>
          <w:p w14:paraId="4D345B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60097D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1年</w:t>
            </w:r>
          </w:p>
        </w:tc>
      </w:tr>
      <w:tr w14:paraId="0BBFDF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8F555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在线电导率传感器</w:t>
            </w:r>
          </w:p>
        </w:tc>
        <w:tc>
          <w:tcPr>
            <w:tcW w:w="1666" w:type="pct"/>
            <w:vAlign w:val="center"/>
          </w:tcPr>
          <w:p w14:paraId="3BD2E6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71CC26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6E7F6A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1C4E09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在线全光谱多参数传感器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B23CA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53072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1CB9FE0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073A70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便携式多参数分析仪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9B6F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56404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</w:tbl>
    <w:p w14:paraId="16AF0257">
      <w:pPr>
        <w:pStyle w:val="3"/>
        <w:rPr>
          <w:rFonts w:hint="eastAsia"/>
          <w:color w:val="auto"/>
        </w:rPr>
      </w:pPr>
      <w:bookmarkStart w:id="25" w:name="_Toc1999"/>
      <w:r>
        <w:rPr>
          <w:rFonts w:hint="eastAsia"/>
          <w:color w:val="auto"/>
          <w:lang w:val="en-US" w:eastAsia="zh-CN"/>
        </w:rPr>
        <w:t>设备</w:t>
      </w:r>
      <w:r>
        <w:rPr>
          <w:rFonts w:hint="eastAsia"/>
          <w:color w:val="auto"/>
        </w:rPr>
        <w:t>日常维护</w:t>
      </w:r>
      <w:bookmarkEnd w:id="25"/>
    </w:p>
    <w:p w14:paraId="6821D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在线余氯传感器</w:t>
      </w:r>
      <w:r>
        <w:rPr>
          <w:rFonts w:hint="eastAsia"/>
          <w:b/>
          <w:bCs/>
          <w:lang w:eastAsia="zh-CN"/>
        </w:rPr>
        <w:t>：</w:t>
      </w:r>
    </w:p>
    <w:p w14:paraId="14E0F3B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（1）新电极和长期放置的电极使用前，放自来水中静置24小时活化；初次或长期干燥放置（超半月），不通电在3mol/L KCL溶液浸泡2h以上活化，再在含氯流通溶液中极化2h以上（可至24h，先通水后通电）。</w:t>
      </w:r>
    </w:p>
    <w:p w14:paraId="6D8C1FB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（2）校准操作若返回数值不准确，对传感器进行零点和斜率校准。</w:t>
      </w:r>
    </w:p>
    <w:p w14:paraId="6D0D7123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（3）传感器长期不用时，用纯净水清洗探头，放于含3mol/L KCL溶液的保护罩内储存。</w:t>
      </w:r>
    </w:p>
    <w:p w14:paraId="71011D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在线浊度传感器</w:t>
      </w:r>
      <w:r>
        <w:rPr>
          <w:rFonts w:hint="eastAsia"/>
          <w:b/>
          <w:bCs/>
          <w:lang w:eastAsia="zh-CN"/>
        </w:rPr>
        <w:t>：</w:t>
      </w:r>
    </w:p>
    <w:p w14:paraId="6E542AF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（1）外表面清洁自来水冲洗表面，软布擦拭残留碎屑，顽固污垢可用稀释家用洗涤液清洗。  </w:t>
      </w:r>
    </w:p>
    <w:p w14:paraId="398D667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（2）线缆检查确保线缆松弛无绷紧，避免内部断裂导致故障。  </w:t>
      </w:r>
    </w:p>
    <w:p w14:paraId="087CDDC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（3）测量窗口维护检查测量窗口是否脏污，清洁刷是否正常工作。  </w:t>
      </w:r>
    </w:p>
    <w:p w14:paraId="03F298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在线PH传感器</w:t>
      </w:r>
      <w:r>
        <w:rPr>
          <w:rFonts w:hint="eastAsia"/>
          <w:b/>
          <w:bCs/>
          <w:lang w:eastAsia="zh-CN"/>
        </w:rPr>
        <w:t>：</w:t>
      </w:r>
    </w:p>
    <w:p w14:paraId="2516CE0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（1）测量前用蒸馏水洗净并擦干传感器，插入被测液1/3深度，防杂质污染。</w:t>
      </w:r>
    </w:p>
    <w:p w14:paraId="28A2072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（2）闲置保养，洗净后浸泡于3mol/L氯化钾溶液中（保护套或容器），维持电极性能。</w:t>
      </w:r>
    </w:p>
    <w:p w14:paraId="60C00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在线电导率传感器</w:t>
      </w:r>
      <w:r>
        <w:rPr>
          <w:rFonts w:hint="eastAsia"/>
          <w:b/>
          <w:bCs/>
          <w:lang w:eastAsia="zh-CN"/>
        </w:rPr>
        <w:t>：</w:t>
      </w:r>
    </w:p>
    <w:p w14:paraId="123065F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（1）用软毛刷清除附着物（防划伤），蒸馏水洗净后校准。  </w:t>
      </w:r>
    </w:p>
    <w:p w14:paraId="12EF5C8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（2）根据工况调整校准频率，确保测量准确性。</w:t>
      </w:r>
    </w:p>
    <w:p w14:paraId="5601E0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在线全光谱多参数传感器：</w:t>
      </w:r>
    </w:p>
    <w:p w14:paraId="410A3761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（1）定期用自来水清洗外表面，若有碎屑残留，用湿润软布擦拭；顽固污垢可加家用洗涤液清洗。</w:t>
      </w:r>
    </w:p>
    <w:p w14:paraId="46AD25D5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（2）查看线缆是否绷紧、测量窗口有无脏污、清洁刷是否正常及有无损坏。</w:t>
      </w:r>
    </w:p>
    <w:p w14:paraId="07BCEEDC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（3）校准传感器，在使用前将传感器置入去离子水，保证光路浸没且无气泡，发送光谱校准指令完成校准。</w:t>
      </w:r>
    </w:p>
    <w:p w14:paraId="76E34369">
      <w:pPr>
        <w:pStyle w:val="3"/>
        <w:rPr>
          <w:rFonts w:hint="eastAsia"/>
          <w:color w:val="auto"/>
        </w:rPr>
      </w:pPr>
      <w:bookmarkStart w:id="26" w:name="_Toc19563"/>
      <w:r>
        <w:rPr>
          <w:rFonts w:hint="eastAsia"/>
          <w:color w:val="auto"/>
          <w:lang w:val="en-US" w:eastAsia="zh-CN"/>
        </w:rPr>
        <w:t>设备</w:t>
      </w:r>
      <w:r>
        <w:rPr>
          <w:rFonts w:hint="eastAsia"/>
          <w:color w:val="auto"/>
        </w:rPr>
        <w:t>维护注意事项</w:t>
      </w:r>
      <w:bookmarkEnd w:id="26"/>
    </w:p>
    <w:p w14:paraId="4C2453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在线余氯传感器</w:t>
      </w:r>
      <w:r>
        <w:rPr>
          <w:rFonts w:hint="eastAsia"/>
          <w:b/>
          <w:bCs/>
          <w:lang w:eastAsia="zh-CN"/>
        </w:rPr>
        <w:t>：</w:t>
      </w:r>
    </w:p>
    <w:p w14:paraId="5531529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（1）测试水样PH应维持在6.00-8.00范围内，避免将传感器长期浸泡在无氯的水样中。</w:t>
      </w:r>
    </w:p>
    <w:p w14:paraId="0B059DB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（2）测试过程传感器持续浸泡在水样中，禁止通电干烧；停止测量先断电，后断水。</w:t>
      </w:r>
    </w:p>
    <w:p w14:paraId="3A96C94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（3）若校准后数值仍不准确，可返厂检查。</w:t>
      </w:r>
    </w:p>
    <w:p w14:paraId="6392EBA5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（4）建议搭配流通池使用，流量控制在30-60L/h 。 </w:t>
      </w:r>
    </w:p>
    <w:p w14:paraId="0009D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在线浊度传感器</w:t>
      </w:r>
      <w:r>
        <w:rPr>
          <w:rFonts w:hint="eastAsia"/>
          <w:b/>
          <w:bCs/>
          <w:lang w:eastAsia="zh-CN"/>
        </w:rPr>
        <w:t>：</w:t>
      </w:r>
    </w:p>
    <w:p w14:paraId="6E081AD4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（1）使用时取下保护套，闲置时及时安装，防止探头划伤。  </w:t>
      </w:r>
    </w:p>
    <w:p w14:paraId="355968E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（2）避免探头附着气泡，保持探头离容器底/壁≥100mm。  </w:t>
      </w:r>
    </w:p>
    <w:p w14:paraId="6E0EAC9E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（3）避免剧烈撞击，防止光学/电子部件损坏。  </w:t>
      </w:r>
    </w:p>
    <w:p w14:paraId="3904AC81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（4）禁止在含荧光物质的容器中测试，防止干扰。  </w:t>
      </w:r>
    </w:p>
    <w:p w14:paraId="55C105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在线PH传感器</w:t>
      </w:r>
      <w:r>
        <w:rPr>
          <w:rFonts w:hint="eastAsia"/>
          <w:b/>
          <w:bCs/>
          <w:lang w:eastAsia="zh-CN"/>
        </w:rPr>
        <w:t>：</w:t>
      </w:r>
    </w:p>
    <w:p w14:paraId="5D04BD84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（1）用无水酒精擦拭接线端子上的沾污，确保干燥后使用。</w:t>
      </w:r>
    </w:p>
    <w:p w14:paraId="68B481C0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（2）勿长期浸泡蒸馏水/蛋白质溶液，远离有机硅油脂。</w:t>
      </w:r>
    </w:p>
    <w:p w14:paraId="59F94A84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（3）玻璃膜老化/沉积时，用稀盐酸清洗后水洗，必要时重新标定。</w:t>
      </w:r>
    </w:p>
    <w:p w14:paraId="253145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在线电导率传感器</w:t>
      </w:r>
      <w:r>
        <w:rPr>
          <w:rFonts w:hint="eastAsia"/>
          <w:b/>
          <w:bCs/>
          <w:lang w:eastAsia="zh-CN"/>
        </w:rPr>
        <w:t>：</w:t>
      </w:r>
    </w:p>
    <w:p w14:paraId="19016FE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（1）校准与测试时电极需完全浸入标准液（无气泡），距容器底/壁≥2cm。  </w:t>
      </w:r>
    </w:p>
    <w:p w14:paraId="23A8AEA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（2）石墨电极使用前需用自来水浸泡1小时，闲置时保持湿润。  </w:t>
      </w:r>
    </w:p>
    <w:p w14:paraId="3C7EECC7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 非防水端子避免浸水，线缆需松弛固定，防止摩擦或断裂。  </w:t>
      </w:r>
    </w:p>
    <w:p w14:paraId="2FA90198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（4）避免与有机硅油脂接触。  </w:t>
      </w:r>
    </w:p>
    <w:p w14:paraId="1A4DD4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在线全光谱多参数传感器：</w:t>
      </w:r>
    </w:p>
    <w:p w14:paraId="33F771BF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（1）防止传感器受到剧烈机械撞击，使用中避免对其直接施加机械应力（压力、划痕等）。</w:t>
      </w:r>
    </w:p>
    <w:p w14:paraId="2CE52806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（2）避免传感器被阳光暴晒，不要用手触摸传感器。</w:t>
      </w:r>
    </w:p>
    <w:p w14:paraId="4A5DFCE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（3）测量和校准时，确保传感器表面无气泡附着。</w:t>
      </w:r>
    </w:p>
    <w:p w14:paraId="0A1BB373">
      <w:pPr>
        <w:pStyle w:val="2"/>
        <w:rPr>
          <w:rFonts w:hint="eastAsia"/>
          <w:color w:val="auto"/>
        </w:rPr>
      </w:pPr>
      <w:bookmarkStart w:id="27" w:name="_Toc18219"/>
      <w:bookmarkStart w:id="28" w:name="_Toc21439"/>
      <w:r>
        <w:rPr>
          <w:rFonts w:hint="eastAsia"/>
          <w:color w:val="auto"/>
        </w:rPr>
        <w:t>案例展示</w:t>
      </w:r>
      <w:bookmarkEnd w:id="27"/>
      <w:bookmarkEnd w:id="28"/>
    </w:p>
    <w:p w14:paraId="63BFE77E">
      <w:pPr>
        <w:pStyle w:val="3"/>
        <w:rPr>
          <w:rFonts w:hint="eastAsia"/>
          <w:color w:val="auto"/>
        </w:rPr>
      </w:pPr>
      <w:bookmarkStart w:id="29" w:name="_Toc4732"/>
      <w:r>
        <w:rPr>
          <w:rFonts w:hint="eastAsia"/>
          <w:color w:val="auto"/>
        </w:rPr>
        <w:t>案例1：丹东某小区直饮水泵房</w:t>
      </w:r>
      <w:bookmarkEnd w:id="29"/>
    </w:p>
    <w:p w14:paraId="5420A6C3">
      <w:pPr>
        <w:ind w:firstLine="482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客户痛点：</w:t>
      </w:r>
    </w:p>
    <w:p w14:paraId="03AA6674">
      <w:pPr>
        <w:rPr>
          <w:rFonts w:hint="eastAsia"/>
          <w:color w:val="auto"/>
        </w:rPr>
      </w:pPr>
      <w:r>
        <w:rPr>
          <w:rFonts w:hint="eastAsia"/>
          <w:color w:val="auto"/>
        </w:rPr>
        <w:t>水质不稳定：居民反映直饮水口感时好时坏，怀疑水质不达标。</w:t>
      </w:r>
    </w:p>
    <w:p w14:paraId="3B291AED">
      <w:pPr>
        <w:rPr>
          <w:rFonts w:hint="eastAsia"/>
          <w:color w:val="auto"/>
        </w:rPr>
      </w:pPr>
      <w:r>
        <w:rPr>
          <w:rFonts w:hint="eastAsia"/>
          <w:color w:val="auto"/>
        </w:rPr>
        <w:t>缺乏实时监测：物业无法实时掌握水质数据，依赖定期送检，反馈滞后。</w:t>
      </w:r>
    </w:p>
    <w:p w14:paraId="32FAC513">
      <w:pPr>
        <w:rPr>
          <w:rFonts w:hint="eastAsia"/>
          <w:color w:val="auto"/>
        </w:rPr>
      </w:pPr>
      <w:r>
        <w:rPr>
          <w:rFonts w:hint="eastAsia"/>
          <w:color w:val="auto"/>
        </w:rPr>
        <w:t>居民信任度低：由于水质数据不透明，居民对直饮水安全性存疑。</w:t>
      </w:r>
    </w:p>
    <w:p w14:paraId="59672E9C">
      <w:pPr>
        <w:ind w:firstLine="482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解决方案：</w:t>
      </w:r>
    </w:p>
    <w:p w14:paraId="6674062A">
      <w:pPr>
        <w:rPr>
          <w:rFonts w:hint="eastAsia"/>
          <w:color w:val="auto"/>
        </w:rPr>
      </w:pPr>
      <w:r>
        <w:rPr>
          <w:rFonts w:hint="eastAsia"/>
          <w:color w:val="auto"/>
        </w:rPr>
        <w:t>多参数设备（余氯、浊度、PH、电导率）</w:t>
      </w:r>
    </w:p>
    <w:p w14:paraId="0C1D5DE4">
      <w:pPr>
        <w:ind w:firstLine="482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实施效果：</w:t>
      </w:r>
    </w:p>
    <w:p w14:paraId="5DA7A521">
      <w:pPr>
        <w:rPr>
          <w:rFonts w:hint="eastAsia"/>
          <w:color w:val="auto"/>
        </w:rPr>
      </w:pPr>
      <w:r>
        <w:rPr>
          <w:color w:val="auto"/>
        </w:rPr>
        <w:t>安装在线监测系统：在供水管网关键节点安装多参数水质监测设备，实时监测电导率、pH值、余氯等指标。</w:t>
      </w:r>
    </w:p>
    <w:p w14:paraId="0376D0C3">
      <w:pPr>
        <w:rPr>
          <w:rFonts w:hint="eastAsia"/>
          <w:color w:val="auto"/>
        </w:rPr>
      </w:pPr>
      <w:r>
        <w:rPr>
          <w:color w:val="auto"/>
        </w:rPr>
        <w:t>数据透明化：通过小区APP实时推送水质数据，居民可随时查看。</w:t>
      </w:r>
    </w:p>
    <w:p w14:paraId="0033804A">
      <w:pPr>
        <w:rPr>
          <w:rFonts w:hint="eastAsia"/>
          <w:color w:val="auto"/>
        </w:rPr>
      </w:pPr>
      <w:r>
        <w:rPr>
          <w:color w:val="auto"/>
        </w:rPr>
        <w:t>水质改善：根据监测数据优化水处理设备运行参数，确保水质稳定。</w:t>
      </w:r>
    </w:p>
    <w:p w14:paraId="52CD5A3E">
      <w:pPr>
        <w:rPr>
          <w:color w:val="auto"/>
        </w:rPr>
      </w:pPr>
      <w:r>
        <w:rPr>
          <w:color w:val="auto"/>
        </w:rPr>
        <w:t>居民满意度提升：水质数据透明化后，居民信任度显著提高，投诉率下降90%。</w:t>
      </w:r>
    </w:p>
    <w:p w14:paraId="5509584D">
      <w:pPr>
        <w:rPr>
          <w:rFonts w:hint="default" w:eastAsia="宋体"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安装方式：</w:t>
      </w:r>
      <w:r>
        <w:rPr>
          <w:rFonts w:hint="eastAsia"/>
          <w:color w:val="auto"/>
          <w:lang w:val="en-US" w:eastAsia="zh-CN"/>
        </w:rPr>
        <w:t>传感器直接集成到直饮水设备中。</w:t>
      </w:r>
    </w:p>
    <w:p w14:paraId="01DD9A52">
      <w:pPr>
        <w:ind w:firstLine="0" w:firstLineChars="0"/>
        <w:jc w:val="center"/>
        <w:rPr>
          <w:rFonts w:hint="eastAsia"/>
          <w:color w:val="auto"/>
        </w:rPr>
      </w:pPr>
      <w:r>
        <w:rPr>
          <w:color w:val="auto"/>
        </w:rPr>
        <w:drawing>
          <wp:inline distT="0" distB="0" distL="0" distR="0">
            <wp:extent cx="2508885" cy="1948180"/>
            <wp:effectExtent l="0" t="0" r="571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2"/>
                    <a:stretch>
                      <a:fillRect/>
                    </a:stretch>
                  </pic:blipFill>
                  <pic:spPr>
                    <a:xfrm>
                      <a:off x="0" y="0"/>
                      <a:ext cx="2519825" cy="19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459990" cy="1915160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rcRect t="7363"/>
                    <a:stretch>
                      <a:fillRect/>
                    </a:stretch>
                  </pic:blipFill>
                  <pic:spPr>
                    <a:xfrm>
                      <a:off x="0" y="0"/>
                      <a:ext cx="2471347" cy="19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0" distR="0">
            <wp:extent cx="2642870" cy="182943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1" r="8526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463165" cy="1845945"/>
            <wp:effectExtent l="0" t="0" r="0" b="19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5E18E">
      <w:pPr>
        <w:pStyle w:val="3"/>
        <w:rPr>
          <w:rFonts w:hint="eastAsia"/>
          <w:color w:val="auto"/>
        </w:rPr>
      </w:pPr>
      <w:bookmarkStart w:id="30" w:name="_Toc7046"/>
      <w:r>
        <w:rPr>
          <w:rFonts w:hint="eastAsia"/>
          <w:color w:val="auto"/>
        </w:rPr>
        <w:t>案例2：山东某</w:t>
      </w:r>
      <w:r>
        <w:rPr>
          <w:rFonts w:hint="eastAsia"/>
          <w:color w:val="auto"/>
          <w:lang w:val="en-US" w:eastAsia="zh-CN"/>
        </w:rPr>
        <w:t>学校</w:t>
      </w:r>
      <w:r>
        <w:rPr>
          <w:rFonts w:hint="eastAsia"/>
          <w:color w:val="auto"/>
        </w:rPr>
        <w:t>直饮水泵房</w:t>
      </w:r>
      <w:bookmarkEnd w:id="30"/>
    </w:p>
    <w:p w14:paraId="1E5ACD0C">
      <w:pPr>
        <w:ind w:firstLine="482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客户痛点：</w:t>
      </w:r>
    </w:p>
    <w:p w14:paraId="1C790247">
      <w:pPr>
        <w:rPr>
          <w:rFonts w:hint="eastAsia"/>
          <w:color w:val="auto"/>
        </w:rPr>
      </w:pPr>
      <w:r>
        <w:rPr>
          <w:rFonts w:hint="eastAsia"/>
          <w:color w:val="auto"/>
        </w:rPr>
        <w:t>学生健康风险：学校担心直饮水水质不达标，影响学生健康。</w:t>
      </w:r>
    </w:p>
    <w:p w14:paraId="69592B1E">
      <w:pPr>
        <w:rPr>
          <w:rFonts w:hint="eastAsia"/>
          <w:color w:val="auto"/>
        </w:rPr>
      </w:pPr>
      <w:r>
        <w:rPr>
          <w:rFonts w:hint="eastAsia"/>
          <w:color w:val="auto"/>
        </w:rPr>
        <w:t>设备维护困难：缺乏专业维护人员，设备故障后无法及时修复。</w:t>
      </w:r>
    </w:p>
    <w:p w14:paraId="1CD80920">
      <w:pPr>
        <w:rPr>
          <w:rFonts w:hint="eastAsia"/>
          <w:color w:val="auto"/>
        </w:rPr>
      </w:pPr>
      <w:r>
        <w:rPr>
          <w:rFonts w:hint="eastAsia"/>
          <w:color w:val="auto"/>
        </w:rPr>
        <w:t>成本压力：实验室检测费用高，学校预算有限。</w:t>
      </w:r>
    </w:p>
    <w:p w14:paraId="26E2C155">
      <w:pPr>
        <w:ind w:firstLine="482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解决方案：</w:t>
      </w:r>
    </w:p>
    <w:p w14:paraId="641F8FE6">
      <w:pPr>
        <w:rPr>
          <w:rFonts w:hint="eastAsia"/>
          <w:color w:val="auto"/>
        </w:rPr>
      </w:pPr>
      <w:r>
        <w:rPr>
          <w:rFonts w:hint="eastAsia"/>
          <w:color w:val="auto"/>
        </w:rPr>
        <w:t>多参数设备（余氯、浊度、PH、电导率）</w:t>
      </w:r>
    </w:p>
    <w:p w14:paraId="29E06956">
      <w:pPr>
        <w:ind w:firstLine="482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实施效果：</w:t>
      </w:r>
    </w:p>
    <w:p w14:paraId="2135C89C">
      <w:pPr>
        <w:rPr>
          <w:rFonts w:hint="eastAsia"/>
          <w:color w:val="auto"/>
        </w:rPr>
      </w:pPr>
      <w:r>
        <w:rPr>
          <w:color w:val="auto"/>
        </w:rPr>
        <w:t>部署便携式检测设备：定期对直饮水进行现场检测，降低实验室检测成本。</w:t>
      </w:r>
    </w:p>
    <w:p w14:paraId="275DBD46">
      <w:pPr>
        <w:rPr>
          <w:rFonts w:hint="eastAsia"/>
          <w:color w:val="auto"/>
        </w:rPr>
      </w:pPr>
      <w:r>
        <w:rPr>
          <w:color w:val="auto"/>
        </w:rPr>
        <w:t>远程监控与预警：安装远程监测系统，实时监控水质，异常时自动报警。</w:t>
      </w:r>
    </w:p>
    <w:p w14:paraId="5232ED89">
      <w:pPr>
        <w:rPr>
          <w:rFonts w:hint="eastAsia"/>
          <w:color w:val="auto"/>
        </w:rPr>
      </w:pPr>
      <w:r>
        <w:rPr>
          <w:color w:val="auto"/>
        </w:rPr>
        <w:t>维护服务：与专业公司合作，提供设备维护和校准服务，确保系统稳定运行。</w:t>
      </w:r>
    </w:p>
    <w:p w14:paraId="06CF8913">
      <w:pPr>
        <w:rPr>
          <w:color w:val="auto"/>
        </w:rPr>
      </w:pPr>
      <w:r>
        <w:rPr>
          <w:color w:val="auto"/>
        </w:rPr>
        <w:t>水质达标率提升：通过持续监测和优化，水质达标率从80%提升至98%。</w:t>
      </w:r>
    </w:p>
    <w:p w14:paraId="2C23B4EF">
      <w:pPr>
        <w:rPr>
          <w:rFonts w:hint="eastAsia"/>
          <w:color w:val="auto"/>
        </w:rPr>
      </w:pPr>
      <w:r>
        <w:rPr>
          <w:rFonts w:hint="eastAsia"/>
          <w:b/>
          <w:bCs/>
          <w:color w:val="auto"/>
          <w:lang w:val="en-US" w:eastAsia="zh-CN"/>
        </w:rPr>
        <w:t>安装方式：</w:t>
      </w:r>
      <w:r>
        <w:rPr>
          <w:rFonts w:hint="eastAsia"/>
          <w:color w:val="auto"/>
          <w:lang w:val="en-US" w:eastAsia="zh-CN"/>
        </w:rPr>
        <w:t>传感器直接集成到直饮水设备中。</w:t>
      </w:r>
    </w:p>
    <w:p w14:paraId="05BAD243">
      <w:pPr>
        <w:ind w:firstLine="48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724785" cy="1911985"/>
            <wp:effectExtent l="0" t="0" r="3175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rcRect r="8706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105025" cy="1919605"/>
            <wp:effectExtent l="0" t="0" r="13335" b="6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rcRect t="3287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3585845" cy="2752090"/>
            <wp:effectExtent l="0" t="0" r="10795" b="635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4FA8">
      <w:pPr>
        <w:pStyle w:val="3"/>
        <w:rPr>
          <w:rFonts w:hint="eastAsia"/>
        </w:rPr>
      </w:pPr>
      <w:bookmarkStart w:id="31" w:name="_Toc9811"/>
      <w:r>
        <w:rPr>
          <w:rFonts w:hint="eastAsia"/>
          <w:lang w:val="en-US" w:eastAsia="zh-CN"/>
        </w:rPr>
        <w:t>案例3：四川</w:t>
      </w:r>
      <w:r>
        <w:rPr>
          <w:rFonts w:hint="eastAsia"/>
        </w:rPr>
        <w:t>某</w:t>
      </w:r>
      <w:r>
        <w:rPr>
          <w:rFonts w:hint="eastAsia"/>
          <w:lang w:val="en-US" w:eastAsia="zh-CN"/>
        </w:rPr>
        <w:t>高端小区直饮</w:t>
      </w:r>
      <w:r>
        <w:rPr>
          <w:rFonts w:hint="eastAsia"/>
        </w:rPr>
        <w:t>水泵房</w:t>
      </w:r>
      <w:bookmarkEnd w:id="31"/>
    </w:p>
    <w:p w14:paraId="5DF87B4B">
      <w:pPr>
        <w:ind w:firstLine="482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客户痛点：</w:t>
      </w:r>
    </w:p>
    <w:p w14:paraId="6281E35C"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水质稳定性：</w:t>
      </w:r>
      <w:r>
        <w:rPr>
          <w:rFonts w:hint="eastAsia"/>
          <w:color w:val="auto"/>
        </w:rPr>
        <w:t>直饮水口感时好时坏，</w:t>
      </w:r>
      <w:r>
        <w:rPr>
          <w:rFonts w:hint="eastAsia"/>
          <w:color w:val="auto"/>
          <w:lang w:val="en-US" w:eastAsia="zh-CN"/>
        </w:rPr>
        <w:t>特别是第一杯水。</w:t>
      </w:r>
    </w:p>
    <w:p w14:paraId="461E7B86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设备智能型：设备运行无监管不能实时反应设备运行情况。</w:t>
      </w:r>
    </w:p>
    <w:p w14:paraId="4280335D">
      <w:pPr>
        <w:ind w:firstLine="482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解决方案：</w:t>
      </w:r>
    </w:p>
    <w:p w14:paraId="60B450CC">
      <w:pPr>
        <w:rPr>
          <w:rFonts w:hint="eastAsia"/>
          <w:color w:val="auto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直饮水水质监测系统</w:t>
      </w:r>
      <w:r>
        <w:rPr>
          <w:rFonts w:hint="eastAsia"/>
          <w:color w:val="auto"/>
        </w:rPr>
        <w:t>（余氯、浊度、PH、</w:t>
      </w:r>
      <w:r>
        <w:rPr>
          <w:rFonts w:hint="eastAsia"/>
          <w:color w:val="auto"/>
          <w:lang w:val="en-US" w:eastAsia="zh-CN"/>
        </w:rPr>
        <w:t>电导率</w:t>
      </w:r>
      <w:r>
        <w:rPr>
          <w:rFonts w:hint="eastAsia"/>
          <w:color w:val="auto"/>
        </w:rPr>
        <w:t>）</w:t>
      </w:r>
    </w:p>
    <w:p w14:paraId="012D8284">
      <w:pPr>
        <w:ind w:firstLine="482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实施效果：</w:t>
      </w:r>
      <w:bookmarkStart w:id="32" w:name="_GoBack"/>
      <w:bookmarkEnd w:id="32"/>
    </w:p>
    <w:p w14:paraId="79EA20C5">
      <w:pPr>
        <w:rPr>
          <w:rFonts w:hint="eastAsia"/>
          <w:color w:val="auto"/>
        </w:rPr>
      </w:pPr>
      <w:r>
        <w:rPr>
          <w:color w:val="auto"/>
        </w:rPr>
        <w:t>远程监控与预警：安装远程监测系统，实时监控水质，异常时自动报警。</w:t>
      </w:r>
    </w:p>
    <w:p w14:paraId="05C8994A">
      <w:pPr>
        <w:rPr>
          <w:color w:val="auto"/>
        </w:rPr>
      </w:pPr>
      <w:r>
        <w:rPr>
          <w:color w:val="auto"/>
        </w:rPr>
        <w:t>水质达标率提升：通过持续监测和优化，水质达标率从80%提升至98%。</w:t>
      </w:r>
    </w:p>
    <w:p w14:paraId="2439158F">
      <w:pPr>
        <w:rPr>
          <w:rFonts w:hint="default"/>
          <w:color w:val="auto"/>
          <w:lang w:val="en-US"/>
        </w:rPr>
      </w:pPr>
      <w:r>
        <w:rPr>
          <w:rFonts w:hint="eastAsia"/>
          <w:b/>
          <w:bCs/>
          <w:color w:val="auto"/>
          <w:lang w:val="en-US" w:eastAsia="zh-CN"/>
        </w:rPr>
        <w:t>安装方式：</w:t>
      </w:r>
      <w:r>
        <w:rPr>
          <w:rFonts w:hint="eastAsia"/>
          <w:color w:val="auto"/>
          <w:lang w:val="en-US" w:eastAsia="zh-CN"/>
        </w:rPr>
        <w:t>壁挂安装</w:t>
      </w:r>
      <w:r>
        <w:rPr>
          <w:rFonts w:hint="eastAsia"/>
          <w:color w:val="auto"/>
          <w:sz w:val="21"/>
          <w:szCs w:val="21"/>
          <w:lang w:val="en-US" w:eastAsia="zh-CN"/>
        </w:rPr>
        <w:t>直饮水水质监测系统实时检测水质情况。</w:t>
      </w:r>
    </w:p>
    <w:p w14:paraId="02451603">
      <w:pPr>
        <w:ind w:firstLine="480"/>
        <w:jc w:val="center"/>
        <w:rPr>
          <w:rFonts w:hint="eastAsia"/>
          <w:color w:val="auto"/>
        </w:rPr>
      </w:pPr>
      <w:r>
        <w:drawing>
          <wp:inline distT="0" distB="0" distL="114300" distR="114300">
            <wp:extent cx="4608195" cy="2553970"/>
            <wp:effectExtent l="0" t="0" r="9525" b="635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DCD02">
    <w:pPr>
      <w:pStyle w:val="12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136756">
    <w:pPr>
      <w:pStyle w:val="12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8EC85C">
    <w:pPr>
      <w:pStyle w:val="12"/>
      <w:ind w:firstLine="360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74819">
    <w:pPr>
      <w:pStyle w:val="12"/>
      <w:ind w:firstLine="360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C08FF1">
    <w:pPr>
      <w:pStyle w:val="13"/>
      <w:pBdr>
        <w:bottom w:val="single" w:color="auto" w:sz="4" w:space="0"/>
      </w:pBdr>
      <w:ind w:firstLine="360"/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6FCB91">
    <w:pPr>
      <w:pStyle w:val="13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43684">
    <w:pPr>
      <w:pStyle w:val="13"/>
      <w:ind w:firstLine="360"/>
      <w:rPr>
        <w:rFonts w:hint="eastAsi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45848">
    <w:pPr>
      <w:pStyle w:val="13"/>
      <w:pBdr>
        <w:bottom w:val="single" w:color="auto" w:sz="4" w:space="0"/>
      </w:pBdr>
      <w:ind w:firstLine="360"/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787FB8"/>
    <w:multiLevelType w:val="singleLevel"/>
    <w:tmpl w:val="81787FB8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09F24383"/>
    <w:multiLevelType w:val="multilevel"/>
    <w:tmpl w:val="09F24383"/>
    <w:lvl w:ilvl="0" w:tentative="0">
      <w:start w:val="1"/>
      <w:numFmt w:val="chineseCounting"/>
      <w:suff w:val="nothing"/>
      <w:lvlText w:val="%1、"/>
      <w:lvlJc w:val="left"/>
      <w:pPr>
        <w:tabs>
          <w:tab w:val="left" w:pos="420"/>
        </w:tabs>
        <w:ind w:left="432" w:hanging="432"/>
      </w:pPr>
      <w:rPr>
        <w:rFonts w:hint="eastAsia" w:ascii="宋体" w:hAnsi="宋体" w:eastAsia="宋体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420"/>
        </w:tabs>
        <w:ind w:left="575" w:hanging="575"/>
      </w:pPr>
      <w:rPr>
        <w:rFonts w:hint="eastAsia" w:ascii="宋体" w:hAnsi="宋体" w:eastAsia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 w:ascii="宋体" w:hAnsi="宋体" w:eastAsia="宋体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 w:ascii="宋体" w:hAnsi="宋体" w:eastAsia="宋体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 w:ascii="宋体" w:hAnsi="宋体" w:eastAsia="宋体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 w:ascii="宋体" w:hAnsi="宋体" w:eastAsia="宋体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 w:ascii="宋体" w:hAnsi="宋体" w:eastAsia="宋体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 w:ascii="宋体" w:hAnsi="宋体" w:eastAsia="宋体"/>
      </w:rPr>
    </w:lvl>
  </w:abstractNum>
  <w:abstractNum w:abstractNumId="2">
    <w:nsid w:val="1E54C0CB"/>
    <w:multiLevelType w:val="multilevel"/>
    <w:tmpl w:val="1E54C0C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U5YjJkMGIyYmZkOTBlMzJmNzk5ZTJmZTczMTFmYzEifQ=="/>
  </w:docVars>
  <w:rsids>
    <w:rsidRoot w:val="008753CB"/>
    <w:rsid w:val="0000331B"/>
    <w:rsid w:val="000C460B"/>
    <w:rsid w:val="000E70C4"/>
    <w:rsid w:val="001A4146"/>
    <w:rsid w:val="002438FD"/>
    <w:rsid w:val="00275DC9"/>
    <w:rsid w:val="003B326D"/>
    <w:rsid w:val="006778E1"/>
    <w:rsid w:val="008753CB"/>
    <w:rsid w:val="008D7448"/>
    <w:rsid w:val="00A10114"/>
    <w:rsid w:val="00A30227"/>
    <w:rsid w:val="00D745F1"/>
    <w:rsid w:val="06D958FB"/>
    <w:rsid w:val="09DF435C"/>
    <w:rsid w:val="0CF05FA0"/>
    <w:rsid w:val="11225947"/>
    <w:rsid w:val="12AE6653"/>
    <w:rsid w:val="1456008E"/>
    <w:rsid w:val="14AD6D45"/>
    <w:rsid w:val="15FB79DC"/>
    <w:rsid w:val="195E593B"/>
    <w:rsid w:val="1BC3580A"/>
    <w:rsid w:val="1E144106"/>
    <w:rsid w:val="1F420A72"/>
    <w:rsid w:val="1F446C62"/>
    <w:rsid w:val="1FE35C4B"/>
    <w:rsid w:val="22947F00"/>
    <w:rsid w:val="22D00330"/>
    <w:rsid w:val="24094D30"/>
    <w:rsid w:val="25E76B6C"/>
    <w:rsid w:val="2F631386"/>
    <w:rsid w:val="30CB0F91"/>
    <w:rsid w:val="3214723B"/>
    <w:rsid w:val="32DD4FAB"/>
    <w:rsid w:val="32F26CA9"/>
    <w:rsid w:val="35EE0290"/>
    <w:rsid w:val="365B7C60"/>
    <w:rsid w:val="38BF587F"/>
    <w:rsid w:val="3CAD2E9B"/>
    <w:rsid w:val="3E43485C"/>
    <w:rsid w:val="416830A7"/>
    <w:rsid w:val="41E23AAD"/>
    <w:rsid w:val="4283171C"/>
    <w:rsid w:val="44801C3A"/>
    <w:rsid w:val="4DA8648A"/>
    <w:rsid w:val="50B53E6E"/>
    <w:rsid w:val="5A9164F8"/>
    <w:rsid w:val="5C2514E6"/>
    <w:rsid w:val="5DBC388C"/>
    <w:rsid w:val="5F261B1F"/>
    <w:rsid w:val="636B69F0"/>
    <w:rsid w:val="63900CFA"/>
    <w:rsid w:val="67917192"/>
    <w:rsid w:val="6A890D0B"/>
    <w:rsid w:val="6B6134A4"/>
    <w:rsid w:val="70223A22"/>
    <w:rsid w:val="731F235A"/>
    <w:rsid w:val="733F4F13"/>
    <w:rsid w:val="73A63C37"/>
    <w:rsid w:val="761C0F14"/>
    <w:rsid w:val="799F35BE"/>
    <w:rsid w:val="7AD63083"/>
    <w:rsid w:val="7CC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ind w:firstLineChars="0"/>
      <w:jc w:val="left"/>
      <w:outlineLvl w:val="0"/>
    </w:pPr>
    <w:rPr>
      <w:b/>
      <w:sz w:val="36"/>
      <w:szCs w:val="32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1"/>
        <w:numId w:val="1"/>
      </w:numPr>
      <w:ind w:firstLineChars="0"/>
      <w:jc w:val="left"/>
      <w:outlineLvl w:val="1"/>
    </w:pPr>
    <w:rPr>
      <w:b/>
      <w:sz w:val="32"/>
      <w:szCs w:val="30"/>
    </w:rPr>
  </w:style>
  <w:style w:type="paragraph" w:styleId="4">
    <w:name w:val="heading 3"/>
    <w:basedOn w:val="1"/>
    <w:next w:val="1"/>
    <w:link w:val="26"/>
    <w:autoRedefine/>
    <w:unhideWhenUsed/>
    <w:qFormat/>
    <w:uiPriority w:val="9"/>
    <w:pPr>
      <w:keepNext/>
      <w:keepLines/>
      <w:numPr>
        <w:ilvl w:val="2"/>
        <w:numId w:val="2"/>
      </w:numPr>
      <w:ind w:firstLineChars="0"/>
      <w:jc w:val="left"/>
      <w:outlineLvl w:val="2"/>
    </w:pPr>
    <w:rPr>
      <w:b/>
      <w:sz w:val="30"/>
      <w:szCs w:val="30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numPr>
        <w:ilvl w:val="3"/>
        <w:numId w:val="1"/>
      </w:numPr>
      <w:ind w:left="0" w:firstLine="720"/>
      <w:outlineLvl w:val="3"/>
    </w:pPr>
    <w:rPr>
      <w:rFonts w:cstheme="majorBidi"/>
      <w:b/>
      <w:sz w:val="28"/>
      <w:szCs w:val="28"/>
    </w:rPr>
  </w:style>
  <w:style w:type="paragraph" w:styleId="6">
    <w:name w:val="heading 5"/>
    <w:basedOn w:val="5"/>
    <w:next w:val="1"/>
    <w:link w:val="28"/>
    <w:semiHidden/>
    <w:unhideWhenUsed/>
    <w:qFormat/>
    <w:uiPriority w:val="9"/>
    <w:pPr>
      <w:numPr>
        <w:ilvl w:val="4"/>
      </w:numPr>
      <w:spacing w:before="80" w:after="40"/>
      <w:ind w:firstLineChars="0"/>
      <w:outlineLvl w:val="4"/>
    </w:p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ind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30"/>
    <w:autoRedefine/>
    <w:semiHidden/>
    <w:unhideWhenUsed/>
    <w:qFormat/>
    <w:uiPriority w:val="9"/>
    <w:pPr>
      <w:keepNext/>
      <w:keepLines/>
      <w:numPr>
        <w:ilvl w:val="6"/>
        <w:numId w:val="1"/>
      </w:numPr>
      <w:spacing w:before="40"/>
      <w:ind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ind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2"/>
    <w:autoRedefine/>
    <w:semiHidden/>
    <w:unhideWhenUsed/>
    <w:qFormat/>
    <w:uiPriority w:val="9"/>
    <w:pPr>
      <w:keepNext/>
      <w:keepLines/>
      <w:numPr>
        <w:ilvl w:val="8"/>
        <w:numId w:val="1"/>
      </w:numPr>
      <w:ind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4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semiHidden/>
    <w:unhideWhenUsed/>
    <w:qFormat/>
    <w:uiPriority w:val="39"/>
  </w:style>
  <w:style w:type="paragraph" w:styleId="15">
    <w:name w:val="Subtitle"/>
    <w:basedOn w:val="1"/>
    <w:next w:val="1"/>
    <w:link w:val="34"/>
    <w:autoRedefine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paragraph" w:styleId="17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paragraph" w:styleId="18">
    <w:name w:val="Title"/>
    <w:basedOn w:val="1"/>
    <w:next w:val="1"/>
    <w:link w:val="33"/>
    <w:autoRedefine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20">
    <w:name w:val="Table Grid"/>
    <w:basedOn w:val="1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basedOn w:val="21"/>
    <w:qFormat/>
    <w:uiPriority w:val="0"/>
    <w:rPr>
      <w:b/>
    </w:rPr>
  </w:style>
  <w:style w:type="character" w:styleId="23">
    <w:name w:val="Hyperlink"/>
    <w:basedOn w:val="21"/>
    <w:autoRedefine/>
    <w:unhideWhenUsed/>
    <w:qFormat/>
    <w:uiPriority w:val="99"/>
    <w:rPr>
      <w:color w:val="0563C1"/>
      <w:u w:val="single"/>
    </w:rPr>
  </w:style>
  <w:style w:type="character" w:customStyle="1" w:styleId="24">
    <w:name w:val="标题 1 字符"/>
    <w:basedOn w:val="21"/>
    <w:link w:val="2"/>
    <w:autoRedefine/>
    <w:qFormat/>
    <w:uiPriority w:val="9"/>
    <w:rPr>
      <w:rFonts w:ascii="宋体" w:hAnsi="宋体" w:eastAsia="宋体" w:cs="宋体"/>
      <w:b/>
      <w:sz w:val="36"/>
      <w:szCs w:val="32"/>
    </w:rPr>
  </w:style>
  <w:style w:type="character" w:customStyle="1" w:styleId="25">
    <w:name w:val="标题 2 字符"/>
    <w:basedOn w:val="21"/>
    <w:link w:val="3"/>
    <w:autoRedefine/>
    <w:qFormat/>
    <w:uiPriority w:val="9"/>
    <w:rPr>
      <w:rFonts w:ascii="宋体" w:hAnsi="宋体" w:eastAsia="宋体" w:cs="宋体"/>
      <w:b/>
      <w:sz w:val="32"/>
      <w:szCs w:val="30"/>
    </w:rPr>
  </w:style>
  <w:style w:type="character" w:customStyle="1" w:styleId="26">
    <w:name w:val="标题 3 字符"/>
    <w:basedOn w:val="21"/>
    <w:link w:val="4"/>
    <w:autoRedefine/>
    <w:qFormat/>
    <w:uiPriority w:val="9"/>
    <w:rPr>
      <w:rFonts w:ascii="宋体" w:hAnsi="宋体" w:cs="宋体"/>
      <w:b/>
      <w:kern w:val="2"/>
      <w:sz w:val="30"/>
      <w:szCs w:val="30"/>
    </w:rPr>
  </w:style>
  <w:style w:type="character" w:customStyle="1" w:styleId="27">
    <w:name w:val="标题 4 字符"/>
    <w:basedOn w:val="21"/>
    <w:link w:val="5"/>
    <w:autoRedefine/>
    <w:semiHidden/>
    <w:qFormat/>
    <w:uiPriority w:val="9"/>
    <w:rPr>
      <w:rFonts w:ascii="宋体" w:hAnsi="宋体" w:eastAsia="宋体" w:cstheme="majorBidi"/>
      <w:b/>
      <w:color w:val="auto"/>
      <w:sz w:val="28"/>
      <w:szCs w:val="28"/>
    </w:rPr>
  </w:style>
  <w:style w:type="character" w:customStyle="1" w:styleId="28">
    <w:name w:val="标题 5 字符"/>
    <w:basedOn w:val="21"/>
    <w:link w:val="6"/>
    <w:autoRedefine/>
    <w:semiHidden/>
    <w:qFormat/>
    <w:uiPriority w:val="9"/>
    <w:rPr>
      <w:rFonts w:ascii="宋体" w:hAnsi="宋体" w:eastAsia="宋体" w:cstheme="majorBidi"/>
      <w:color w:val="auto"/>
      <w:sz w:val="24"/>
      <w:szCs w:val="24"/>
    </w:rPr>
  </w:style>
  <w:style w:type="character" w:customStyle="1" w:styleId="29">
    <w:name w:val="标题 6 字符"/>
    <w:basedOn w:val="21"/>
    <w:link w:val="7"/>
    <w:autoRedefine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30">
    <w:name w:val="标题 7 字符"/>
    <w:basedOn w:val="21"/>
    <w:link w:val="8"/>
    <w:autoRedefine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8 字符"/>
    <w:basedOn w:val="21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9 字符"/>
    <w:basedOn w:val="21"/>
    <w:link w:val="10"/>
    <w:autoRedefine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字符"/>
    <w:basedOn w:val="21"/>
    <w:link w:val="18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4">
    <w:name w:val="副标题 字符"/>
    <w:basedOn w:val="21"/>
    <w:link w:val="15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5">
    <w:name w:val="Quote"/>
    <w:basedOn w:val="1"/>
    <w:next w:val="1"/>
    <w:link w:val="36"/>
    <w:autoRedefine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引用 字符"/>
    <w:basedOn w:val="21"/>
    <w:link w:val="35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38">
    <w:name w:val="明显强调1"/>
    <w:basedOn w:val="21"/>
    <w:autoRedefine/>
    <w:qFormat/>
    <w:uiPriority w:val="21"/>
    <w:rPr>
      <w:i/>
      <w:iCs/>
      <w:color w:val="104862" w:themeColor="accent1" w:themeShade="BF"/>
    </w:rPr>
  </w:style>
  <w:style w:type="paragraph" w:styleId="39">
    <w:name w:val="Intense Quote"/>
    <w:basedOn w:val="1"/>
    <w:next w:val="1"/>
    <w:link w:val="40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40">
    <w:name w:val="明显引用 字符"/>
    <w:basedOn w:val="21"/>
    <w:link w:val="39"/>
    <w:autoRedefine/>
    <w:qFormat/>
    <w:uiPriority w:val="30"/>
    <w:rPr>
      <w:i/>
      <w:iCs/>
      <w:color w:val="104862" w:themeColor="accent1" w:themeShade="BF"/>
    </w:rPr>
  </w:style>
  <w:style w:type="character" w:customStyle="1" w:styleId="41">
    <w:name w:val="页眉 字符"/>
    <w:basedOn w:val="21"/>
    <w:link w:val="13"/>
    <w:autoRedefine/>
    <w:qFormat/>
    <w:uiPriority w:val="99"/>
    <w:rPr>
      <w:sz w:val="18"/>
      <w:szCs w:val="18"/>
    </w:rPr>
  </w:style>
  <w:style w:type="character" w:customStyle="1" w:styleId="42">
    <w:name w:val="页脚 字符"/>
    <w:basedOn w:val="21"/>
    <w:link w:val="12"/>
    <w:autoRedefine/>
    <w:qFormat/>
    <w:uiPriority w:val="99"/>
    <w:rPr>
      <w:sz w:val="18"/>
      <w:szCs w:val="18"/>
    </w:rPr>
  </w:style>
  <w:style w:type="paragraph" w:customStyle="1" w:styleId="43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44">
    <w:name w:val="列出段落1"/>
    <w:basedOn w:val="1"/>
    <w:qFormat/>
    <w:uiPriority w:val="0"/>
    <w:pPr>
      <w:suppressAutoHyphens/>
      <w:ind w:firstLine="420"/>
      <w:jc w:val="left"/>
    </w:pPr>
    <w:rPr>
      <w:rFonts w:ascii="Times" w:hAnsi="Times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3812</Words>
  <Characters>4194</Characters>
  <Lines>50</Lines>
  <Paragraphs>14</Paragraphs>
  <TotalTime>1</TotalTime>
  <ScaleCrop>false</ScaleCrop>
  <LinksUpToDate>false</LinksUpToDate>
  <CharactersWithSpaces>4290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2025-02-07T05:17:00Z</dcterms:created>
  <dc:creator>闫鹏 李</dc:creator>
  <cp:lastModifiedBy>邹树虎</cp:lastModifiedBy>
  <dcterms:modified xsi:type="dcterms:W3CDTF">2025-07-25T02:01:02Z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eyJoZGlkIjoiZjk1Y2JmN2ViODY3ZDA2MjQ3ZGVkNzAyMTI3ZDBjOWUiLCJ1c2VySWQiOiIxNDQ5MjAxMDk2In0=</vt:lpwstr>
  </property>
  <property fmtid="{D5CDD505-2E9C-101B-9397-08002B2CF9AE}" pid="3" name="KSOProductBuildVer">
    <vt:lpwstr>2052-12.1.0.21915</vt:lpwstr>
  </property>
  <property fmtid="{D5CDD505-2E9C-101B-9397-08002B2CF9AE}" pid="4" name="ICV">
    <vt:lpwstr>FFC0AD53726449769A1D3551F5C9C806_13</vt:lpwstr>
  </property>
</Properties>
</file>