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093C0">
      <w:pPr>
        <w:ind w:firstLine="480"/>
        <w:rPr>
          <w:rFonts w:hint="eastAsia"/>
          <w:color w:val="auto"/>
        </w:rPr>
      </w:pPr>
    </w:p>
    <w:p w14:paraId="32A0D510">
      <w:pPr>
        <w:ind w:firstLine="480"/>
        <w:rPr>
          <w:rFonts w:hint="eastAsia"/>
          <w:color w:val="auto"/>
        </w:rPr>
      </w:pPr>
    </w:p>
    <w:p w14:paraId="5F1A9603">
      <w:pPr>
        <w:ind w:firstLine="480"/>
        <w:rPr>
          <w:rFonts w:hint="eastAsia"/>
          <w:color w:val="auto"/>
        </w:rPr>
      </w:pPr>
    </w:p>
    <w:p w14:paraId="19F9CAB5">
      <w:pPr>
        <w:ind w:firstLine="0" w:firstLineChars="0"/>
        <w:jc w:val="center"/>
        <w:rPr>
          <w:rFonts w:hint="eastAsia"/>
          <w:b/>
          <w:bCs/>
          <w:color w:val="auto"/>
          <w:sz w:val="52"/>
          <w:szCs w:val="52"/>
        </w:rPr>
      </w:pPr>
      <w:bookmarkStart w:id="0" w:name="OLE_LINK7"/>
      <w:r>
        <w:rPr>
          <w:rFonts w:hint="eastAsia"/>
          <w:b/>
          <w:bCs/>
          <w:color w:val="auto"/>
          <w:sz w:val="52"/>
          <w:szCs w:val="52"/>
        </w:rPr>
        <w:t>供水行业细分场景</w:t>
      </w:r>
    </w:p>
    <w:p w14:paraId="1EE23E86">
      <w:pPr>
        <w:ind w:firstLine="0" w:firstLineChars="0"/>
        <w:jc w:val="right"/>
        <w:rPr>
          <w:rFonts w:hint="eastAsia"/>
          <w:b/>
          <w:bCs/>
          <w:color w:val="auto"/>
          <w:sz w:val="52"/>
          <w:szCs w:val="52"/>
        </w:rPr>
      </w:pPr>
      <w:r>
        <w:rPr>
          <w:rFonts w:hint="eastAsia"/>
          <w:b/>
          <w:bCs/>
          <w:color w:val="auto"/>
          <w:sz w:val="52"/>
          <w:szCs w:val="52"/>
        </w:rPr>
        <w:t>——泳池水质监测方案</w:t>
      </w:r>
    </w:p>
    <w:bookmarkEnd w:id="0"/>
    <w:p w14:paraId="68855A11">
      <w:pPr>
        <w:ind w:firstLine="480"/>
        <w:rPr>
          <w:rFonts w:hint="eastAsia"/>
          <w:color w:val="auto"/>
        </w:rPr>
      </w:pPr>
    </w:p>
    <w:p w14:paraId="5EDD31A4">
      <w:pPr>
        <w:ind w:firstLine="480"/>
        <w:rPr>
          <w:rFonts w:hint="eastAsia"/>
          <w:color w:val="auto"/>
        </w:rPr>
      </w:pPr>
    </w:p>
    <w:p w14:paraId="66C636E5">
      <w:pPr>
        <w:ind w:firstLine="480"/>
        <w:rPr>
          <w:rFonts w:hint="eastAsia"/>
          <w:color w:val="auto"/>
        </w:rPr>
      </w:pPr>
    </w:p>
    <w:p w14:paraId="5D34D29F">
      <w:pPr>
        <w:ind w:firstLine="480"/>
        <w:rPr>
          <w:rFonts w:hint="eastAsia"/>
          <w:color w:val="auto"/>
        </w:rPr>
      </w:pPr>
    </w:p>
    <w:p w14:paraId="4E80F906">
      <w:pPr>
        <w:ind w:firstLine="480"/>
        <w:rPr>
          <w:rFonts w:hint="eastAsia"/>
          <w:color w:val="auto"/>
        </w:rPr>
      </w:pPr>
    </w:p>
    <w:p w14:paraId="44DE3E29">
      <w:pPr>
        <w:ind w:firstLine="480"/>
        <w:rPr>
          <w:rFonts w:hint="eastAsia"/>
          <w:color w:val="auto"/>
        </w:rPr>
      </w:pPr>
    </w:p>
    <w:p w14:paraId="1D0382B7">
      <w:pPr>
        <w:ind w:firstLine="480"/>
        <w:rPr>
          <w:rFonts w:hint="eastAsia"/>
          <w:color w:val="auto"/>
        </w:rPr>
      </w:pPr>
    </w:p>
    <w:p w14:paraId="2ABA5576">
      <w:pPr>
        <w:ind w:firstLine="480"/>
        <w:rPr>
          <w:rFonts w:hint="eastAsia"/>
          <w:color w:val="auto"/>
        </w:rPr>
      </w:pPr>
    </w:p>
    <w:p w14:paraId="496D656F">
      <w:pPr>
        <w:ind w:firstLine="480"/>
        <w:rPr>
          <w:rFonts w:hint="eastAsia"/>
          <w:color w:val="auto"/>
        </w:rPr>
      </w:pPr>
    </w:p>
    <w:p w14:paraId="04D93DCD">
      <w:pPr>
        <w:ind w:firstLine="480"/>
        <w:rPr>
          <w:rFonts w:hint="eastAsia"/>
          <w:color w:val="auto"/>
        </w:rPr>
      </w:pPr>
    </w:p>
    <w:p w14:paraId="1D249939">
      <w:pPr>
        <w:ind w:firstLine="480"/>
        <w:rPr>
          <w:rFonts w:hint="eastAsia"/>
          <w:color w:val="auto"/>
        </w:rPr>
      </w:pPr>
    </w:p>
    <w:p w14:paraId="2016D894">
      <w:pPr>
        <w:ind w:firstLine="480"/>
        <w:rPr>
          <w:rFonts w:hint="eastAsia"/>
          <w:color w:val="auto"/>
        </w:rPr>
      </w:pPr>
    </w:p>
    <w:p w14:paraId="277F7A70">
      <w:pPr>
        <w:ind w:firstLine="480"/>
        <w:rPr>
          <w:rFonts w:hint="eastAsia"/>
          <w:color w:val="auto"/>
        </w:rPr>
      </w:pPr>
    </w:p>
    <w:p w14:paraId="6088D7E7">
      <w:pPr>
        <w:ind w:firstLine="480"/>
        <w:rPr>
          <w:rFonts w:hint="eastAsia"/>
          <w:color w:val="auto"/>
        </w:rPr>
      </w:pPr>
    </w:p>
    <w:p w14:paraId="7CCFA21D">
      <w:pPr>
        <w:ind w:firstLine="480"/>
        <w:rPr>
          <w:rFonts w:hint="eastAsia"/>
          <w:color w:val="auto"/>
        </w:rPr>
      </w:pPr>
    </w:p>
    <w:p w14:paraId="448B33A3">
      <w:pPr>
        <w:ind w:firstLine="480"/>
        <w:rPr>
          <w:rFonts w:hint="eastAsia"/>
          <w:color w:val="auto"/>
        </w:rPr>
      </w:pPr>
    </w:p>
    <w:p w14:paraId="2B48CCDB">
      <w:pPr>
        <w:ind w:firstLine="480"/>
        <w:rPr>
          <w:rFonts w:hint="eastAsia"/>
          <w:color w:val="auto"/>
        </w:rPr>
      </w:pPr>
    </w:p>
    <w:p w14:paraId="22E7C2D4">
      <w:pPr>
        <w:ind w:firstLine="480"/>
        <w:rPr>
          <w:rFonts w:hint="eastAsia"/>
          <w:color w:val="auto"/>
        </w:rPr>
      </w:pPr>
    </w:p>
    <w:p w14:paraId="302A0D9E">
      <w:pPr>
        <w:ind w:firstLine="480"/>
        <w:rPr>
          <w:rFonts w:hint="eastAsia"/>
          <w:color w:val="auto"/>
        </w:rPr>
      </w:pPr>
    </w:p>
    <w:p w14:paraId="58592EA1">
      <w:pPr>
        <w:ind w:firstLine="480"/>
        <w:rPr>
          <w:rFonts w:hint="eastAsia"/>
          <w:color w:val="auto"/>
        </w:rPr>
      </w:pPr>
    </w:p>
    <w:p w14:paraId="705EB439">
      <w:pPr>
        <w:ind w:firstLine="0" w:firstLineChars="0"/>
        <w:jc w:val="center"/>
        <w:rPr>
          <w:rFonts w:hint="eastAsia"/>
          <w:b/>
          <w:bCs/>
          <w:color w:val="auto"/>
          <w:sz w:val="40"/>
          <w:szCs w:val="40"/>
          <w:lang w:val="zh-CN"/>
        </w:rPr>
      </w:pPr>
      <w:r>
        <w:rPr>
          <w:b/>
          <w:bCs/>
          <w:color w:val="auto"/>
          <w:sz w:val="40"/>
          <w:szCs w:val="40"/>
        </w:rPr>
        <w:t>202</w:t>
      </w:r>
      <w:r>
        <w:rPr>
          <w:rFonts w:hint="eastAsia"/>
          <w:b/>
          <w:bCs/>
          <w:color w:val="auto"/>
          <w:sz w:val="40"/>
          <w:szCs w:val="40"/>
        </w:rPr>
        <w:t>5</w:t>
      </w:r>
      <w:r>
        <w:rPr>
          <w:b/>
          <w:bCs/>
          <w:color w:val="auto"/>
          <w:sz w:val="40"/>
          <w:szCs w:val="40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</w:rPr>
        <w:t>2</w:t>
      </w:r>
      <w:r>
        <w:rPr>
          <w:b/>
          <w:bCs/>
          <w:color w:val="auto"/>
          <w:sz w:val="40"/>
          <w:szCs w:val="40"/>
          <w:lang w:val="zh-CN"/>
        </w:rPr>
        <w:t>月</w:t>
      </w:r>
    </w:p>
    <w:p w14:paraId="7C34D176">
      <w:pPr>
        <w:ind w:firstLine="480"/>
        <w:rPr>
          <w:rFonts w:hint="eastAsia"/>
          <w:color w:val="auto"/>
        </w:rPr>
      </w:pPr>
    </w:p>
    <w:p w14:paraId="19A78EEF">
      <w:pPr>
        <w:ind w:firstLine="480"/>
        <w:rPr>
          <w:rFonts w:hint="eastAsia"/>
          <w:color w:val="auto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728A5799">
      <w:pPr>
        <w:ind w:firstLine="480"/>
        <w:rPr>
          <w:rFonts w:hint="eastAsia"/>
          <w:color w:val="auto"/>
        </w:rPr>
      </w:pPr>
    </w:p>
    <w:sdt>
      <w:sdtPr>
        <w:rPr>
          <w:b/>
          <w:bCs/>
          <w:color w:val="auto"/>
          <w:sz w:val="36"/>
          <w:szCs w:val="36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/>
          <w:b/>
          <w:bCs/>
          <w:color w:val="auto"/>
          <w:sz w:val="24"/>
          <w:szCs w:val="24"/>
        </w:rPr>
      </w:sdtEndPr>
      <w:sdtContent>
        <w:p w14:paraId="404F821E">
          <w:pPr>
            <w:spacing w:line="240" w:lineRule="auto"/>
            <w:ind w:firstLine="0" w:firstLineChars="0"/>
            <w:jc w:val="center"/>
            <w:rPr>
              <w:rFonts w:hint="eastAsia"/>
              <w:b/>
              <w:bCs/>
              <w:color w:val="auto"/>
              <w:sz w:val="36"/>
              <w:szCs w:val="36"/>
            </w:rPr>
          </w:pPr>
          <w:r>
            <w:rPr>
              <w:b/>
              <w:bCs/>
              <w:color w:val="auto"/>
              <w:sz w:val="36"/>
              <w:szCs w:val="36"/>
            </w:rPr>
            <w:t>目录</w:t>
          </w:r>
        </w:p>
        <w:p w14:paraId="0A029291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  <w:color w:val="auto"/>
            </w:rPr>
            <w:instrText xml:space="preserve">TOC \o "1-3" \h \u </w:instrText>
          </w:r>
          <w:r>
            <w:rPr>
              <w:rFonts w:hint="eastAsia"/>
              <w:color w:val="auto"/>
            </w:rPr>
            <w:fldChar w:fldCharType="separate"/>
          </w: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_Toc24111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一、 公司简介</w:t>
          </w:r>
          <w:r>
            <w:tab/>
          </w:r>
          <w:r>
            <w:fldChar w:fldCharType="begin"/>
          </w:r>
          <w:r>
            <w:instrText xml:space="preserve"> PAGEREF _Toc24111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20AE435B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_Toc21591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二、 泳池水监测概述</w:t>
          </w:r>
          <w:r>
            <w:tab/>
          </w:r>
          <w:r>
            <w:fldChar w:fldCharType="begin"/>
          </w:r>
          <w:r>
            <w:instrText xml:space="preserve"> PAGEREF _Toc21591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4EF672D6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_Toc25847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2.1. 泳池水行业背景</w:t>
          </w:r>
          <w:r>
            <w:tab/>
          </w:r>
          <w:r>
            <w:fldChar w:fldCharType="begin"/>
          </w:r>
          <w:r>
            <w:instrText xml:space="preserve"> PAGEREF _Toc25847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3270C3C6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_Toc1409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2.2. 泳池水监测特点</w:t>
          </w:r>
          <w:r>
            <w:tab/>
          </w:r>
          <w:r>
            <w:fldChar w:fldCharType="begin"/>
          </w:r>
          <w:r>
            <w:instrText xml:space="preserve"> PAGEREF _Toc1409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6CC1195F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_Toc27028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三、 建设方案设计</w:t>
          </w:r>
          <w:r>
            <w:tab/>
          </w:r>
          <w:r>
            <w:fldChar w:fldCharType="begin"/>
          </w:r>
          <w:r>
            <w:instrText xml:space="preserve"> PAGEREF _Toc27028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62F76842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_Toc30072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3.1. 系统框架图</w:t>
          </w:r>
          <w:r>
            <w:tab/>
          </w:r>
          <w:r>
            <w:fldChar w:fldCharType="begin"/>
          </w:r>
          <w:r>
            <w:instrText xml:space="preserve"> PAGEREF _Toc30072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5415A140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_Toc19936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3.2. 设备选型策略</w:t>
          </w:r>
          <w:r>
            <w:tab/>
          </w:r>
          <w:r>
            <w:fldChar w:fldCharType="begin"/>
          </w:r>
          <w:r>
            <w:instrText xml:space="preserve"> PAGEREF _Toc19936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32CBA6F4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_Toc8985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四、 产品介绍</w:t>
          </w:r>
          <w:r>
            <w:tab/>
          </w:r>
          <w:r>
            <w:fldChar w:fldCharType="begin"/>
          </w:r>
          <w:r>
            <w:instrText xml:space="preserve"> PAGEREF _Toc8985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59BCAF22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_Toc20491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4.1. 技术参数</w:t>
          </w:r>
          <w:r>
            <w:tab/>
          </w:r>
          <w:r>
            <w:fldChar w:fldCharType="begin"/>
          </w:r>
          <w:r>
            <w:instrText xml:space="preserve"> PAGEREF _Toc20491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4C2461FC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_Toc11154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4.2. 场景适配性</w:t>
          </w:r>
          <w:r>
            <w:tab/>
          </w:r>
          <w:r>
            <w:fldChar w:fldCharType="begin"/>
          </w:r>
          <w:r>
            <w:instrText xml:space="preserve"> PAGEREF _Toc11154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52406B8E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_Toc31067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五、 设备寿命及维护</w:t>
          </w:r>
          <w:r>
            <w:tab/>
          </w:r>
          <w:r>
            <w:fldChar w:fldCharType="begin"/>
          </w:r>
          <w:r>
            <w:instrText xml:space="preserve"> PAGEREF _Toc31067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57621C5C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_Toc6293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5.1. 设备寿命周期与维护周期表</w:t>
          </w:r>
          <w:r>
            <w:tab/>
          </w:r>
          <w:r>
            <w:fldChar w:fldCharType="begin"/>
          </w:r>
          <w:r>
            <w:instrText xml:space="preserve"> PAGEREF _Toc6293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5F7550B7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_Toc25627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lang w:val="en-US" w:eastAsia="zh-CN"/>
            </w:rPr>
            <w:t>设备</w:t>
          </w:r>
          <w:r>
            <w:rPr>
              <w:rFonts w:hint="eastAsia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_Toc25627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4E3A3D99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_Toc32027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lang w:val="en-US" w:eastAsia="zh-CN"/>
            </w:rPr>
            <w:t>设备</w:t>
          </w:r>
          <w:r>
            <w:rPr>
              <w:rFonts w:hint="eastAsia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_Toc32027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2BBEBD99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_Toc6608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六、 案例展示</w:t>
          </w:r>
          <w:r>
            <w:tab/>
          </w:r>
          <w:r>
            <w:fldChar w:fldCharType="begin"/>
          </w:r>
          <w:r>
            <w:instrText xml:space="preserve"> PAGEREF _Toc6608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7240E91B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color w:val="auto"/>
            </w:rPr>
            <w:fldChar w:fldCharType="begin"/>
          </w:r>
          <w:r>
            <w:rPr>
              <w:rFonts w:hint="eastAsia"/>
            </w:rPr>
            <w:instrText xml:space="preserve"> HYPERLINK \l _Toc15683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6.1. 案例1：</w:t>
          </w:r>
          <w:r>
            <w:rPr>
              <w:rFonts w:hint="eastAsia"/>
              <w:szCs w:val="32"/>
            </w:rPr>
            <w:t>青岛某泳池水质监测</w:t>
          </w:r>
          <w:r>
            <w:tab/>
          </w:r>
          <w:r>
            <w:fldChar w:fldCharType="begin"/>
          </w:r>
          <w:r>
            <w:instrText xml:space="preserve"> PAGEREF _Toc15683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color w:val="auto"/>
            </w:rPr>
            <w:fldChar w:fldCharType="end"/>
          </w:r>
        </w:p>
        <w:p w14:paraId="4C50B968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0" w:firstLineChars="0"/>
            <w:textAlignment w:val="auto"/>
            <w:rPr>
              <w:rFonts w:hint="eastAsia"/>
              <w:color w:val="auto"/>
            </w:rPr>
          </w:pPr>
          <w:r>
            <w:rPr>
              <w:rFonts w:hint="eastAsia"/>
              <w:color w:val="auto"/>
            </w:rPr>
            <w:fldChar w:fldCharType="end"/>
          </w:r>
        </w:p>
      </w:sdtContent>
    </w:sdt>
    <w:p w14:paraId="4FE59629">
      <w:pPr>
        <w:ind w:firstLine="480"/>
        <w:rPr>
          <w:rFonts w:hint="eastAsia"/>
          <w:color w:val="auto"/>
        </w:rPr>
      </w:pPr>
    </w:p>
    <w:p w14:paraId="1A5680FE">
      <w:pPr>
        <w:ind w:firstLine="480"/>
        <w:rPr>
          <w:rFonts w:hint="eastAsia"/>
          <w:color w:val="auto"/>
        </w:rPr>
        <w:sectPr>
          <w:headerReference r:id="rId11" w:type="default"/>
          <w:footerReference r:id="rId12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66375BD0">
      <w:pPr>
        <w:pStyle w:val="2"/>
        <w:rPr>
          <w:rFonts w:hint="eastAsia"/>
          <w:color w:val="auto"/>
        </w:rPr>
      </w:pPr>
      <w:bookmarkStart w:id="1" w:name="_Toc24111"/>
      <w:bookmarkStart w:id="2" w:name="_Toc3865"/>
      <w:r>
        <w:rPr>
          <w:rFonts w:hint="eastAsia"/>
          <w:color w:val="auto"/>
        </w:rPr>
        <w:t>公司简介</w:t>
      </w:r>
      <w:bookmarkEnd w:id="1"/>
      <w:bookmarkEnd w:id="2"/>
    </w:p>
    <w:p w14:paraId="74CA3392">
      <w:pPr>
        <w:ind w:firstLine="480"/>
        <w:rPr>
          <w:rFonts w:hint="eastAsia"/>
          <w:color w:val="auto"/>
        </w:rPr>
      </w:pPr>
    </w:p>
    <w:p w14:paraId="0C294F4B">
      <w:pPr>
        <w:ind w:firstLine="0" w:firstLineChars="0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AF6A">
      <w:pPr>
        <w:ind w:firstLine="0" w:firstLineChars="0"/>
        <w:jc w:val="left"/>
        <w:rPr>
          <w:rFonts w:hint="eastAsia"/>
          <w:color w:val="auto"/>
        </w:rPr>
      </w:pPr>
    </w:p>
    <w:p w14:paraId="7EFD2DB3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青岛精诚仪器仪表</w:t>
      </w:r>
      <w:r>
        <w:rPr>
          <w:rFonts w:hint="eastAsia"/>
          <w:color w:val="auto"/>
        </w:rPr>
        <w:t>有限公司（简称</w:t>
      </w:r>
      <w:r>
        <w:rPr>
          <w:rFonts w:hint="eastAsia"/>
          <w:color w:val="auto"/>
          <w:lang w:val="en-US" w:eastAsia="zh-CN"/>
        </w:rPr>
        <w:t>青岛精诚</w:t>
      </w:r>
      <w:r>
        <w:rPr>
          <w:rFonts w:hint="eastAsia"/>
          <w:color w:val="auto"/>
        </w:rPr>
        <w:t>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51CF3512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我公司</w:t>
      </w:r>
      <w:r>
        <w:rPr>
          <w:rFonts w:hint="eastAsia"/>
          <w:color w:val="auto"/>
        </w:rPr>
        <w:t>拥有完善的研发、生产、销售和技术服务团队，是国内水质数字传感领导品牌，为国内近百个市、县（区）政府和生态环境部门提供水环境监测技术支撑。</w:t>
      </w:r>
    </w:p>
    <w:p w14:paraId="1533D5EC">
      <w:pPr>
        <w:ind w:firstLine="480"/>
        <w:rPr>
          <w:rFonts w:hint="eastAsia"/>
          <w:color w:val="auto"/>
        </w:rPr>
      </w:pPr>
    </w:p>
    <w:p w14:paraId="132832D0">
      <w:pPr>
        <w:ind w:firstLine="480"/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DB9291">
      <w:pPr>
        <w:pStyle w:val="2"/>
        <w:rPr>
          <w:rFonts w:hint="eastAsia"/>
          <w:color w:val="auto"/>
        </w:rPr>
      </w:pPr>
      <w:bookmarkStart w:id="3" w:name="_Toc28553"/>
      <w:bookmarkStart w:id="4" w:name="_Toc21591"/>
      <w:r>
        <w:rPr>
          <w:rFonts w:hint="eastAsia"/>
          <w:color w:val="auto"/>
        </w:rPr>
        <w:t>泳池水监测概述</w:t>
      </w:r>
      <w:bookmarkEnd w:id="3"/>
      <w:bookmarkEnd w:id="4"/>
    </w:p>
    <w:p w14:paraId="0392BD9D">
      <w:pPr>
        <w:pStyle w:val="3"/>
        <w:rPr>
          <w:rFonts w:hint="eastAsia"/>
          <w:color w:val="auto"/>
        </w:rPr>
      </w:pPr>
      <w:bookmarkStart w:id="5" w:name="OLE_LINK1"/>
      <w:bookmarkStart w:id="6" w:name="_Toc25847"/>
      <w:r>
        <w:rPr>
          <w:rFonts w:hint="eastAsia"/>
          <w:color w:val="auto"/>
        </w:rPr>
        <w:t>泳池水行业背景</w:t>
      </w:r>
      <w:bookmarkEnd w:id="5"/>
      <w:bookmarkEnd w:id="6"/>
    </w:p>
    <w:p w14:paraId="2F80F57F">
      <w:pPr>
        <w:ind w:firstLine="0" w:firstLineChars="0"/>
        <w:jc w:val="left"/>
        <w:rPr>
          <w:rFonts w:hint="eastAsia"/>
          <w:color w:val="auto"/>
        </w:rPr>
      </w:pPr>
      <w:r>
        <w:rPr>
          <w:rFonts w:hint="eastAsia"/>
          <w:color w:val="auto"/>
        </w:rPr>
        <w:t>（1）泳池水的水质监测核心痛点</w:t>
      </w:r>
    </w:p>
    <w:p w14:paraId="0156CB3A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实时监测不足</w:t>
      </w:r>
    </w:p>
    <w:p w14:paraId="79BF2B7C">
      <w:pPr>
        <w:bidi w:val="0"/>
        <w:rPr>
          <w:rFonts w:hint="eastAsia"/>
          <w:color w:val="auto"/>
        </w:rPr>
      </w:pPr>
      <w:r>
        <w:rPr>
          <w:color w:val="auto"/>
        </w:rPr>
        <w:t>延迟问题：传统方法依赖人工采样和实验室分析，无法实时反映水质变化。</w:t>
      </w:r>
    </w:p>
    <w:p w14:paraId="35F435D3">
      <w:pPr>
        <w:bidi w:val="0"/>
        <w:rPr>
          <w:rFonts w:hint="eastAsia"/>
          <w:color w:val="auto"/>
        </w:rPr>
      </w:pPr>
      <w:r>
        <w:rPr>
          <w:color w:val="auto"/>
        </w:rPr>
        <w:t>突发污染：无法及时应对突发污染事件，如化学物质泄漏或微生物超标。</w:t>
      </w:r>
    </w:p>
    <w:p w14:paraId="74C1B5BE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监测参数有限</w:t>
      </w:r>
    </w:p>
    <w:p w14:paraId="46662EE9">
      <w:pPr>
        <w:bidi w:val="0"/>
        <w:rPr>
          <w:rFonts w:hint="eastAsia"/>
          <w:color w:val="auto"/>
        </w:rPr>
      </w:pPr>
      <w:r>
        <w:rPr>
          <w:color w:val="auto"/>
        </w:rPr>
        <w:t>参数覆盖不全：通常只监测余氯、pH等少数指标，忽略其他有害物质。</w:t>
      </w:r>
    </w:p>
    <w:p w14:paraId="59228845">
      <w:pPr>
        <w:bidi w:val="0"/>
        <w:rPr>
          <w:rFonts w:hint="eastAsia"/>
          <w:color w:val="auto"/>
        </w:rPr>
      </w:pPr>
      <w:r>
        <w:rPr>
          <w:color w:val="auto"/>
        </w:rPr>
        <w:t>综合评估不足：缺乏对水质的全面评估，难以准确判断整体安全性。</w:t>
      </w:r>
    </w:p>
    <w:p w14:paraId="1CD2A0ED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设备成本高</w:t>
      </w:r>
    </w:p>
    <w:p w14:paraId="5774601D">
      <w:pPr>
        <w:bidi w:val="0"/>
        <w:rPr>
          <w:rFonts w:hint="eastAsia"/>
          <w:color w:val="auto"/>
        </w:rPr>
      </w:pPr>
      <w:r>
        <w:rPr>
          <w:color w:val="auto"/>
        </w:rPr>
        <w:t>初始投入大：高精度监测设备价格昂贵，尤其对小型泳池运营者负担较重。</w:t>
      </w:r>
    </w:p>
    <w:p w14:paraId="26982555">
      <w:pPr>
        <w:bidi w:val="0"/>
        <w:rPr>
          <w:rFonts w:hint="eastAsia"/>
          <w:color w:val="auto"/>
        </w:rPr>
      </w:pPr>
      <w:r>
        <w:rPr>
          <w:color w:val="auto"/>
        </w:rPr>
        <w:t>维护费用高：设备需要定期校准和维护，增加了运营成本。</w:t>
      </w:r>
    </w:p>
    <w:p w14:paraId="35DCFDD4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数据管理复杂</w:t>
      </w:r>
    </w:p>
    <w:p w14:paraId="7A028095">
      <w:pPr>
        <w:bidi w:val="0"/>
        <w:rPr>
          <w:rFonts w:hint="eastAsia"/>
          <w:color w:val="auto"/>
        </w:rPr>
      </w:pPr>
      <w:r>
        <w:rPr>
          <w:color w:val="auto"/>
        </w:rPr>
        <w:t>数据整合难：来自不同设备的数据格式不统一，难以整合分析。</w:t>
      </w:r>
    </w:p>
    <w:p w14:paraId="4D0BDAC6">
      <w:pPr>
        <w:bidi w:val="0"/>
        <w:rPr>
          <w:rFonts w:hint="eastAsia"/>
          <w:color w:val="auto"/>
        </w:rPr>
      </w:pPr>
      <w:r>
        <w:rPr>
          <w:color w:val="auto"/>
        </w:rPr>
        <w:t>智能化不足：缺乏智能分析系统，无法提供有效的预警和决策支持。</w:t>
      </w:r>
    </w:p>
    <w:p w14:paraId="5AD4C781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环境干扰</w:t>
      </w:r>
    </w:p>
    <w:p w14:paraId="2FF67715">
      <w:pPr>
        <w:bidi w:val="0"/>
        <w:rPr>
          <w:rFonts w:hint="eastAsia"/>
          <w:color w:val="auto"/>
        </w:rPr>
      </w:pPr>
      <w:r>
        <w:rPr>
          <w:color w:val="auto"/>
        </w:rPr>
        <w:t>外部因素影响：温度、湿度等环境变化可能影响监测设备的准确性。</w:t>
      </w:r>
    </w:p>
    <w:p w14:paraId="1D432497">
      <w:pPr>
        <w:bidi w:val="0"/>
        <w:rPr>
          <w:rFonts w:hint="eastAsia"/>
          <w:color w:val="auto"/>
        </w:rPr>
      </w:pPr>
      <w:r>
        <w:rPr>
          <w:color w:val="auto"/>
        </w:rPr>
        <w:t>污染物干扰：泳池中的油脂、汗液等可能干扰传感器读数。</w:t>
      </w:r>
    </w:p>
    <w:p w14:paraId="33DF8508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法规与标准不统一</w:t>
      </w:r>
    </w:p>
    <w:p w14:paraId="20FF4505">
      <w:pPr>
        <w:bidi w:val="0"/>
        <w:rPr>
          <w:rFonts w:hint="eastAsia"/>
          <w:color w:val="auto"/>
        </w:rPr>
      </w:pPr>
      <w:r>
        <w:rPr>
          <w:color w:val="auto"/>
        </w:rPr>
        <w:t>标准差异：不同地区的标准不一致，增加了合规难度。</w:t>
      </w:r>
    </w:p>
    <w:p w14:paraId="7C07A4BC">
      <w:pPr>
        <w:bidi w:val="0"/>
        <w:rPr>
          <w:rFonts w:hint="eastAsia"/>
          <w:color w:val="auto"/>
        </w:rPr>
      </w:pPr>
      <w:r>
        <w:rPr>
          <w:color w:val="auto"/>
        </w:rPr>
        <w:t>更新滞后：法规更新不及时，难以应对新型污染物。</w:t>
      </w:r>
    </w:p>
    <w:p w14:paraId="4C47AAEB">
      <w:pPr>
        <w:ind w:firstLine="482"/>
        <w:rPr>
          <w:rFonts w:hint="eastAsia"/>
          <w:b/>
          <w:bCs/>
          <w:color w:val="auto"/>
        </w:rPr>
      </w:pPr>
      <w:r>
        <w:rPr>
          <w:b/>
          <w:bCs/>
          <w:color w:val="auto"/>
        </w:rPr>
        <w:t>用户安全意识不足</w:t>
      </w:r>
    </w:p>
    <w:p w14:paraId="7474E57D">
      <w:pPr>
        <w:bidi w:val="0"/>
        <w:rPr>
          <w:rFonts w:hint="eastAsia"/>
          <w:color w:val="auto"/>
        </w:rPr>
      </w:pPr>
      <w:r>
        <w:rPr>
          <w:color w:val="auto"/>
        </w:rPr>
        <w:t>忽视监测：部分泳池管理者和用户对水质监测的重要性认识不足。</w:t>
      </w:r>
    </w:p>
    <w:p w14:paraId="4394F0BC">
      <w:pPr>
        <w:bidi w:val="0"/>
        <w:rPr>
          <w:rFonts w:hint="eastAsia"/>
          <w:color w:val="auto"/>
        </w:rPr>
      </w:pPr>
      <w:r>
        <w:rPr>
          <w:color w:val="auto"/>
        </w:rPr>
        <w:t>应急响应差：缺乏应急预案，面对水质问题反应迟缓。</w:t>
      </w:r>
    </w:p>
    <w:p w14:paraId="43E42DBE">
      <w:pPr>
        <w:ind w:firstLine="0" w:firstLineChars="0"/>
        <w:jc w:val="left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泳池水的水质标准与法规要求</w:t>
      </w:r>
    </w:p>
    <w:p w14:paraId="3A573818">
      <w:pPr>
        <w:bidi w:val="0"/>
        <w:rPr>
          <w:rFonts w:hint="eastAsia"/>
          <w:color w:val="auto"/>
        </w:rPr>
      </w:pPr>
      <w:r>
        <w:rPr>
          <w:color w:val="auto"/>
        </w:rPr>
        <w:t>世界卫生组织（WHO）：提供全球水质指导。</w:t>
      </w:r>
    </w:p>
    <w:p w14:paraId="3F0FC04B">
      <w:pPr>
        <w:bidi w:val="0"/>
        <w:rPr>
          <w:rFonts w:hint="eastAsia"/>
          <w:color w:val="auto"/>
        </w:rPr>
      </w:pPr>
      <w:r>
        <w:rPr>
          <w:color w:val="auto"/>
        </w:rPr>
        <w:t>美国公共卫生协会（APHA）：发布《水和废水标准检验方法》。</w:t>
      </w:r>
    </w:p>
    <w:p w14:paraId="5A50D356">
      <w:pPr>
        <w:bidi w:val="0"/>
        <w:rPr>
          <w:rFonts w:hint="eastAsia"/>
          <w:color w:val="auto"/>
        </w:rPr>
      </w:pPr>
      <w:r>
        <w:rPr>
          <w:color w:val="auto"/>
        </w:rPr>
        <w:t>欧盟标准：如EN 15288，涵盖泳池设计、运营和水质要求。</w:t>
      </w:r>
    </w:p>
    <w:p w14:paraId="69C87F21">
      <w:pPr>
        <w:bidi w:val="0"/>
        <w:rPr>
          <w:rFonts w:hint="eastAsia"/>
          <w:color w:val="auto"/>
        </w:rPr>
      </w:pPr>
      <w:r>
        <w:rPr>
          <w:color w:val="auto"/>
        </w:rPr>
        <w:t>中国标准：如GB 37488-2019《公共场所卫生指标及限值要求》，详细规定泳池水质标准。</w:t>
      </w:r>
    </w:p>
    <w:p w14:paraId="4BC1FC9D">
      <w:pPr>
        <w:ind w:firstLine="0" w:firstLineChars="0"/>
        <w:jc w:val="left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  <w:lang w:eastAsia="zh-CN"/>
        </w:rPr>
        <w:t>）监测依据</w:t>
      </w:r>
    </w:p>
    <w:p w14:paraId="6C04F4E4">
      <w:pPr>
        <w:bidi w:val="0"/>
        <w:rPr>
          <w:rFonts w:hint="eastAsia"/>
          <w:color w:val="auto"/>
        </w:rPr>
      </w:pPr>
      <w:r>
        <w:rPr>
          <w:color w:val="auto"/>
        </w:rPr>
        <w:t>采样频率：根据泳池使用频率和规模，通常每天或每周采样。</w:t>
      </w:r>
    </w:p>
    <w:p w14:paraId="1533B136">
      <w:pPr>
        <w:bidi w:val="0"/>
        <w:rPr>
          <w:rFonts w:hint="eastAsia"/>
          <w:color w:val="auto"/>
        </w:rPr>
      </w:pPr>
      <w:r>
        <w:rPr>
          <w:color w:val="auto"/>
        </w:rPr>
        <w:t>采样点：包括池水、进水口、回水口等关键位置。</w:t>
      </w:r>
    </w:p>
    <w:p w14:paraId="7B222B1F">
      <w:pPr>
        <w:bidi w:val="0"/>
        <w:rPr>
          <w:rFonts w:hint="eastAsia"/>
          <w:color w:val="auto"/>
        </w:rPr>
      </w:pPr>
      <w:r>
        <w:rPr>
          <w:color w:val="auto"/>
        </w:rPr>
        <w:t>检测方法：采用标准方法，如分光光度法、滴定法、微生物培养法等。</w:t>
      </w:r>
    </w:p>
    <w:p w14:paraId="68DD418A">
      <w:pPr>
        <w:bidi w:val="0"/>
        <w:rPr>
          <w:rFonts w:hint="eastAsia"/>
          <w:color w:val="auto"/>
        </w:rPr>
      </w:pPr>
      <w:r>
        <w:rPr>
          <w:color w:val="auto"/>
        </w:rPr>
        <w:t>记录与报告：详细记录检测结果，定期向监管部门报告。</w:t>
      </w:r>
    </w:p>
    <w:p w14:paraId="0B283FF3">
      <w:pPr>
        <w:pStyle w:val="3"/>
        <w:rPr>
          <w:rFonts w:hint="eastAsia"/>
          <w:color w:val="auto"/>
        </w:rPr>
      </w:pPr>
      <w:bookmarkStart w:id="7" w:name="_Toc16844"/>
      <w:bookmarkStart w:id="8" w:name="_Toc1409"/>
      <w:r>
        <w:rPr>
          <w:rFonts w:hint="eastAsia"/>
          <w:color w:val="auto"/>
        </w:rPr>
        <w:t>泳池水监测特点</w:t>
      </w:r>
      <w:bookmarkEnd w:id="7"/>
      <w:bookmarkEnd w:id="8"/>
    </w:p>
    <w:p w14:paraId="222A0793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余氯：衡量消毒效果，通常游离余氯浓度为1-3 mg/L。</w:t>
      </w:r>
    </w:p>
    <w:p w14:paraId="41715204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pH值：影响消毒剂效果和人体舒适度，通常范围为7.2-7.8。</w:t>
      </w:r>
    </w:p>
    <w:p w14:paraId="33644576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氧化还原电位（ORP）：反映水体消毒能力，通常要求≥650 mV。</w:t>
      </w:r>
    </w:p>
    <w:p w14:paraId="28C989D3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浊度：反映水体清澈度，通常要求低于0.5 NTU。</w:t>
      </w:r>
    </w:p>
    <w:p w14:paraId="56B921D7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水温：影响舒</w:t>
      </w:r>
      <w:r>
        <w:rPr>
          <w:color w:val="auto"/>
          <w:u w:val="single"/>
        </w:rPr>
        <w:t>适</w:t>
      </w:r>
      <w:r>
        <w:rPr>
          <w:color w:val="auto"/>
        </w:rPr>
        <w:t>度和消毒效果，通常建议为26-28°C。</w:t>
      </w:r>
    </w:p>
    <w:p w14:paraId="17542C2B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透明度：应能清晰看到池底标志。</w:t>
      </w:r>
    </w:p>
    <w:p w14:paraId="132F3927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  <w:lang w:eastAsia="zh-CN"/>
        </w:rPr>
        <w:t>）</w:t>
      </w:r>
      <w:r>
        <w:rPr>
          <w:color w:val="auto"/>
        </w:rPr>
        <w:t>氨氮：反映有机污染，通常限值为0.2 mg/L。</w:t>
      </w:r>
    </w:p>
    <w:p w14:paraId="15B0443E">
      <w:pPr>
        <w:pStyle w:val="2"/>
        <w:rPr>
          <w:rFonts w:hint="eastAsia"/>
          <w:color w:val="auto"/>
        </w:rPr>
      </w:pPr>
      <w:bookmarkStart w:id="9" w:name="_Toc15099"/>
      <w:bookmarkStart w:id="10" w:name="_Toc27028"/>
      <w:r>
        <w:rPr>
          <w:rFonts w:hint="eastAsia"/>
          <w:color w:val="auto"/>
        </w:rPr>
        <w:t>建设方案设计</w:t>
      </w:r>
      <w:bookmarkEnd w:id="9"/>
      <w:bookmarkEnd w:id="10"/>
    </w:p>
    <w:p w14:paraId="2636C568">
      <w:pPr>
        <w:pStyle w:val="3"/>
        <w:rPr>
          <w:rFonts w:hint="eastAsia"/>
          <w:color w:val="auto"/>
        </w:rPr>
      </w:pPr>
      <w:bookmarkStart w:id="11" w:name="_Toc30072"/>
      <w:r>
        <w:rPr>
          <w:rFonts w:hint="eastAsia"/>
          <w:color w:val="auto"/>
        </w:rPr>
        <w:t>系统框架图</w:t>
      </w:r>
      <w:bookmarkEnd w:id="11"/>
    </w:p>
    <w:p w14:paraId="1E3FFA2E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5271770" cy="2686685"/>
            <wp:effectExtent l="0" t="0" r="5080" b="18415"/>
            <wp:docPr id="5" name="图片 5" descr="C:/Users/10745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745/Desktop/图片1.png图片1"/>
                    <pic:cNvPicPr>
                      <a:picLocks noChangeAspect="1"/>
                    </pic:cNvPicPr>
                  </pic:nvPicPr>
                  <pic:blipFill>
                    <a:blip r:embed="rId1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>关键功能：</w:t>
      </w:r>
    </w:p>
    <w:p w14:paraId="176D708F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 xml:space="preserve">供水水质监测微系统可同时接 </w:t>
      </w:r>
      <w:r>
        <w:rPr>
          <w:color w:val="auto"/>
        </w:rPr>
        <w:t xml:space="preserve">4 </w:t>
      </w:r>
      <w:r>
        <w:rPr>
          <w:rFonts w:hint="eastAsia"/>
          <w:color w:val="auto"/>
        </w:rPr>
        <w:t>支传感器，连续监测包括</w:t>
      </w:r>
      <w:bookmarkStart w:id="12" w:name="OLE_LINK4"/>
      <w:r>
        <w:rPr>
          <w:rFonts w:hint="eastAsia"/>
          <w:color w:val="auto"/>
        </w:rPr>
        <w:t>余氯、浊度、</w:t>
      </w:r>
      <w:r>
        <w:rPr>
          <w:color w:val="auto"/>
        </w:rPr>
        <w:t>pH</w:t>
      </w:r>
      <w:r>
        <w:rPr>
          <w:rFonts w:hint="eastAsia"/>
          <w:color w:val="auto"/>
        </w:rPr>
        <w:t>、电导率和温度</w:t>
      </w:r>
      <w:bookmarkEnd w:id="12"/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5 </w:t>
      </w:r>
      <w:r>
        <w:rPr>
          <w:rFonts w:hint="eastAsia"/>
          <w:color w:val="auto"/>
        </w:rPr>
        <w:t xml:space="preserve">种水质参数，其他参数可根据要求进行定制； </w:t>
      </w:r>
    </w:p>
    <w:p w14:paraId="5C83DA1D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 xml:space="preserve">配置灵活可选，通讯功能齐备； </w:t>
      </w:r>
    </w:p>
    <w:p w14:paraId="49538544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 xml:space="preserve">采用一体化设计，体积小，易安装，维护量更低，专门为无人值守的应用场合设计； </w:t>
      </w:r>
    </w:p>
    <w:p w14:paraId="242C6FC6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 xml:space="preserve">带有密码锁安全可靠； </w:t>
      </w:r>
    </w:p>
    <w:p w14:paraId="57C8D240"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 xml:space="preserve">专用的工控采集设备 </w:t>
      </w:r>
      <w:r>
        <w:rPr>
          <w:color w:val="auto"/>
        </w:rPr>
        <w:t>MPC-206S</w:t>
      </w:r>
      <w:r>
        <w:rPr>
          <w:rFonts w:hint="eastAsia"/>
          <w:color w:val="auto"/>
        </w:rPr>
        <w:t>，</w:t>
      </w:r>
      <w:r>
        <w:rPr>
          <w:color w:val="auto"/>
        </w:rPr>
        <w:t xml:space="preserve">1 </w:t>
      </w:r>
      <w:r>
        <w:rPr>
          <w:rFonts w:hint="eastAsia"/>
          <w:color w:val="auto"/>
        </w:rPr>
        <w:t xml:space="preserve">路 </w:t>
      </w:r>
      <w:r>
        <w:rPr>
          <w:color w:val="auto"/>
        </w:rPr>
        <w:t xml:space="preserve">RS485 </w:t>
      </w:r>
      <w:r>
        <w:rPr>
          <w:rFonts w:hint="eastAsia"/>
          <w:color w:val="auto"/>
        </w:rPr>
        <w:t>输出，</w:t>
      </w:r>
      <w:r>
        <w:rPr>
          <w:color w:val="auto"/>
        </w:rPr>
        <w:t xml:space="preserve">4 </w:t>
      </w:r>
      <w:r>
        <w:rPr>
          <w:rFonts w:hint="eastAsia"/>
          <w:color w:val="auto"/>
        </w:rPr>
        <w:t xml:space="preserve">路 </w:t>
      </w:r>
      <w:r>
        <w:rPr>
          <w:color w:val="auto"/>
        </w:rPr>
        <w:t xml:space="preserve">485 </w:t>
      </w:r>
      <w:r>
        <w:rPr>
          <w:rFonts w:hint="eastAsia"/>
          <w:color w:val="auto"/>
        </w:rPr>
        <w:t>接口设计，互不干扰稳定可靠</w:t>
      </w:r>
    </w:p>
    <w:p w14:paraId="4090167B">
      <w:pPr>
        <w:bidi w:val="0"/>
        <w:rPr>
          <w:rFonts w:hint="eastAsia"/>
          <w:color w:val="auto"/>
        </w:rPr>
      </w:pPr>
    </w:p>
    <w:p w14:paraId="3DE31DCF">
      <w:pPr>
        <w:pStyle w:val="3"/>
        <w:rPr>
          <w:rFonts w:hint="eastAsia"/>
          <w:color w:val="auto"/>
        </w:rPr>
      </w:pPr>
      <w:bookmarkStart w:id="13" w:name="_Toc19936"/>
      <w:r>
        <w:rPr>
          <w:rFonts w:hint="eastAsia"/>
          <w:color w:val="auto"/>
        </w:rPr>
        <w:t>设备选型策略</w:t>
      </w:r>
      <w:bookmarkEnd w:id="13"/>
    </w:p>
    <w:tbl>
      <w:tblPr>
        <w:tblStyle w:val="20"/>
        <w:tblpPr w:leftFromText="180" w:rightFromText="180" w:vertAnchor="text" w:horzAnchor="page" w:tblpX="1762" w:tblpY="469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3278"/>
        <w:gridCol w:w="3070"/>
      </w:tblGrid>
      <w:tr w14:paraId="7898C3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vAlign w:val="center"/>
          </w:tcPr>
          <w:p w14:paraId="0FC561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核心监测参数</w:t>
            </w:r>
          </w:p>
        </w:tc>
        <w:tc>
          <w:tcPr>
            <w:tcW w:w="1923" w:type="pct"/>
            <w:vAlign w:val="center"/>
          </w:tcPr>
          <w:p w14:paraId="224B8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1801" w:type="pct"/>
            <w:vAlign w:val="center"/>
          </w:tcPr>
          <w:p w14:paraId="45E18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设备原理</w:t>
            </w:r>
          </w:p>
        </w:tc>
      </w:tr>
      <w:tr w14:paraId="3D445B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143AB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余氯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2E546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在线余氯传感器/在线余氯分析仪/便携式多参数分析仪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04383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恒压法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/DPD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吸光度法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/光电比色法</w:t>
            </w:r>
          </w:p>
        </w:tc>
      </w:tr>
      <w:tr w14:paraId="59A1FB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3F1689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3C4F8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53860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玻璃电极法</w:t>
            </w:r>
          </w:p>
        </w:tc>
      </w:tr>
      <w:tr w14:paraId="29CC93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7D635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氧化还原电位（ORP）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6BC7C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在线ORP传感器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21B05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铂电极法</w:t>
            </w:r>
          </w:p>
        </w:tc>
      </w:tr>
      <w:tr w14:paraId="1D57F9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1A4F0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浊度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23DB9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30908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散射光法</w:t>
            </w:r>
          </w:p>
        </w:tc>
      </w:tr>
      <w:tr w14:paraId="78DD16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013C0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透明度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4BF33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在线透明度传感器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409F1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可见光吸收法</w:t>
            </w:r>
          </w:p>
        </w:tc>
      </w:tr>
      <w:tr w14:paraId="5BDF54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2171" w:type="dxa"/>
            <w:shd w:val="clear" w:color="auto" w:fill="auto"/>
            <w:vAlign w:val="center"/>
          </w:tcPr>
          <w:p w14:paraId="1F565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电导率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7D4A5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3070" w:type="dxa"/>
            <w:shd w:val="clear" w:color="auto" w:fill="auto"/>
            <w:vAlign w:val="center"/>
          </w:tcPr>
          <w:p w14:paraId="6A5AB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接触式电极法</w:t>
            </w:r>
          </w:p>
        </w:tc>
      </w:tr>
      <w:tr w14:paraId="1CA3A6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66A63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氨氮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54775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在线氨氮传感器/在线氨氮分析仪/在线全光谱多参数传感器/便携式多参数分析仪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6D6F2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离子选择法/水杨酸法/全光谱法/光电比色法</w:t>
            </w:r>
          </w:p>
        </w:tc>
      </w:tr>
      <w:tr w14:paraId="292FB0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61716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泳池清洁</w:t>
            </w:r>
          </w:p>
        </w:tc>
        <w:tc>
          <w:tcPr>
            <w:tcW w:w="1923" w:type="pct"/>
            <w:shd w:val="clear" w:color="auto" w:fill="auto"/>
            <w:vAlign w:val="center"/>
          </w:tcPr>
          <w:p w14:paraId="6218DB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自动清洗机器人</w:t>
            </w:r>
          </w:p>
        </w:tc>
        <w:tc>
          <w:tcPr>
            <w:tcW w:w="1801" w:type="pct"/>
            <w:shd w:val="clear" w:color="auto" w:fill="auto"/>
            <w:vAlign w:val="center"/>
          </w:tcPr>
          <w:p w14:paraId="7DE6F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</w:tr>
    </w:tbl>
    <w:p w14:paraId="7FC51A5D">
      <w:pPr>
        <w:rPr>
          <w:rFonts w:hint="eastAsia"/>
          <w:color w:val="auto"/>
        </w:rPr>
      </w:pPr>
    </w:p>
    <w:p w14:paraId="122E34E3">
      <w:pPr>
        <w:rPr>
          <w:rFonts w:hint="eastAsia"/>
          <w:color w:val="auto"/>
        </w:rPr>
      </w:pPr>
    </w:p>
    <w:p w14:paraId="7F609A3C">
      <w:pPr>
        <w:pStyle w:val="2"/>
        <w:rPr>
          <w:rFonts w:hint="eastAsia"/>
          <w:color w:val="auto"/>
        </w:rPr>
      </w:pPr>
      <w:bookmarkStart w:id="14" w:name="_Toc24440"/>
      <w:bookmarkStart w:id="15" w:name="_Toc8985"/>
      <w:r>
        <w:rPr>
          <w:rFonts w:hint="eastAsia"/>
          <w:color w:val="auto"/>
        </w:rPr>
        <w:t>产品介绍</w:t>
      </w:r>
      <w:bookmarkEnd w:id="14"/>
      <w:bookmarkEnd w:id="15"/>
    </w:p>
    <w:p w14:paraId="3809EBF4">
      <w:pPr>
        <w:pStyle w:val="3"/>
        <w:rPr>
          <w:rFonts w:hint="eastAsia"/>
          <w:color w:val="auto"/>
        </w:rPr>
      </w:pPr>
      <w:bookmarkStart w:id="16" w:name="_Toc20491"/>
      <w:r>
        <w:rPr>
          <w:rFonts w:hint="eastAsia"/>
          <w:color w:val="auto"/>
        </w:rPr>
        <w:t>技术参数</w:t>
      </w:r>
      <w:bookmarkEnd w:id="16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图片示例</w:t>
            </w:r>
          </w:p>
        </w:tc>
      </w:tr>
      <w:tr w14:paraId="16D01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6C6041C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在线余氯传感器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8341B6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原理：恒压法</w:t>
            </w:r>
          </w:p>
          <w:p w14:paraId="04EFDA8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量程：0～2.000mg/L</w:t>
            </w:r>
          </w:p>
          <w:p w14:paraId="5519793B">
            <w:pPr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读数的±5%/±0.05mg/L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5A8148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cs="Times New Roman"/>
                <w:sz w:val="28"/>
                <w:szCs w:val="28"/>
              </w:rPr>
              <w:drawing>
                <wp:inline distT="0" distB="0" distL="114300" distR="114300">
                  <wp:extent cx="304165" cy="1256665"/>
                  <wp:effectExtent l="0" t="203200" r="0" b="208915"/>
                  <wp:docPr id="12" name="图片 12" descr="64c5201a486764d6471562335dbe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4c5201a486764d6471562335dbe01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3600000">
                            <a:off x="0" y="0"/>
                            <a:ext cx="30416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F5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</w:trPr>
        <w:tc>
          <w:tcPr>
            <w:tcW w:w="927" w:type="pct"/>
            <w:shd w:val="clear" w:color="auto" w:fill="auto"/>
            <w:vAlign w:val="center"/>
          </w:tcPr>
          <w:p w14:paraId="1A59AAE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在线余氯分析仪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B8E08D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DPD</w:t>
            </w:r>
            <w:r>
              <w:rPr>
                <w:rFonts w:hint="eastAsia"/>
                <w:sz w:val="21"/>
                <w:szCs w:val="21"/>
              </w:rPr>
              <w:t>吸光度法</w:t>
            </w:r>
          </w:p>
          <w:p w14:paraId="49F898A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：0-5.000mg/L</w:t>
            </w:r>
          </w:p>
          <w:p w14:paraId="27A78CD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：±0.1 mg/L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BD51C9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8"/>
                <w:szCs w:val="28"/>
              </w:rPr>
              <w:drawing>
                <wp:inline distT="0" distB="0" distL="114300" distR="114300">
                  <wp:extent cx="855980" cy="991870"/>
                  <wp:effectExtent l="0" t="0" r="12700" b="13970"/>
                  <wp:docPr id="13" name="图片 13" descr="IMG_2722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722.HEI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F61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927" w:type="pct"/>
            <w:shd w:val="clear" w:color="auto" w:fill="auto"/>
            <w:vAlign w:val="center"/>
          </w:tcPr>
          <w:p w14:paraId="1D83F98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31DA0C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原理：玻璃电极法</w:t>
            </w:r>
          </w:p>
          <w:p w14:paraId="03F979B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量程：0-14 pH</w:t>
            </w:r>
          </w:p>
          <w:p w14:paraId="416500E9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1278C9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26390" cy="1350645"/>
                  <wp:effectExtent l="0" t="307340" r="0" b="31115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840B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927" w:type="pct"/>
            <w:vAlign w:val="center"/>
          </w:tcPr>
          <w:p w14:paraId="7936B53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在线ORP传感器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F3EB5C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</w:t>
            </w:r>
            <w:r>
              <w:rPr>
                <w:rFonts w:hint="eastAsia"/>
                <w:sz w:val="21"/>
                <w:szCs w:val="21"/>
              </w:rPr>
              <w:t>铂电极法</w:t>
            </w:r>
          </w:p>
          <w:p w14:paraId="1C7DFB4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</w:t>
            </w:r>
            <w:r>
              <w:rPr>
                <w:rFonts w:hint="eastAsia"/>
                <w:sz w:val="21"/>
                <w:szCs w:val="21"/>
              </w:rPr>
              <w:t>-2000～+2000mV</w:t>
            </w:r>
          </w:p>
          <w:p w14:paraId="50942A87">
            <w:pPr>
              <w:spacing w:line="24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精度：</w:t>
            </w:r>
            <w:r>
              <w:rPr>
                <w:rFonts w:hint="eastAsia"/>
                <w:sz w:val="21"/>
                <w:szCs w:val="21"/>
              </w:rPr>
              <w:t>±6mV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7E31900">
            <w:pPr>
              <w:spacing w:line="240" w:lineRule="auto"/>
              <w:ind w:firstLine="0" w:firstLineChars="0"/>
              <w:jc w:val="center"/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26390" cy="1350645"/>
                  <wp:effectExtent l="5715" t="270510" r="15240" b="271780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390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927" w:type="pct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32BA44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原理：光散射</w:t>
            </w:r>
          </w:p>
          <w:p w14:paraId="3E05274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量程：0~10.000NTU</w:t>
            </w:r>
          </w:p>
          <w:p w14:paraId="22709E4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精度：±2%或±0.02NTU以大为准；±0.3℃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7ECA8F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98830" cy="1207135"/>
                  <wp:effectExtent l="0" t="0" r="8890" b="12065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AA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927" w:type="pct"/>
            <w:vAlign w:val="center"/>
          </w:tcPr>
          <w:p w14:paraId="5B8FF44E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在线透明度传感器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7EA70A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原理：</w:t>
            </w:r>
            <w:r>
              <w:rPr>
                <w:rFonts w:hint="eastAsia"/>
                <w:sz w:val="21"/>
                <w:szCs w:val="21"/>
              </w:rPr>
              <w:t>可见光吸收法</w:t>
            </w:r>
          </w:p>
          <w:p w14:paraId="7E9600C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量程：</w:t>
            </w:r>
            <w:r>
              <w:rPr>
                <w:rFonts w:hint="eastAsia"/>
                <w:sz w:val="21"/>
                <w:szCs w:val="21"/>
              </w:rPr>
              <w:t>50～2000 mm</w:t>
            </w:r>
          </w:p>
          <w:p w14:paraId="791F345E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精度：</w:t>
            </w:r>
            <w:r>
              <w:rPr>
                <w:rFonts w:hint="eastAsia"/>
                <w:sz w:val="21"/>
                <w:szCs w:val="21"/>
              </w:rPr>
              <w:t>±10%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4C74D6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</w:rPr>
              <w:drawing>
                <wp:inline distT="0" distB="0" distL="114300" distR="114300">
                  <wp:extent cx="483235" cy="1261110"/>
                  <wp:effectExtent l="30480" t="304800" r="34290" b="309245"/>
                  <wp:docPr id="18" name="图片 1" descr="1978046dcde96ccac800f9f42225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1978046dcde96ccac800f9f422253b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2010" r="26482"/>
                          <a:stretch>
                            <a:fillRect/>
                          </a:stretch>
                        </pic:blipFill>
                        <pic:spPr>
                          <a:xfrm rot="3420000">
                            <a:off x="0" y="0"/>
                            <a:ext cx="48323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0FFA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927" w:type="pct"/>
            <w:vAlign w:val="center"/>
          </w:tcPr>
          <w:p w14:paraId="0FAC82A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BAF580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：接触式电极法</w:t>
            </w:r>
          </w:p>
          <w:p w14:paraId="66ACA78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：0～5000 μS/cm</w:t>
            </w:r>
          </w:p>
          <w:p w14:paraId="7A0E577A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B1C0B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drawing>
                <wp:inline distT="0" distB="0" distL="114300" distR="114300">
                  <wp:extent cx="302260" cy="1303020"/>
                  <wp:effectExtent l="0" t="330200" r="0" b="342900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342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7C54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927" w:type="pct"/>
            <w:vAlign w:val="center"/>
          </w:tcPr>
          <w:p w14:paraId="681B4BA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在线氨氮传感器</w:t>
            </w:r>
          </w:p>
        </w:tc>
        <w:tc>
          <w:tcPr>
            <w:tcW w:w="2456" w:type="pct"/>
            <w:vAlign w:val="center"/>
          </w:tcPr>
          <w:p w14:paraId="3FB5220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：离子选择电极法</w:t>
            </w:r>
          </w:p>
          <w:p w14:paraId="3F03E92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：0～100.00 mg/L</w:t>
            </w:r>
          </w:p>
          <w:p w14:paraId="7BA0E54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：读数的±10%或±1 mg/L 以大者为准</w:t>
            </w:r>
          </w:p>
        </w:tc>
        <w:tc>
          <w:tcPr>
            <w:tcW w:w="1616" w:type="pct"/>
            <w:vAlign w:val="center"/>
          </w:tcPr>
          <w:p w14:paraId="6524B68E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2430" cy="1581785"/>
                  <wp:effectExtent l="0" t="170180" r="0" b="290830"/>
                  <wp:docPr id="45" name="图片 45" descr="E:/新建文件夹 (9)/mmexport1716363568522.pngmmexport171636356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:/新建文件夹 (9)/mmexport1716363568522.pngmmexport17163635685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3411" r="33411"/>
                          <a:stretch>
                            <a:fillRect/>
                          </a:stretch>
                        </pic:blipFill>
                        <pic:spPr>
                          <a:xfrm rot="3420000">
                            <a:off x="0" y="0"/>
                            <a:ext cx="3924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0C2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2" w:hRule="atLeast"/>
        </w:trPr>
        <w:tc>
          <w:tcPr>
            <w:tcW w:w="927" w:type="pct"/>
            <w:vAlign w:val="center"/>
          </w:tcPr>
          <w:p w14:paraId="44FE783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在线氨氮分析仪</w:t>
            </w:r>
          </w:p>
        </w:tc>
        <w:tc>
          <w:tcPr>
            <w:tcW w:w="2456" w:type="pct"/>
            <w:vAlign w:val="center"/>
          </w:tcPr>
          <w:p w14:paraId="4ED34CF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：水杨酸分光光度法</w:t>
            </w:r>
          </w:p>
          <w:p w14:paraId="4AD4C5B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：0～150.00mg/L</w:t>
            </w:r>
          </w:p>
          <w:p w14:paraId="096F1E2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 浓度＜2mg/L，±0.2mg/L；浓度≥2mg/L，≤10%</w:t>
            </w:r>
          </w:p>
        </w:tc>
        <w:tc>
          <w:tcPr>
            <w:tcW w:w="1616" w:type="pct"/>
            <w:vAlign w:val="center"/>
          </w:tcPr>
          <w:p w14:paraId="194DF092">
            <w:pPr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737235" cy="1314450"/>
                  <wp:effectExtent l="0" t="0" r="9525" b="11430"/>
                  <wp:docPr id="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1F8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927" w:type="pct"/>
            <w:shd w:val="clear" w:color="auto" w:fill="auto"/>
            <w:vAlign w:val="center"/>
          </w:tcPr>
          <w:p w14:paraId="1FAF1F4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水质微站系统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D68C273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集成</w:t>
            </w:r>
            <w:r>
              <w:rPr>
                <w:rFonts w:hint="eastAsia"/>
                <w:sz w:val="21"/>
                <w:szCs w:val="21"/>
              </w:rPr>
              <w:t>PH、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电导率</w:t>
            </w:r>
            <w:r>
              <w:rPr>
                <w:rFonts w:hint="eastAsia"/>
                <w:sz w:val="21"/>
                <w:szCs w:val="21"/>
              </w:rPr>
              <w:t>、浊度、余氯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等传感器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787840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625600" cy="846455"/>
                  <wp:effectExtent l="0" t="0" r="12700" b="1079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6B9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atLeast"/>
        </w:trPr>
        <w:tc>
          <w:tcPr>
            <w:tcW w:w="927" w:type="pct"/>
            <w:vAlign w:val="center"/>
          </w:tcPr>
          <w:p w14:paraId="61B8D99C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2456" w:type="pct"/>
            <w:vAlign w:val="center"/>
          </w:tcPr>
          <w:p w14:paraId="763C641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原理</w:t>
            </w:r>
            <w:r>
              <w:rPr>
                <w:rFonts w:hint="eastAsia"/>
                <w:sz w:val="21"/>
                <w:szCs w:val="21"/>
              </w:rPr>
              <w:t>：全光谱吸收法</w:t>
            </w:r>
          </w:p>
          <w:p w14:paraId="65C7D5C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量程</w:t>
            </w:r>
            <w:r>
              <w:rPr>
                <w:rFonts w:hint="eastAsia"/>
                <w:sz w:val="21"/>
                <w:szCs w:val="21"/>
              </w:rPr>
              <w:t>：</w:t>
            </w:r>
          </w:p>
          <w:p w14:paraId="27E8C7B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2CF7EBB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精度</w:t>
            </w:r>
            <w:r>
              <w:rPr>
                <w:rFonts w:hint="eastAsia"/>
                <w:sz w:val="21"/>
                <w:szCs w:val="21"/>
              </w:rPr>
              <w:t>：±5%F.S.</w:t>
            </w:r>
          </w:p>
        </w:tc>
        <w:tc>
          <w:tcPr>
            <w:tcW w:w="1616" w:type="pct"/>
            <w:vAlign w:val="center"/>
          </w:tcPr>
          <w:p w14:paraId="0F043343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51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E04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27" w:type="pct"/>
            <w:vAlign w:val="center"/>
          </w:tcPr>
          <w:p w14:paraId="5F9F871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2456" w:type="pct"/>
            <w:vAlign w:val="center"/>
          </w:tcPr>
          <w:p w14:paraId="060E712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73167E1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工作波长范围：420nm 520nm，580nm，610nm；波长半宽度：5±2（nm）；</w:t>
            </w:r>
          </w:p>
          <w:p w14:paraId="40F00B4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仪器的检测范围：吸光度值0.000-3.000；</w:t>
            </w:r>
          </w:p>
          <w:p w14:paraId="53EE65C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光源灯：冷光源；</w:t>
            </w:r>
          </w:p>
          <w:p w14:paraId="7BC4920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分辨率：0.001；</w:t>
            </w:r>
          </w:p>
        </w:tc>
        <w:tc>
          <w:tcPr>
            <w:tcW w:w="1616" w:type="pct"/>
            <w:vAlign w:val="center"/>
          </w:tcPr>
          <w:p w14:paraId="593F0DB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EB1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927" w:type="pct"/>
            <w:vAlign w:val="center"/>
          </w:tcPr>
          <w:p w14:paraId="461054C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</w:rPr>
              <w:t>式多参数检测仪</w:t>
            </w:r>
          </w:p>
        </w:tc>
        <w:tc>
          <w:tcPr>
            <w:tcW w:w="2456" w:type="pct"/>
            <w:vAlign w:val="center"/>
          </w:tcPr>
          <w:p w14:paraId="7B90940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显示：3.3 英寸单色液晶显示屏</w:t>
            </w:r>
          </w:p>
          <w:p w14:paraId="748CC76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外形尺寸：200mm*101mm*36mm</w:t>
            </w:r>
          </w:p>
          <w:p w14:paraId="57CAD76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防护等级：IP67</w:t>
            </w:r>
          </w:p>
        </w:tc>
        <w:tc>
          <w:tcPr>
            <w:tcW w:w="1616" w:type="pct"/>
            <w:vAlign w:val="center"/>
          </w:tcPr>
          <w:p w14:paraId="5DDC016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/>
              </w:rPr>
            </w:pPr>
            <w:r>
              <w:rPr>
                <w:rFonts w:hint="eastAsia"/>
                <w:sz w:val="28"/>
                <w:szCs w:val="28"/>
                <w:lang w:bidi="ar"/>
              </w:rPr>
              <w:drawing>
                <wp:inline distT="0" distB="0" distL="114300" distR="114300">
                  <wp:extent cx="733425" cy="1333500"/>
                  <wp:effectExtent l="0" t="0" r="13335" b="7620"/>
                  <wp:docPr id="20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B63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vAlign w:val="center"/>
          </w:tcPr>
          <w:p w14:paraId="09752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泳池自动清洗机器人</w:t>
            </w:r>
          </w:p>
        </w:tc>
        <w:tc>
          <w:tcPr>
            <w:tcW w:w="2456" w:type="pct"/>
            <w:vAlign w:val="center"/>
          </w:tcPr>
          <w:p w14:paraId="6A5C2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适用面积：600平方以内</w:t>
            </w:r>
          </w:p>
          <w:p w14:paraId="0FA43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过滤精度：50/100微米</w:t>
            </w:r>
          </w:p>
          <w:p w14:paraId="77ADF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过滤量：16m³/小时</w:t>
            </w:r>
          </w:p>
          <w:p w14:paraId="73845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工作周期：3小时</w:t>
            </w:r>
          </w:p>
          <w:p w14:paraId="3DC28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vertAlign w:val="baseline"/>
                <w:lang w:val="en-US" w:eastAsia="zh-CN"/>
              </w:rPr>
              <w:t>供电:24V</w:t>
            </w:r>
          </w:p>
        </w:tc>
        <w:tc>
          <w:tcPr>
            <w:tcW w:w="1616" w:type="pct"/>
            <w:vAlign w:val="center"/>
          </w:tcPr>
          <w:p w14:paraId="52DB3209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drawing>
                <wp:inline distT="0" distB="0" distL="114300" distR="114300">
                  <wp:extent cx="1273175" cy="1248410"/>
                  <wp:effectExtent l="0" t="0" r="6985" b="127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8C90D">
      <w:pPr>
        <w:ind w:firstLine="480"/>
        <w:rPr>
          <w:rFonts w:hint="eastAsia"/>
          <w:color w:val="auto"/>
        </w:rPr>
      </w:pPr>
    </w:p>
    <w:p w14:paraId="13FAB668">
      <w:pPr>
        <w:pStyle w:val="3"/>
        <w:rPr>
          <w:rFonts w:hint="eastAsia"/>
          <w:color w:val="auto"/>
        </w:rPr>
      </w:pPr>
      <w:bookmarkStart w:id="17" w:name="_Toc11154"/>
      <w:r>
        <w:rPr>
          <w:rFonts w:hint="eastAsia"/>
          <w:color w:val="auto"/>
        </w:rPr>
        <w:t>场景适配性</w:t>
      </w:r>
      <w:bookmarkEnd w:id="17"/>
    </w:p>
    <w:p w14:paraId="14345F9E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 xml:space="preserve">体积小、功能强、投入少，可长期连续在线监测，连续、实时、准确地监测目标水域的水质及其变化状况。测量数据可通过无线通讯方式远程传输到服务器，客户可通过手机 </w:t>
      </w:r>
      <w:r>
        <w:rPr>
          <w:color w:val="auto"/>
        </w:rPr>
        <w:t xml:space="preserve">APP </w:t>
      </w:r>
      <w:r>
        <w:rPr>
          <w:rFonts w:hint="eastAsia"/>
          <w:color w:val="auto"/>
        </w:rPr>
        <w:t>或网站实时获得监测数据。</w:t>
      </w:r>
    </w:p>
    <w:p w14:paraId="3844EDD7">
      <w:pPr>
        <w:ind w:firstLine="480"/>
        <w:rPr>
          <w:rFonts w:hint="eastAsia"/>
          <w:color w:val="auto"/>
        </w:rPr>
      </w:pPr>
    </w:p>
    <w:p w14:paraId="476528D9">
      <w:pPr>
        <w:pStyle w:val="2"/>
        <w:rPr>
          <w:rFonts w:hint="eastAsia"/>
          <w:color w:val="auto"/>
        </w:rPr>
      </w:pPr>
      <w:bookmarkStart w:id="18" w:name="_Toc27010"/>
      <w:bookmarkStart w:id="19" w:name="_Toc31067"/>
      <w:r>
        <w:rPr>
          <w:rFonts w:hint="eastAsia"/>
          <w:color w:val="auto"/>
        </w:rPr>
        <w:t>设备寿命及维护</w:t>
      </w:r>
      <w:bookmarkEnd w:id="18"/>
      <w:bookmarkEnd w:id="19"/>
    </w:p>
    <w:p w14:paraId="0EDCDB36">
      <w:pPr>
        <w:pStyle w:val="3"/>
        <w:rPr>
          <w:rFonts w:hint="eastAsia"/>
          <w:color w:val="auto"/>
        </w:rPr>
      </w:pPr>
      <w:bookmarkStart w:id="20" w:name="_Toc6293"/>
      <w:r>
        <w:rPr>
          <w:rFonts w:hint="eastAsia"/>
          <w:color w:val="auto"/>
        </w:rPr>
        <w:t>设备寿命周期与维护周期表</w:t>
      </w:r>
      <w:bookmarkEnd w:id="20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43702D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E63A8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4046E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7B88A0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使用寿命</w:t>
            </w:r>
          </w:p>
        </w:tc>
      </w:tr>
      <w:tr w14:paraId="7FCB91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41910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在线余氯传感器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7DF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0949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557D21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F8D1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在线余氯分析仪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254C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9950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1003ED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C7C6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0C881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D012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6AA4F0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01B76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ORP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4CA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B2DE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1年</w:t>
            </w:r>
          </w:p>
        </w:tc>
      </w:tr>
      <w:tr w14:paraId="224784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37889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D345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0097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1CD3F9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491F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在线透明度传感器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C8C0C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8502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0BBFDF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8F55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1666" w:type="pct"/>
            <w:vAlign w:val="center"/>
          </w:tcPr>
          <w:p w14:paraId="3BD2E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71CC2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6E7F6A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1C4E0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B23C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5307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半年</w:t>
            </w:r>
          </w:p>
        </w:tc>
      </w:tr>
      <w:tr w14:paraId="1CB9FE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073A7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9B6F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5640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3-5年</w:t>
            </w:r>
          </w:p>
        </w:tc>
      </w:tr>
      <w:tr w14:paraId="6D25AD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11439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5E3E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A2C1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30E711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46AE5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FBD48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0CDE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  <w:tr w14:paraId="71B612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60B9E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泳池自动清洗机器人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CB8B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48DE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2-3年</w:t>
            </w:r>
          </w:p>
        </w:tc>
      </w:tr>
    </w:tbl>
    <w:p w14:paraId="529FA35A">
      <w:pPr>
        <w:ind w:firstLine="480"/>
        <w:rPr>
          <w:rFonts w:hint="eastAsia"/>
          <w:color w:val="auto"/>
        </w:rPr>
      </w:pPr>
    </w:p>
    <w:p w14:paraId="2EFC84BC">
      <w:pPr>
        <w:pStyle w:val="3"/>
        <w:rPr>
          <w:rFonts w:hint="eastAsia"/>
          <w:color w:val="auto"/>
        </w:rPr>
      </w:pPr>
      <w:bookmarkStart w:id="21" w:name="_Toc25627"/>
      <w:r>
        <w:rPr>
          <w:rFonts w:hint="eastAsia"/>
          <w:color w:val="auto"/>
          <w:lang w:val="en-US" w:eastAsia="zh-CN"/>
        </w:rPr>
        <w:t>设备</w:t>
      </w:r>
      <w:r>
        <w:rPr>
          <w:rFonts w:hint="eastAsia"/>
          <w:color w:val="auto"/>
        </w:rPr>
        <w:t>日常维护</w:t>
      </w:r>
      <w:bookmarkEnd w:id="21"/>
    </w:p>
    <w:p w14:paraId="2C550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在线余氯传感器：</w:t>
      </w:r>
    </w:p>
    <w:p w14:paraId="14E0F3B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（1）新电极和长期放置的电极使用前，放自来水中静置24小时活化；初次或长期干燥放置（超半月），不通电在3mol/L KCL溶液浸泡2h以上活化，再在含氯流通溶液中极化2h以上（可至24h，先通水后通电）。</w:t>
      </w:r>
    </w:p>
    <w:p w14:paraId="6D8C1FB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（2）校准操作若返回数值不准确，对传感器进行零点和斜率校准。</w:t>
      </w:r>
    </w:p>
    <w:p w14:paraId="6D0D712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（3）传感器长期不用时，用纯净水清洗探头，放于含3mol/L KCL溶液的保护罩内储存。</w:t>
      </w:r>
    </w:p>
    <w:p w14:paraId="558E6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在线余氯分析仪：</w:t>
      </w:r>
    </w:p>
    <w:p w14:paraId="02F5DBA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（1）检查DPD试剂粉末是否潮解，每月更换缓冲液。  </w:t>
      </w:r>
    </w:p>
    <w:p w14:paraId="70F208F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（2）用无尘布擦拭比色皿，防止指纹或水渍。  </w:t>
      </w:r>
    </w:p>
    <w:p w14:paraId="400CF8D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（3）用1.0mg/L氯标准液校准，误差＞5%时调整。  </w:t>
      </w:r>
    </w:p>
    <w:p w14:paraId="1A0B7D6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（4）检查前置过滤器，及时更换堵塞滤芯（0.45μm）。  </w:t>
      </w:r>
    </w:p>
    <w:p w14:paraId="1E99F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在线PH传感器：</w:t>
      </w:r>
    </w:p>
    <w:p w14:paraId="2516CE0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（2）闲置保养，洗净后浸泡于3mol/L氯化钾溶液中（保护套或容器），维持电极性能。</w:t>
      </w:r>
    </w:p>
    <w:p w14:paraId="2EC9C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在线ORP传感器：</w:t>
      </w:r>
    </w:p>
    <w:p w14:paraId="7F4B74FF">
      <w:pPr>
        <w:rPr>
          <w:rFonts w:hint="eastAsia"/>
          <w:color w:val="auto"/>
        </w:rPr>
      </w:pPr>
      <w:r>
        <w:rPr>
          <w:rFonts w:hint="eastAsia"/>
          <w:color w:val="auto"/>
        </w:rPr>
        <w:t>（1）ORP电极在测量时，应先在蒸馏水中（或去离子水中）清洗干净，并用滤纸吸干水分，防止杂质带进被测液中，电极的1/3应插入被测溶液中。</w:t>
      </w:r>
    </w:p>
    <w:p w14:paraId="2A8FAE2C">
      <w:pPr>
        <w:rPr>
          <w:rFonts w:hint="eastAsia"/>
          <w:color w:val="auto"/>
        </w:rPr>
      </w:pPr>
      <w:r>
        <w:rPr>
          <w:rFonts w:hint="eastAsia"/>
          <w:color w:val="auto"/>
        </w:rPr>
        <w:t>（2）电极不用时应洗净，插入加有3mol/L氯化钾溶液的保护套,或将电极插进加有3mol/L氯化钾溶液的容器中。</w:t>
      </w:r>
    </w:p>
    <w:p w14:paraId="791FBB16">
      <w:pPr>
        <w:rPr>
          <w:rFonts w:hint="eastAsia"/>
          <w:color w:val="auto"/>
        </w:rPr>
      </w:pPr>
      <w:r>
        <w:rPr>
          <w:rFonts w:hint="eastAsia"/>
          <w:color w:val="auto"/>
        </w:rPr>
        <w:t>（3）检查接线端子处是否干燥，如有沾污，请用无水酒精擦拭，吹干后使用。应避免长期浸泡在蒸馏水或蛋白质溶液中，并防止与有机硅油脂接触。使用时间较长的电极，可用稀盐酸洗涤，并用水冲洗。电极使用（4）时间较长，出现测量误差时，须配合仪表进行标定，进行校正。</w:t>
      </w:r>
    </w:p>
    <w:p w14:paraId="395222E2">
      <w:pPr>
        <w:rPr>
          <w:rFonts w:hint="eastAsia"/>
          <w:color w:val="auto"/>
        </w:rPr>
      </w:pPr>
      <w:r>
        <w:rPr>
          <w:rFonts w:hint="eastAsia"/>
          <w:color w:val="auto"/>
        </w:rPr>
        <w:t>（5）当用以上方式对电极进行维护和保养时仍不能进行标定和测量时，说明电极已经失效，请更换电极。</w:t>
      </w:r>
    </w:p>
    <w:p w14:paraId="4FEB8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在线浊度传感器：</w:t>
      </w:r>
    </w:p>
    <w:p w14:paraId="6E542AF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（2）线缆检查确保线缆松弛无绷紧，避免内部断裂导致故障。  </w:t>
      </w:r>
    </w:p>
    <w:p w14:paraId="523DB7BA">
      <w:pPr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eastAsia="zh-CN"/>
        </w:rPr>
        <w:t xml:space="preserve">（3）测量窗口维护检查测量窗口是否脏污，清洁刷是否正常工作。  </w:t>
      </w:r>
    </w:p>
    <w:p w14:paraId="1D0EA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在线透明度传感器：</w:t>
      </w:r>
    </w:p>
    <w:p w14:paraId="006C739B">
      <w:pPr>
        <w:rPr>
          <w:rFonts w:hint="eastAsia"/>
          <w:color w:val="auto"/>
        </w:rPr>
      </w:pPr>
      <w:bookmarkStart w:id="22" w:name="OLE_LINK5"/>
      <w:r>
        <w:rPr>
          <w:rFonts w:hint="eastAsia"/>
          <w:color w:val="auto"/>
        </w:rPr>
        <w:t>（1）传感器外表面：用自来水清洗传感器的外表面，如果仍有碎屑残留，用湿润的软布进行擦拭，对于一些顽固的污垢，可以在自来水中加入一些家用洗涤液来清洗。</w:t>
      </w:r>
    </w:p>
    <w:p w14:paraId="2015235D">
      <w:pPr>
        <w:rPr>
          <w:rFonts w:hint="eastAsia"/>
          <w:color w:val="auto"/>
        </w:rPr>
      </w:pPr>
      <w:r>
        <w:rPr>
          <w:rFonts w:hint="eastAsia"/>
          <w:color w:val="auto"/>
        </w:rPr>
        <w:t>（2）检查传感器的线缆：正常工作时线缆不应绷紧，否则容易使线缆内部电线断裂，引起传感器不能正常工作。</w:t>
      </w:r>
    </w:p>
    <w:p w14:paraId="6CA28D47">
      <w:pPr>
        <w:rPr>
          <w:rFonts w:hint="eastAsia"/>
          <w:color w:val="auto"/>
        </w:rPr>
      </w:pPr>
      <w:r>
        <w:rPr>
          <w:rFonts w:hint="eastAsia"/>
          <w:color w:val="auto"/>
        </w:rPr>
        <w:t>（3）检查传感器的测量窗口是否有脏污，清洁刷是否正常。</w:t>
      </w:r>
    </w:p>
    <w:p w14:paraId="6AB53447">
      <w:pPr>
        <w:rPr>
          <w:rFonts w:hint="eastAsia"/>
          <w:color w:val="auto"/>
        </w:rPr>
      </w:pPr>
      <w:r>
        <w:rPr>
          <w:rFonts w:hint="eastAsia"/>
          <w:color w:val="auto"/>
        </w:rPr>
        <w:t>（4）检查传感器的清洁刷是否有所破损。</w:t>
      </w:r>
    </w:p>
    <w:p w14:paraId="51357671">
      <w:pPr>
        <w:rPr>
          <w:rFonts w:hint="eastAsia"/>
          <w:color w:val="auto"/>
        </w:rPr>
      </w:pPr>
      <w:r>
        <w:rPr>
          <w:rFonts w:hint="eastAsia"/>
          <w:color w:val="auto"/>
        </w:rPr>
        <w:t>（5）连续使用18个月，需返厂更换动密封装置。</w:t>
      </w:r>
    </w:p>
    <w:bookmarkEnd w:id="22"/>
    <w:p w14:paraId="13486F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在线电导率传感器：</w:t>
      </w:r>
    </w:p>
    <w:p w14:paraId="123065F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（2）根据工况调整校准频率，确保测量准确性。</w:t>
      </w:r>
    </w:p>
    <w:p w14:paraId="51EEC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在线氨氮传感器：</w:t>
      </w:r>
    </w:p>
    <w:p w14:paraId="4C95726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（5）电极使用久出现测量误差，须进行校正。</w:t>
      </w:r>
    </w:p>
    <w:p w14:paraId="7C68B26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（6）校准时放校准液中轻晃、静置，待读数稳定（约5分钟）再校准。</w:t>
      </w:r>
    </w:p>
    <w:p w14:paraId="60A13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在线氨氮分析仪：</w:t>
      </w:r>
    </w:p>
    <w:p w14:paraId="3D920A1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（1）检查水杨酸钠、次氯酸盐等试剂是否变色或沉淀。  </w:t>
      </w:r>
    </w:p>
    <w:p w14:paraId="3CB3C8C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（2）清洁比色皿及光源窗口，确保透光率。  </w:t>
      </w:r>
    </w:p>
    <w:p w14:paraId="26D52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在线全光谱多参数传感器：</w:t>
      </w:r>
    </w:p>
    <w:p w14:paraId="410A376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（1）定期用自来水清洗外表面，若有碎屑残留，用湿润软布擦拭；顽固污垢可加家用洗涤液清洗。</w:t>
      </w:r>
    </w:p>
    <w:p w14:paraId="46AD25D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（2）查看线缆是否绷紧、测量窗口有无脏污、清洁刷是否正常及有无损坏。</w:t>
      </w:r>
    </w:p>
    <w:p w14:paraId="07BCEED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（3）校准传感器，在使用前将传感器置入去离子水，保证光路浸没且无气泡，发送光谱校准指令完成校准。</w:t>
      </w:r>
    </w:p>
    <w:p w14:paraId="12D8D5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便携式多参数分析仪：</w:t>
      </w:r>
    </w:p>
    <w:p w14:paraId="580D7483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（1）平常不用时拔掉电源插头。若有反应液体溅到载物台或仪器外壁，及时用湿抹布擦去，必要时消毒。每次使用完毕用湿抹布擦拭保持洁净。</w:t>
      </w:r>
    </w:p>
    <w:p w14:paraId="15DC193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49E3E05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6C142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泳池自动清洗机器人：</w:t>
      </w:r>
    </w:p>
    <w:p w14:paraId="5BEF8184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（1）每次使用后，用清水冲洗机器人表面，去除吸附的灰尘、藻类等杂物。若有顽固污渍，使用温和清洁剂和软布擦拭，避免刮伤外壳。</w:t>
      </w:r>
    </w:p>
    <w:p w14:paraId="340F248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（2）定期取出并清洗过滤篮，清除其中的杂质。过滤篮过脏会影响吸力和过滤效果。</w:t>
      </w:r>
    </w:p>
    <w:p w14:paraId="001222E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（3）查看底部刷毛磨损情况，刷毛磨损严重会降低清洁效果，当刷毛磨损超过三分之一时，考虑更换，以保证机器人对泳池壁和底部的清洁能力。</w:t>
      </w:r>
    </w:p>
    <w:p w14:paraId="4B78979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（4）检查机器人的驱动轮、履带（如有），清理缠绕的毛发、丝线等异物。查看动力系统是否正常运转，如有异常声音或动力减弱，及时排查。</w:t>
      </w:r>
    </w:p>
    <w:p w14:paraId="7DFE26C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（5）每次充电前，确保充电接口干燥、清洁，防止因接触不良影响充电效果或损坏充电部件。定期检查充电器和电源线是否有破损，若有应及时更换。</w:t>
      </w:r>
    </w:p>
    <w:p w14:paraId="422B2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</w:p>
    <w:p w14:paraId="7AB14AEA">
      <w:pPr>
        <w:pStyle w:val="3"/>
        <w:rPr>
          <w:rFonts w:hint="eastAsia"/>
          <w:color w:val="auto"/>
        </w:rPr>
      </w:pPr>
      <w:bookmarkStart w:id="23" w:name="_Toc32027"/>
      <w:r>
        <w:rPr>
          <w:rFonts w:hint="eastAsia"/>
          <w:color w:val="auto"/>
          <w:lang w:val="en-US" w:eastAsia="zh-CN"/>
        </w:rPr>
        <w:t>设备</w:t>
      </w:r>
      <w:r>
        <w:rPr>
          <w:rFonts w:hint="eastAsia"/>
          <w:color w:val="auto"/>
        </w:rPr>
        <w:t>维护注意事项</w:t>
      </w:r>
      <w:bookmarkEnd w:id="23"/>
    </w:p>
    <w:p w14:paraId="1A8B7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在线余氯传感器：</w:t>
      </w:r>
    </w:p>
    <w:p w14:paraId="5531529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（1）测试水样PH应维持在6.00-8.00范围内，避免将传感器长期浸泡在无氯的水样中。</w:t>
      </w:r>
    </w:p>
    <w:p w14:paraId="0B059DB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（2）测试过程传感器持续浸泡在水样中，禁止通电干烧；停止测量先断电，后断水。</w:t>
      </w:r>
    </w:p>
    <w:p w14:paraId="3A96C94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（3）若校准后数值仍不准确，可返厂检查。</w:t>
      </w:r>
    </w:p>
    <w:p w14:paraId="6392EBA5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（4）建议搭配流通池使用，流量控制在30-60L/h 。 </w:t>
      </w:r>
    </w:p>
    <w:p w14:paraId="5F9A4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在线余氯分析仪：</w:t>
      </w:r>
    </w:p>
    <w:p w14:paraId="3F5B816B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 比色过程需严格避光，避免显色反应受光照干扰。  </w:t>
      </w:r>
    </w:p>
    <w:p w14:paraId="72DDFC9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（2）高浓度臭氧或二氧化氯需增加预处理，防止假阳性。  </w:t>
      </w:r>
    </w:p>
    <w:p w14:paraId="5EC6094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（3）废液含DPD显色剂，需收集后统一处理，禁止直排。  </w:t>
      </w:r>
    </w:p>
    <w:p w14:paraId="78048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在线PH传感器：</w:t>
      </w:r>
    </w:p>
    <w:p w14:paraId="5D04BD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（3）玻璃膜老化/沉积时，用稀盐酸清洗后水洗，必要时重新标定。</w:t>
      </w:r>
    </w:p>
    <w:p w14:paraId="18D9A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在线ORP传感器：</w:t>
      </w:r>
    </w:p>
    <w:p w14:paraId="3DB564DF">
      <w:pPr>
        <w:rPr>
          <w:rFonts w:hint="eastAsia"/>
          <w:color w:val="auto"/>
        </w:rPr>
      </w:pPr>
      <w:r>
        <w:rPr>
          <w:rFonts w:hint="eastAsia"/>
          <w:color w:val="auto"/>
        </w:rPr>
        <w:t>（1）检查传感器的线缆：正常工作时线缆不应绷紧，否则容易使线缆内部电线断裂，引起传感器不能正常工作。</w:t>
      </w:r>
    </w:p>
    <w:p w14:paraId="1F1FA055">
      <w:pPr>
        <w:rPr>
          <w:rFonts w:hint="eastAsia"/>
          <w:color w:val="auto"/>
        </w:rPr>
      </w:pPr>
      <w:r>
        <w:rPr>
          <w:rFonts w:hint="eastAsia"/>
          <w:color w:val="auto"/>
        </w:rPr>
        <w:t>（2）电极长期不用时，置于3mol/L氯化钾溶液的保护套中保存；勿干燥保存。</w:t>
      </w:r>
    </w:p>
    <w:p w14:paraId="348C3505">
      <w:pPr>
        <w:rPr>
          <w:rFonts w:hint="eastAsia"/>
          <w:color w:val="auto"/>
        </w:rPr>
      </w:pPr>
      <w:r>
        <w:rPr>
          <w:rFonts w:hint="eastAsia"/>
          <w:color w:val="auto"/>
        </w:rPr>
        <w:t>（3）电极长期使用，响应慢，读数不准时，将电极探头置于0.1mol/L HCL溶液浸泡24小时，再用3mol/L KCL溶液浸泡2小时。</w:t>
      </w:r>
    </w:p>
    <w:p w14:paraId="197EC3B0">
      <w:pPr>
        <w:rPr>
          <w:rFonts w:hint="eastAsia"/>
          <w:color w:val="auto"/>
        </w:rPr>
      </w:pPr>
      <w:r>
        <w:rPr>
          <w:rFonts w:hint="eastAsia"/>
          <w:color w:val="auto"/>
        </w:rPr>
        <w:t>（4）注意：ORP值有负值，应答数据大于0x7FFF（十进制：32767），则实测值=应答数据-0xFFFF；如-40mV其计算方法为：应答数据为0xFFD7，则实测值=0xFFD7-0xFFFF=65495-65535=-40</w:t>
      </w:r>
    </w:p>
    <w:p w14:paraId="4B8F3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在线浊度传感器：</w:t>
      </w:r>
    </w:p>
    <w:p w14:paraId="6E081AD4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（1）使用时取下保护套，闲置时及时安装，防止探头划伤。  </w:t>
      </w:r>
    </w:p>
    <w:p w14:paraId="355968E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（2）避免探头附着气泡，保持探头离容器底/壁≥100mm。  </w:t>
      </w:r>
    </w:p>
    <w:p w14:paraId="6E0EAC9E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（3）避免剧烈撞击，防止光学/电子部件损坏。  </w:t>
      </w:r>
    </w:p>
    <w:p w14:paraId="3904AC81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（4）禁止在含荧光物质的容器中测试，防止干扰。  </w:t>
      </w:r>
    </w:p>
    <w:p w14:paraId="261A8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在线透明度传感器：</w:t>
      </w:r>
    </w:p>
    <w:p w14:paraId="2F7E7B63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）测试时避免探头测量区域上附着气泡。</w:t>
      </w:r>
    </w:p>
    <w:p w14:paraId="299BC532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）测试时探头离容器的底和壁最少100mm以上。</w:t>
      </w:r>
    </w:p>
    <w:p w14:paraId="26AD852B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）传感器中含有敏感的光学部件和电子部件，确保安装或测量时其不要受到剧烈的机械撞击。</w:t>
      </w:r>
    </w:p>
    <w:p w14:paraId="07E16BBF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）避免在含荧光物质的容器中测试。</w:t>
      </w:r>
    </w:p>
    <w:p w14:paraId="081AA7A8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）未做防水处理的接线端子，不应没入水中，会导致线缆内部进水。传感器正常安装时线缆不应绷紧或与周围硬物摩擦，否则容易使线缆内部电线断裂或表皮破损进水，引起传感器不能正常工作。</w:t>
      </w:r>
    </w:p>
    <w:p w14:paraId="754F657F">
      <w:pPr>
        <w:ind w:firstLine="480"/>
        <w:rPr>
          <w:rFonts w:hint="eastAsia"/>
          <w:color w:val="auto"/>
        </w:rPr>
      </w:pPr>
      <w:r>
        <w:rPr>
          <w:rFonts w:hint="eastAsia"/>
          <w:color w:val="auto"/>
        </w:rPr>
        <w:t>（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）使用12VDC电源供电时，尾线线缆极限长度为150M。若使用线缆超过该长度，建议适当增加电压以保证传感器能正常工作。</w:t>
      </w:r>
    </w:p>
    <w:p w14:paraId="20813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在线电导率传感器：</w:t>
      </w:r>
    </w:p>
    <w:p w14:paraId="19016FE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（1）校准与测试时电极需完全浸入标准液（无气泡），距容器底/壁≥2cm。  </w:t>
      </w:r>
    </w:p>
    <w:p w14:paraId="23A8AEA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（2）石墨电极使用前需用自来水浸泡1小时，闲置时保持湿润。  </w:t>
      </w:r>
    </w:p>
    <w:p w14:paraId="3C7EECC7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（4）避免与有机硅油脂接触。  </w:t>
      </w:r>
    </w:p>
    <w:p w14:paraId="78AB4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在线氨氮传感器：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（6）防止电极长期浸泡在蒸馏水或蛋白质溶液中，避免与有机硅油脂接触。</w:t>
      </w:r>
    </w:p>
    <w:p w14:paraId="7B261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在线氨氮分析仪：</w:t>
      </w:r>
    </w:p>
    <w:p w14:paraId="1C15696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（1）高浓度余氯或硫化物水样需预处理，防止干扰显色反应。  </w:t>
      </w:r>
    </w:p>
    <w:p w14:paraId="62B78AFC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（2）试剂避光保存，显色反应后废液含重金属需单独处理。  </w:t>
      </w:r>
    </w:p>
    <w:p w14:paraId="58D93CD0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（3）避免剧烈震动，防止比色系统光路偏移。  </w:t>
      </w:r>
    </w:p>
    <w:p w14:paraId="1C833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在线全光谱多参数传感器：</w:t>
      </w:r>
    </w:p>
    <w:p w14:paraId="33F771BF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（1）防止传感器受到剧烈机械撞击，使用中避免对其直接施加机械应力（压力、划痕等）。</w:t>
      </w:r>
    </w:p>
    <w:p w14:paraId="2CE52806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（2）避免传感器被阳光暴晒，不要用手触摸传感器。</w:t>
      </w:r>
    </w:p>
    <w:p w14:paraId="4A5DFCE2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（3）测量和校准时，确保传感器表面无气泡附着。</w:t>
      </w:r>
    </w:p>
    <w:p w14:paraId="2B88B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便携式多参数分析仪：</w:t>
      </w:r>
    </w:p>
    <w:p w14:paraId="326F4DC8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 xml:space="preserve">（4）请勿让任何溶剂、油脂类、腐蚀性物质接触仪器。仪器使用期限为6年，效期结束后按规定处理或联系回收，避免污染环境。 </w:t>
      </w:r>
    </w:p>
    <w:p w14:paraId="256D0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泳池自动清洗机器人：</w:t>
      </w:r>
    </w:p>
    <w:p w14:paraId="2429C879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（1）避免在高温、高湿且不通风的环境下存放机器人，防止电子元件受潮损坏。使用时，泳池内化学物质（如消毒剂）浓度应在合理范围，过高浓度可能腐蚀机器人部件。</w:t>
      </w:r>
    </w:p>
    <w:p w14:paraId="0013329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（2）严格按照产品说明书操作，不得私自拆解机器人，以免损坏内部结构或造成安全隐患。在泳池有人游泳时，禁止开启机器人，防止发生意外。</w:t>
      </w:r>
    </w:p>
    <w:p w14:paraId="152F26C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（3）制定定期保养计划，每隔一段时间（如3 - 6个月）对机器人进行全面检查，包括内部电路、密封性能等，及时发现并处理潜在问题。</w:t>
      </w:r>
    </w:p>
    <w:p w14:paraId="33E4DC2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（4）更换配件时，务必使用厂家指定或适配的零部件，保证机器人的性能和安全性。非原厂配件可能导致兼容性问题，影响机器人正常使用。 </w:t>
      </w:r>
    </w:p>
    <w:p w14:paraId="6AE79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lang w:val="en-US" w:eastAsia="zh-CN"/>
        </w:rPr>
      </w:pPr>
    </w:p>
    <w:p w14:paraId="6F70F69F">
      <w:pPr>
        <w:pStyle w:val="2"/>
        <w:rPr>
          <w:rFonts w:hint="eastAsia"/>
          <w:color w:val="auto"/>
        </w:rPr>
      </w:pPr>
      <w:bookmarkStart w:id="24" w:name="_Toc18219"/>
      <w:bookmarkStart w:id="25" w:name="_Toc6608"/>
      <w:r>
        <w:rPr>
          <w:rFonts w:hint="eastAsia"/>
          <w:color w:val="auto"/>
        </w:rPr>
        <w:t>案例展示</w:t>
      </w:r>
      <w:bookmarkEnd w:id="24"/>
      <w:bookmarkEnd w:id="25"/>
    </w:p>
    <w:p w14:paraId="5BB219B0">
      <w:pPr>
        <w:pStyle w:val="3"/>
        <w:rPr>
          <w:rFonts w:hint="eastAsia"/>
          <w:color w:val="auto"/>
        </w:rPr>
      </w:pPr>
      <w:bookmarkStart w:id="26" w:name="_Toc15683"/>
      <w:r>
        <w:rPr>
          <w:rFonts w:hint="eastAsia"/>
          <w:color w:val="auto"/>
        </w:rPr>
        <w:t>案例1：</w:t>
      </w:r>
      <w:r>
        <w:rPr>
          <w:rFonts w:hint="eastAsia"/>
          <w:color w:val="auto"/>
          <w:sz w:val="30"/>
          <w:szCs w:val="32"/>
        </w:rPr>
        <w:t>青岛某泳池水质监测</w:t>
      </w:r>
      <w:bookmarkEnd w:id="26"/>
    </w:p>
    <w:p w14:paraId="5A904C61">
      <w:pPr>
        <w:bidi w:val="0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客户痛点：</w:t>
      </w:r>
    </w:p>
    <w:p w14:paraId="6CCEFE1A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水质波动大：泳池水质受客流影响大，高峰期水质难以保障。</w:t>
      </w:r>
    </w:p>
    <w:p w14:paraId="5BF7159E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人工检测效率低：依赖人工检测，数据反馈慢，无法实时掌握水质变化。</w:t>
      </w:r>
    </w:p>
    <w:p w14:paraId="31053713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运营成本高：频繁调整水处理设备，导致化学品和能源浪费。</w:t>
      </w:r>
    </w:p>
    <w:p w14:paraId="301EA43A">
      <w:pPr>
        <w:bidi w:val="0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解决方案：</w:t>
      </w:r>
    </w:p>
    <w:p w14:paraId="228F141F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PH、余氯、浊度</w:t>
      </w:r>
    </w:p>
    <w:p w14:paraId="6603B4F0">
      <w:pPr>
        <w:bidi w:val="0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实施效果：</w:t>
      </w:r>
    </w:p>
    <w:p w14:paraId="37414690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安装在线监测系统：实时监测余氯、pH值、浊度等关键指标。</w:t>
      </w:r>
    </w:p>
    <w:p w14:paraId="5E3CC0F3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自动化控制：根据监测数据自动调节加氯和pH调节设备，减少人工干预。</w:t>
      </w:r>
    </w:p>
    <w:p w14:paraId="5BC324C9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成本节约：化学品使用量减少20%，能源消耗降低15%。</w:t>
      </w:r>
    </w:p>
    <w:p w14:paraId="68670C2F"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水质稳定：水质达标率从75%提升至95%，游客满意度显著提高。</w:t>
      </w:r>
    </w:p>
    <w:p w14:paraId="544B46C2">
      <w:pPr>
        <w:ind w:firstLine="480"/>
        <w:rPr>
          <w:rFonts w:hint="eastAsia" w:eastAsia="宋体"/>
          <w:color w:val="auto"/>
          <w:kern w:val="0"/>
          <w:lang w:eastAsia="zh-CN" w:bidi="ar"/>
        </w:rPr>
      </w:pPr>
      <w:r>
        <w:rPr>
          <w:rFonts w:hint="eastAsia" w:eastAsia="宋体"/>
          <w:color w:val="auto"/>
          <w:kern w:val="0"/>
          <w:lang w:eastAsia="zh-CN" w:bidi="ar"/>
        </w:rPr>
        <w:drawing>
          <wp:inline distT="0" distB="0" distL="114300" distR="114300">
            <wp:extent cx="4355465" cy="3265805"/>
            <wp:effectExtent l="0" t="0" r="3175" b="10795"/>
            <wp:docPr id="8" name="图片 8" descr="df1a17be2b3354b67abbf13cef56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1a17be2b3354b67abbf13cef56c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5897">
      <w:pPr>
        <w:ind w:firstLine="480"/>
        <w:rPr>
          <w:rFonts w:hint="eastAsia"/>
          <w:color w:val="auto"/>
          <w:kern w:val="0"/>
          <w:lang w:bidi="ar"/>
        </w:rPr>
      </w:pPr>
      <w:r>
        <w:rPr>
          <w:color w:val="auto"/>
          <w:kern w:val="0"/>
          <w:lang w:bidi="ar"/>
        </w:rPr>
        <w:drawing>
          <wp:inline distT="0" distB="0" distL="114300" distR="114300">
            <wp:extent cx="2442210" cy="2508250"/>
            <wp:effectExtent l="0" t="0" r="15240" b="635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rcRect t="19874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lang w:bidi="ar"/>
        </w:rPr>
        <w:drawing>
          <wp:inline distT="0" distB="0" distL="114300" distR="114300">
            <wp:extent cx="1885950" cy="2514600"/>
            <wp:effectExtent l="0" t="0" r="3810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p w14:paraId="3DCF0B25">
      <w:pPr>
        <w:ind w:firstLine="480"/>
        <w:rPr>
          <w:rFonts w:hint="eastAsia"/>
          <w:color w:val="auto"/>
          <w:kern w:val="0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B827C">
    <w:pPr>
      <w:pStyle w:val="12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37BF1"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BDF72">
    <w:pPr>
      <w:pStyle w:val="12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2B9D0">
    <w:pPr>
      <w:pStyle w:val="12"/>
      <w:ind w:firstLine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328E9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BF1C8"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1DD0C">
    <w:pPr>
      <w:pStyle w:val="13"/>
      <w:ind w:firstLine="360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1DCB9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5YjJkMGIyYmZkOTBlMzJmNzk5ZTJmZTczMTFmYzEifQ=="/>
  </w:docVars>
  <w:rsids>
    <w:rsidRoot w:val="008753CB"/>
    <w:rsid w:val="0000331B"/>
    <w:rsid w:val="000E70C4"/>
    <w:rsid w:val="002438FD"/>
    <w:rsid w:val="002E2A0A"/>
    <w:rsid w:val="00383259"/>
    <w:rsid w:val="003B326D"/>
    <w:rsid w:val="0051265D"/>
    <w:rsid w:val="008753CB"/>
    <w:rsid w:val="008D7448"/>
    <w:rsid w:val="00A10114"/>
    <w:rsid w:val="00A30227"/>
    <w:rsid w:val="00E961C8"/>
    <w:rsid w:val="07F74BAF"/>
    <w:rsid w:val="096D00B9"/>
    <w:rsid w:val="09DF435C"/>
    <w:rsid w:val="0CF05FA0"/>
    <w:rsid w:val="127C573C"/>
    <w:rsid w:val="12AE6653"/>
    <w:rsid w:val="1456008E"/>
    <w:rsid w:val="15FB79DC"/>
    <w:rsid w:val="184A6AF6"/>
    <w:rsid w:val="185C2E8E"/>
    <w:rsid w:val="1FE35C4B"/>
    <w:rsid w:val="20657373"/>
    <w:rsid w:val="258C6B6D"/>
    <w:rsid w:val="25E76B6C"/>
    <w:rsid w:val="325B1927"/>
    <w:rsid w:val="3CAD2E9B"/>
    <w:rsid w:val="3D2B6CB3"/>
    <w:rsid w:val="416830A7"/>
    <w:rsid w:val="41E23AAD"/>
    <w:rsid w:val="4283171C"/>
    <w:rsid w:val="4DA8648A"/>
    <w:rsid w:val="534531FF"/>
    <w:rsid w:val="57825F9E"/>
    <w:rsid w:val="5A0C4715"/>
    <w:rsid w:val="5A5459C8"/>
    <w:rsid w:val="5A9164F8"/>
    <w:rsid w:val="5C2514E6"/>
    <w:rsid w:val="63504CE7"/>
    <w:rsid w:val="636B69F0"/>
    <w:rsid w:val="67917192"/>
    <w:rsid w:val="6BB8141B"/>
    <w:rsid w:val="75C37A55"/>
    <w:rsid w:val="774E77F3"/>
    <w:rsid w:val="799F35BE"/>
    <w:rsid w:val="7D2E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9"/>
    <w:pPr>
      <w:keepNext/>
      <w:keepLines/>
      <w:numPr>
        <w:ilvl w:val="0"/>
        <w:numId w:val="1"/>
      </w:numPr>
      <w:ind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5"/>
    <w:autoRedefine/>
    <w:unhideWhenUsed/>
    <w:qFormat/>
    <w:uiPriority w:val="9"/>
    <w:pPr>
      <w:keepNext/>
      <w:keepLines/>
      <w:numPr>
        <w:ilvl w:val="1"/>
        <w:numId w:val="1"/>
      </w:numPr>
      <w:ind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ind w:firstLine="0"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numPr>
        <w:ilvl w:val="3"/>
        <w:numId w:val="1"/>
      </w:numPr>
      <w:ind w:left="0" w:firstLine="720"/>
      <w:outlineLvl w:val="3"/>
    </w:pPr>
    <w:rPr>
      <w:rFonts w:cstheme="majorBidi"/>
      <w:b/>
      <w:sz w:val="28"/>
      <w:szCs w:val="28"/>
    </w:rPr>
  </w:style>
  <w:style w:type="paragraph" w:styleId="6">
    <w:name w:val="heading 5"/>
    <w:basedOn w:val="5"/>
    <w:next w:val="1"/>
    <w:link w:val="28"/>
    <w:autoRedefine/>
    <w:semiHidden/>
    <w:unhideWhenUsed/>
    <w:qFormat/>
    <w:uiPriority w:val="9"/>
    <w:pPr>
      <w:numPr>
        <w:ilvl w:val="4"/>
      </w:numPr>
      <w:spacing w:before="80" w:after="40"/>
      <w:ind w:firstLineChars="0"/>
      <w:outlineLvl w:val="4"/>
    </w:pPr>
  </w:style>
  <w:style w:type="paragraph" w:styleId="7">
    <w:name w:val="heading 6"/>
    <w:basedOn w:val="1"/>
    <w:next w:val="1"/>
    <w:link w:val="29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semiHidden/>
    <w:unhideWhenUsed/>
    <w:qFormat/>
    <w:uiPriority w:val="39"/>
  </w:style>
  <w:style w:type="paragraph" w:styleId="15">
    <w:name w:val="Subtitle"/>
    <w:basedOn w:val="1"/>
    <w:next w:val="1"/>
    <w:link w:val="34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18">
    <w:name w:val="Title"/>
    <w:basedOn w:val="1"/>
    <w:next w:val="1"/>
    <w:link w:val="33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Hyperlink"/>
    <w:basedOn w:val="21"/>
    <w:autoRedefine/>
    <w:unhideWhenUsed/>
    <w:qFormat/>
    <w:uiPriority w:val="99"/>
    <w:rPr>
      <w:color w:val="0563C1"/>
      <w:u w:val="single"/>
    </w:rPr>
  </w:style>
  <w:style w:type="character" w:customStyle="1" w:styleId="24">
    <w:name w:val="标题 1 字符"/>
    <w:basedOn w:val="21"/>
    <w:link w:val="2"/>
    <w:autoRedefine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5">
    <w:name w:val="标题 2 字符"/>
    <w:basedOn w:val="21"/>
    <w:link w:val="3"/>
    <w:autoRedefine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6">
    <w:name w:val="标题 3 字符"/>
    <w:basedOn w:val="21"/>
    <w:link w:val="4"/>
    <w:autoRedefine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7">
    <w:name w:val="标题 4 字符"/>
    <w:basedOn w:val="21"/>
    <w:link w:val="5"/>
    <w:autoRedefine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8">
    <w:name w:val="标题 5 字符"/>
    <w:basedOn w:val="21"/>
    <w:link w:val="6"/>
    <w:autoRedefine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9">
    <w:name w:val="标题 6 字符"/>
    <w:basedOn w:val="21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21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1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1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1"/>
    <w:link w:val="18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1"/>
    <w:link w:val="15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1"/>
    <w:link w:val="35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8">
    <w:name w:val="明显强调1"/>
    <w:basedOn w:val="21"/>
    <w:autoRedefine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21"/>
    <w:link w:val="39"/>
    <w:autoRedefine/>
    <w:qFormat/>
    <w:uiPriority w:val="30"/>
    <w:rPr>
      <w:i/>
      <w:iCs/>
      <w:color w:val="104862" w:themeColor="accent1" w:themeShade="BF"/>
    </w:rPr>
  </w:style>
  <w:style w:type="character" w:customStyle="1" w:styleId="41">
    <w:name w:val="页眉 字符"/>
    <w:basedOn w:val="21"/>
    <w:link w:val="13"/>
    <w:autoRedefine/>
    <w:qFormat/>
    <w:uiPriority w:val="99"/>
    <w:rPr>
      <w:sz w:val="18"/>
      <w:szCs w:val="18"/>
    </w:rPr>
  </w:style>
  <w:style w:type="character" w:customStyle="1" w:styleId="42">
    <w:name w:val="页脚 字符"/>
    <w:basedOn w:val="21"/>
    <w:link w:val="12"/>
    <w:autoRedefine/>
    <w:qFormat/>
    <w:uiPriority w:val="99"/>
    <w:rPr>
      <w:sz w:val="18"/>
      <w:szCs w:val="18"/>
    </w:rPr>
  </w:style>
  <w:style w:type="paragraph" w:customStyle="1" w:styleId="43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4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jpe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2451</Words>
  <Characters>2858</Characters>
  <Lines>51</Lines>
  <Paragraphs>14</Paragraphs>
  <TotalTime>0</TotalTime>
  <ScaleCrop>false</ScaleCrop>
  <LinksUpToDate>false</LinksUpToDate>
  <CharactersWithSpaces>2926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2025-07-25T01:58:01Z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0080CE9857694E69B43F4276BD0D687F_13</vt:lpwstr>
  </property>
</Properties>
</file>