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DB870B">
      <w:pPr>
        <w:ind w:firstLine="480"/>
        <w:rPr>
          <w:rFonts w:hint="eastAsia"/>
        </w:rPr>
      </w:pPr>
    </w:p>
    <w:p w14:paraId="33D89267">
      <w:pPr>
        <w:ind w:firstLine="480"/>
        <w:rPr>
          <w:rFonts w:hint="eastAsia"/>
        </w:rPr>
      </w:pPr>
    </w:p>
    <w:p w14:paraId="1675585B">
      <w:pPr>
        <w:ind w:firstLine="480"/>
        <w:rPr>
          <w:rFonts w:hint="eastAsia"/>
        </w:rPr>
      </w:pPr>
    </w:p>
    <w:p w14:paraId="2ECB53DB">
      <w:pPr>
        <w:ind w:firstLine="0" w:firstLineChars="0"/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供水行业细分场景</w:t>
      </w:r>
    </w:p>
    <w:p w14:paraId="495CC642">
      <w:pPr>
        <w:ind w:firstLine="0" w:firstLineChars="0"/>
        <w:jc w:val="right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——水源地监测方案</w:t>
      </w:r>
    </w:p>
    <w:p w14:paraId="072EB9AE">
      <w:pPr>
        <w:ind w:firstLine="480"/>
        <w:rPr>
          <w:rFonts w:hint="eastAsia"/>
        </w:rPr>
      </w:pPr>
    </w:p>
    <w:p w14:paraId="26960AAD">
      <w:pPr>
        <w:ind w:firstLine="480"/>
        <w:rPr>
          <w:rFonts w:hint="eastAsia"/>
        </w:rPr>
      </w:pPr>
    </w:p>
    <w:p w14:paraId="652446BE">
      <w:pPr>
        <w:ind w:firstLine="480"/>
        <w:rPr>
          <w:rFonts w:hint="eastAsia"/>
        </w:rPr>
      </w:pPr>
    </w:p>
    <w:p w14:paraId="3BBAD432">
      <w:pPr>
        <w:ind w:firstLine="480"/>
        <w:rPr>
          <w:rFonts w:hint="eastAsia"/>
        </w:rPr>
      </w:pPr>
    </w:p>
    <w:p w14:paraId="096B4E98">
      <w:pPr>
        <w:ind w:firstLine="480"/>
        <w:rPr>
          <w:rFonts w:hint="eastAsia"/>
        </w:rPr>
      </w:pPr>
    </w:p>
    <w:p w14:paraId="74B2DB2E">
      <w:pPr>
        <w:ind w:firstLine="480"/>
        <w:rPr>
          <w:rFonts w:hint="eastAsia"/>
        </w:rPr>
      </w:pPr>
    </w:p>
    <w:p w14:paraId="0C8F7C3C">
      <w:pPr>
        <w:ind w:firstLine="480"/>
        <w:rPr>
          <w:rFonts w:hint="eastAsia"/>
        </w:rPr>
      </w:pPr>
    </w:p>
    <w:p w14:paraId="779DBB79">
      <w:pPr>
        <w:ind w:firstLine="480"/>
        <w:rPr>
          <w:rFonts w:hint="eastAsia"/>
        </w:rPr>
      </w:pPr>
    </w:p>
    <w:p w14:paraId="792DFB34">
      <w:pPr>
        <w:ind w:firstLine="480"/>
        <w:rPr>
          <w:rFonts w:hint="eastAsia"/>
        </w:rPr>
      </w:pPr>
    </w:p>
    <w:p w14:paraId="740AE99B">
      <w:pPr>
        <w:ind w:firstLine="480"/>
        <w:rPr>
          <w:rFonts w:hint="eastAsia"/>
        </w:rPr>
      </w:pPr>
    </w:p>
    <w:p w14:paraId="61B0D8EA">
      <w:pPr>
        <w:ind w:firstLine="480"/>
        <w:rPr>
          <w:rFonts w:hint="eastAsia"/>
        </w:rPr>
      </w:pPr>
    </w:p>
    <w:p w14:paraId="587E81B7">
      <w:pPr>
        <w:ind w:firstLine="480"/>
        <w:rPr>
          <w:rFonts w:hint="eastAsia"/>
        </w:rPr>
      </w:pPr>
    </w:p>
    <w:p w14:paraId="08433B3A">
      <w:pPr>
        <w:ind w:firstLine="480"/>
        <w:rPr>
          <w:rFonts w:hint="eastAsia"/>
        </w:rPr>
      </w:pPr>
    </w:p>
    <w:p w14:paraId="1643C935">
      <w:pPr>
        <w:ind w:firstLine="480"/>
        <w:rPr>
          <w:rFonts w:hint="eastAsia"/>
        </w:rPr>
      </w:pPr>
    </w:p>
    <w:p w14:paraId="418AC561">
      <w:pPr>
        <w:ind w:firstLine="480"/>
        <w:rPr>
          <w:rFonts w:hint="eastAsia"/>
        </w:rPr>
      </w:pPr>
    </w:p>
    <w:p w14:paraId="03C2ECE3">
      <w:pPr>
        <w:ind w:firstLine="480"/>
        <w:rPr>
          <w:rFonts w:hint="eastAsia"/>
        </w:rPr>
      </w:pPr>
    </w:p>
    <w:p w14:paraId="6806815A">
      <w:pPr>
        <w:ind w:firstLine="480"/>
        <w:rPr>
          <w:rFonts w:hint="eastAsia"/>
        </w:rPr>
      </w:pPr>
    </w:p>
    <w:p w14:paraId="5C9D3F12">
      <w:pPr>
        <w:ind w:firstLine="480"/>
        <w:rPr>
          <w:rFonts w:hint="eastAsia"/>
        </w:rPr>
      </w:pPr>
    </w:p>
    <w:p w14:paraId="17898C87">
      <w:pPr>
        <w:ind w:firstLine="480"/>
        <w:rPr>
          <w:rFonts w:hint="eastAsia"/>
        </w:rPr>
      </w:pPr>
    </w:p>
    <w:p w14:paraId="12E0DB9B">
      <w:pPr>
        <w:ind w:firstLine="480"/>
        <w:rPr>
          <w:rFonts w:hint="eastAsia"/>
        </w:rPr>
      </w:pPr>
    </w:p>
    <w:p w14:paraId="57558480">
      <w:pPr>
        <w:ind w:firstLine="0" w:firstLineChars="0"/>
        <w:jc w:val="center"/>
        <w:rPr>
          <w:rFonts w:hint="eastAsia"/>
          <w:b/>
          <w:bCs/>
          <w:sz w:val="40"/>
          <w:szCs w:val="40"/>
          <w:lang w:val="zh-CN"/>
        </w:rPr>
      </w:pPr>
      <w:r>
        <w:rPr>
          <w:b/>
          <w:bCs/>
          <w:sz w:val="40"/>
          <w:szCs w:val="40"/>
        </w:rPr>
        <w:t>202</w:t>
      </w:r>
      <w:r>
        <w:rPr>
          <w:rFonts w:hint="eastAsia"/>
          <w:b/>
          <w:bCs/>
          <w:sz w:val="40"/>
          <w:szCs w:val="40"/>
        </w:rPr>
        <w:t>5</w:t>
      </w:r>
      <w:r>
        <w:rPr>
          <w:b/>
          <w:bCs/>
          <w:sz w:val="40"/>
          <w:szCs w:val="40"/>
          <w:lang w:val="zh-CN"/>
        </w:rPr>
        <w:t>年</w:t>
      </w:r>
      <w:r>
        <w:rPr>
          <w:rFonts w:hint="eastAsia"/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  <w:lang w:val="zh-CN"/>
        </w:rPr>
        <w:t>月</w:t>
      </w:r>
    </w:p>
    <w:p w14:paraId="06C90F60">
      <w:pPr>
        <w:ind w:firstLine="480"/>
        <w:rPr>
          <w:rFonts w:hint="eastAsia"/>
        </w:rPr>
      </w:pPr>
    </w:p>
    <w:p w14:paraId="2626A712">
      <w:pPr>
        <w:ind w:firstLine="480"/>
        <w:rPr>
          <w:rFonts w:hint="eastAsia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6DB4F869">
      <w:pPr>
        <w:ind w:firstLine="480"/>
        <w:rPr>
          <w:rFonts w:hint="eastAsia"/>
        </w:rPr>
      </w:pPr>
    </w:p>
    <w:sdt>
      <w:sdtPr>
        <w:rPr>
          <w:b/>
          <w:bCs/>
          <w:sz w:val="36"/>
          <w:szCs w:val="36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/>
          <w:b/>
          <w:bCs/>
          <w:sz w:val="24"/>
          <w:szCs w:val="24"/>
        </w:rPr>
      </w:sdtEndPr>
      <w:sdtContent>
        <w:p w14:paraId="52AAB4CD">
          <w:pPr>
            <w:spacing w:line="240" w:lineRule="auto"/>
            <w:ind w:firstLine="0" w:firstLineChars="0"/>
            <w:jc w:val="center"/>
            <w:rPr>
              <w:rFonts w:hint="eastAsia"/>
              <w:b/>
              <w:bCs/>
              <w:sz w:val="36"/>
              <w:szCs w:val="36"/>
            </w:rPr>
          </w:pPr>
          <w:r>
            <w:rPr>
              <w:b/>
              <w:bCs/>
              <w:sz w:val="36"/>
              <w:szCs w:val="36"/>
            </w:rPr>
            <w:t>目录</w:t>
          </w:r>
        </w:p>
        <w:p w14:paraId="2A514725"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_Toc1029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一、 公司简介</w:t>
          </w:r>
          <w:r>
            <w:tab/>
          </w:r>
          <w:r>
            <w:fldChar w:fldCharType="begin"/>
          </w:r>
          <w:r>
            <w:instrText xml:space="preserve"> PAGEREF _Toc1029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B98FAF7"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_Toc11619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二、 水源地水质监测概述</w:t>
          </w:r>
          <w:r>
            <w:tab/>
          </w:r>
          <w:r>
            <w:fldChar w:fldCharType="begin"/>
          </w:r>
          <w:r>
            <w:instrText xml:space="preserve"> PAGEREF _Toc11619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21A8AB3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_Toc19529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2.1. 水源地行业背景</w:t>
          </w:r>
          <w:r>
            <w:tab/>
          </w:r>
          <w:r>
            <w:fldChar w:fldCharType="begin"/>
          </w:r>
          <w:r>
            <w:instrText xml:space="preserve"> PAGEREF _Toc19529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449E02D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_Toc458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2.2. 水源地监测特点</w:t>
          </w:r>
          <w:r>
            <w:tab/>
          </w:r>
          <w:r>
            <w:fldChar w:fldCharType="begin"/>
          </w:r>
          <w:r>
            <w:instrText xml:space="preserve"> PAGEREF _Toc458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4F880BA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_Toc16669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2.2.1. 水源地水质特点</w:t>
          </w:r>
          <w:r>
            <w:tab/>
          </w:r>
          <w:r>
            <w:fldChar w:fldCharType="begin"/>
          </w:r>
          <w:r>
            <w:instrText xml:space="preserve"> PAGEREF _Toc16669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6EA9E58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_Toc24653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>2.2.2. 水源地水质监测特点</w:t>
          </w:r>
          <w:r>
            <w:tab/>
          </w:r>
          <w:r>
            <w:fldChar w:fldCharType="begin"/>
          </w:r>
          <w:r>
            <w:instrText xml:space="preserve"> PAGEREF _Toc24653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89FFB9D"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_Toc13617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三、 建设方案设计</w:t>
          </w:r>
          <w:r>
            <w:tab/>
          </w:r>
          <w:r>
            <w:fldChar w:fldCharType="begin"/>
          </w:r>
          <w:r>
            <w:instrText xml:space="preserve"> PAGEREF _Toc13617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846C4B9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_Toc348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3.1. 系统框架图</w:t>
          </w:r>
          <w:r>
            <w:tab/>
          </w:r>
          <w:r>
            <w:fldChar w:fldCharType="begin"/>
          </w:r>
          <w:r>
            <w:instrText xml:space="preserve"> PAGEREF _Toc348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7B675FD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_Toc21956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3.2. 设备选型策略</w:t>
          </w:r>
          <w:r>
            <w:tab/>
          </w:r>
          <w:r>
            <w:fldChar w:fldCharType="begin"/>
          </w:r>
          <w:r>
            <w:instrText xml:space="preserve"> PAGEREF _Toc21956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6DA5BFE"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_Toc8576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四、 产品介绍</w:t>
          </w:r>
          <w:r>
            <w:tab/>
          </w:r>
          <w:r>
            <w:fldChar w:fldCharType="begin"/>
          </w:r>
          <w:r>
            <w:instrText xml:space="preserve"> PAGEREF _Toc8576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CAFF3C2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_Toc18528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4.1. 技术参数</w:t>
          </w:r>
          <w:r>
            <w:tab/>
          </w:r>
          <w:r>
            <w:fldChar w:fldCharType="begin"/>
          </w:r>
          <w:r>
            <w:instrText xml:space="preserve"> PAGEREF _Toc18528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A9A53CB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_Toc18104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4.2. 场景适配性</w:t>
          </w:r>
          <w:r>
            <w:tab/>
          </w:r>
          <w:r>
            <w:fldChar w:fldCharType="begin"/>
          </w:r>
          <w:r>
            <w:instrText xml:space="preserve"> PAGEREF _Toc18104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3CCA277"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_Toc32568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五、 设备寿命及维护</w:t>
          </w:r>
          <w:r>
            <w:tab/>
          </w:r>
          <w:r>
            <w:fldChar w:fldCharType="begin"/>
          </w:r>
          <w:r>
            <w:instrText xml:space="preserve"> PAGEREF _Toc32568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0E702D4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_Toc21970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5.1. 设备寿命周期与维护周期表</w:t>
          </w:r>
          <w:r>
            <w:tab/>
          </w:r>
          <w:r>
            <w:fldChar w:fldCharType="begin"/>
          </w:r>
          <w:r>
            <w:instrText xml:space="preserve"> PAGEREF _Toc21970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5222FE1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_Toc16803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5.2. </w:t>
          </w:r>
          <w:r>
            <w:rPr>
              <w:rFonts w:hint="eastAsia"/>
              <w:lang w:val="en-US" w:eastAsia="zh-CN"/>
            </w:rPr>
            <w:t>设备</w:t>
          </w:r>
          <w:r>
            <w:rPr>
              <w:rFonts w:hint="eastAsia"/>
            </w:rPr>
            <w:t>日常维护</w:t>
          </w:r>
          <w:r>
            <w:tab/>
          </w:r>
          <w:r>
            <w:fldChar w:fldCharType="begin"/>
          </w:r>
          <w:r>
            <w:instrText xml:space="preserve"> PAGEREF _Toc16803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B64E426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_Toc8070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5.3. </w:t>
          </w:r>
          <w:r>
            <w:rPr>
              <w:rFonts w:hint="eastAsia"/>
              <w:lang w:val="en-US" w:eastAsia="zh-CN"/>
            </w:rPr>
            <w:t>设备</w:t>
          </w:r>
          <w:r>
            <w:rPr>
              <w:rFonts w:hint="eastAsia"/>
            </w:rPr>
            <w:t>维护注意事项</w:t>
          </w:r>
          <w:r>
            <w:tab/>
          </w:r>
          <w:r>
            <w:fldChar w:fldCharType="begin"/>
          </w:r>
          <w:r>
            <w:instrText xml:space="preserve"> PAGEREF _Toc8070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53BD6BC"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_Toc4430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六、 案例展示</w:t>
          </w:r>
          <w:r>
            <w:tab/>
          </w:r>
          <w:r>
            <w:fldChar w:fldCharType="begin"/>
          </w:r>
          <w:r>
            <w:instrText xml:space="preserve"> PAGEREF _Toc4430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3343F0E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_Toc2900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6.1. </w:t>
          </w:r>
          <w:r>
            <w:rPr>
              <w:bCs/>
            </w:rPr>
            <w:t>案例一：</w:t>
          </w:r>
          <w:r>
            <w:t>某河流型水源地水质监测项目</w:t>
          </w:r>
          <w:r>
            <w:tab/>
          </w:r>
          <w:r>
            <w:fldChar w:fldCharType="begin"/>
          </w:r>
          <w:r>
            <w:instrText xml:space="preserve"> PAGEREF _Toc2900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27731AF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_Toc6679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6.2. </w:t>
          </w:r>
          <w:r>
            <w:rPr>
              <w:bCs/>
            </w:rPr>
            <w:t>案例二：</w:t>
          </w:r>
          <w:r>
            <w:t>某湖泊型水源地水质监测项目</w:t>
          </w:r>
          <w:r>
            <w:tab/>
          </w:r>
          <w:r>
            <w:fldChar w:fldCharType="begin"/>
          </w:r>
          <w:r>
            <w:instrText xml:space="preserve"> PAGEREF _Toc6679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13F8D3F">
          <w:pPr>
            <w:ind w:firstLine="480"/>
            <w:rPr>
              <w:rFonts w:hint="eastAsia"/>
            </w:rPr>
          </w:pPr>
          <w:r>
            <w:rPr>
              <w:rFonts w:hint="eastAsia"/>
            </w:rPr>
            <w:fldChar w:fldCharType="end"/>
          </w:r>
        </w:p>
      </w:sdtContent>
    </w:sdt>
    <w:p w14:paraId="5E2DFA78">
      <w:pPr>
        <w:ind w:firstLine="0" w:firstLineChars="0"/>
        <w:rPr>
          <w:rFonts w:hint="eastAsia"/>
        </w:rPr>
        <w:sectPr>
          <w:headerReference r:id="rId11" w:type="default"/>
          <w:footerReference r:id="rId12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7972DE43">
      <w:pPr>
        <w:pStyle w:val="2"/>
        <w:rPr>
          <w:rFonts w:hint="eastAsia"/>
        </w:rPr>
      </w:pPr>
      <w:bookmarkStart w:id="0" w:name="_Toc1029"/>
      <w:bookmarkStart w:id="1" w:name="_Toc3865"/>
      <w:r>
        <w:rPr>
          <w:rFonts w:hint="eastAsia"/>
        </w:rPr>
        <w:t>公司简介</w:t>
      </w:r>
      <w:bookmarkEnd w:id="0"/>
      <w:bookmarkEnd w:id="1"/>
    </w:p>
    <w:p w14:paraId="46C5A321">
      <w:pPr>
        <w:ind w:firstLine="480"/>
        <w:rPr>
          <w:rFonts w:hint="eastAsia"/>
        </w:rPr>
      </w:pPr>
    </w:p>
    <w:p w14:paraId="27100D52">
      <w:pPr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BE95">
      <w:pPr>
        <w:ind w:firstLine="0" w:firstLineChars="0"/>
        <w:jc w:val="left"/>
        <w:rPr>
          <w:rFonts w:hint="eastAsia"/>
        </w:rPr>
      </w:pPr>
    </w:p>
    <w:p w14:paraId="622B3205">
      <w:pPr>
        <w:ind w:firstLine="480"/>
        <w:rPr>
          <w:rFonts w:hint="eastAsia"/>
        </w:rPr>
      </w:pPr>
      <w:r>
        <w:rPr>
          <w:rFonts w:hint="eastAsia"/>
          <w:lang w:val="en-US" w:eastAsia="zh-CN"/>
        </w:rPr>
        <w:t>青岛精诚仪器仪表</w:t>
      </w:r>
      <w:r>
        <w:rPr>
          <w:rFonts w:hint="eastAsia"/>
        </w:rPr>
        <w:t>有限公司（简称</w:t>
      </w:r>
      <w:r>
        <w:rPr>
          <w:rFonts w:hint="eastAsia"/>
          <w:lang w:val="en-US" w:eastAsia="zh-CN"/>
        </w:rPr>
        <w:t>青岛精诚</w:t>
      </w:r>
      <w:r>
        <w:rPr>
          <w:rFonts w:hint="eastAsia"/>
        </w:rPr>
        <w:t>）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2E2AC621">
      <w:pPr>
        <w:ind w:firstLine="480"/>
        <w:rPr>
          <w:rFonts w:hint="eastAsia"/>
        </w:rPr>
      </w:pPr>
      <w:r>
        <w:rPr>
          <w:rFonts w:hint="eastAsia"/>
          <w:lang w:val="en-US" w:eastAsia="zh-CN"/>
        </w:rPr>
        <w:t>我公司</w:t>
      </w:r>
      <w:r>
        <w:rPr>
          <w:rFonts w:hint="eastAsia"/>
        </w:rPr>
        <w:t>拥有完善的研发、生产、销售和技术服务团队，是国内水质数字传感领导品牌，为国内近百个市、县（区）政府和生态环境部门提供水环境监测技术支撑。</w:t>
      </w:r>
    </w:p>
    <w:p w14:paraId="39FFB170">
      <w:pPr>
        <w:ind w:firstLine="480"/>
        <w:rPr>
          <w:rFonts w:hint="eastAsia"/>
        </w:rPr>
      </w:pPr>
    </w:p>
    <w:p w14:paraId="20833557">
      <w:pPr>
        <w:ind w:firstLine="480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62CA493">
      <w:pPr>
        <w:pStyle w:val="2"/>
        <w:rPr>
          <w:rFonts w:hint="eastAsia"/>
        </w:rPr>
      </w:pPr>
      <w:bookmarkStart w:id="2" w:name="_Toc11619"/>
      <w:bookmarkStart w:id="3" w:name="_Toc28553"/>
      <w:r>
        <w:rPr>
          <w:rFonts w:hint="eastAsia"/>
        </w:rPr>
        <w:t>水源地水质监测概述</w:t>
      </w:r>
      <w:bookmarkEnd w:id="2"/>
      <w:bookmarkEnd w:id="3"/>
    </w:p>
    <w:p w14:paraId="69B26607">
      <w:pPr>
        <w:pStyle w:val="3"/>
        <w:rPr>
          <w:rFonts w:hint="eastAsia"/>
        </w:rPr>
      </w:pPr>
      <w:bookmarkStart w:id="4" w:name="_Toc19529"/>
      <w:r>
        <w:rPr>
          <w:rFonts w:hint="eastAsia"/>
        </w:rPr>
        <w:t>水源地行业背景</w:t>
      </w:r>
      <w:bookmarkEnd w:id="4"/>
    </w:p>
    <w:p w14:paraId="500B1968">
      <w:pPr>
        <w:bidi w:val="0"/>
        <w:rPr>
          <w:rFonts w:hint="eastAsia"/>
        </w:rPr>
      </w:pPr>
      <w:r>
        <w:rPr>
          <w:rFonts w:hint="eastAsia"/>
        </w:rPr>
        <w:t>随着原水污染、突发事件（如工业事故、自然灾害）以及供水设施老化等问题凸显，居民对饮用水质量的要求日益提高，亟需从水源地到管网终端的全流程系统性监测。水源地作为供水系统的起点，其水质直接影响后续处理工艺和最终供水安全，因此在线监测成为保障饮用水安全的第一道防线。</w:t>
      </w:r>
    </w:p>
    <w:p w14:paraId="29E53EE7">
      <w:pPr>
        <w:bidi w:val="0"/>
        <w:rPr>
          <w:rFonts w:hint="eastAsia"/>
        </w:rPr>
      </w:pPr>
      <w:r>
        <w:rPr>
          <w:rFonts w:hint="eastAsia"/>
        </w:rPr>
        <w:t>我国在线监测技术从20世纪90年代起步，逐步从单一指标（如流量、压力）向多参数（浊度、余氯、COD等）扩展，并覆盖水源地、水厂、管网等全流程场景。例如，上海、北京等城市已实现水源地和水厂的关键水质参数实时监测，显著提升了精细化管理水平。近年来，光学、生物监测等新技术被引入，进一步提高了监测灵敏度和综合评估能力。</w:t>
      </w:r>
    </w:p>
    <w:p w14:paraId="24956784">
      <w:pPr>
        <w:bidi w:val="0"/>
        <w:rPr>
          <w:rFonts w:hint="eastAsia"/>
        </w:rPr>
      </w:pPr>
      <w:r>
        <w:rPr>
          <w:rFonts w:hint="eastAsia"/>
        </w:rPr>
        <w:t>国家通过“十一五”水专项等项目推动技术示范应用，并在多地建立水源地自动监测站，逐步完善监测网络。例如，广东省76个重要水源地已实现自动监测全覆盖，福州市县级以上水源地全部建成水质自动站并与生态云平台联网。此外，《自动在线监测运营管理办法》等政策逐步规范了运营管理。</w:t>
      </w:r>
    </w:p>
    <w:p w14:paraId="7C011772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水质监测痛点</w:t>
      </w:r>
    </w:p>
    <w:p w14:paraId="638634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技术瓶颈</w:t>
      </w:r>
    </w:p>
    <w:p w14:paraId="1CD90EE2">
      <w:pPr>
        <w:bidi w:val="0"/>
        <w:rPr>
          <w:rFonts w:hint="eastAsia"/>
        </w:rPr>
      </w:pPr>
      <w:r>
        <w:rPr>
          <w:rFonts w:hint="eastAsia"/>
        </w:rPr>
        <w:t>设备适用性与精度不足：部分在线监测设备对低浓度污染物（如微量有机物）的检测灵敏度不足，且易受环境干扰（如悬浮物过滤导致COD数据偏差）。</w:t>
      </w:r>
    </w:p>
    <w:p w14:paraId="6AC391D8">
      <w:pPr>
        <w:bidi w:val="0"/>
        <w:rPr>
          <w:rFonts w:hint="eastAsia"/>
        </w:rPr>
      </w:pPr>
      <w:r>
        <w:rPr>
          <w:rFonts w:hint="eastAsia"/>
        </w:rPr>
        <w:t>技术标准化滞后：缺乏针对在线监测设备的统一技术标准，不同设备的数据可比性差，难以直接作为考核依据。</w:t>
      </w:r>
    </w:p>
    <w:p w14:paraId="1F024F8D">
      <w:pPr>
        <w:bidi w:val="0"/>
        <w:rPr>
          <w:rFonts w:hint="eastAsia"/>
        </w:rPr>
      </w:pPr>
      <w:r>
        <w:rPr>
          <w:rFonts w:hint="eastAsia"/>
        </w:rPr>
        <w:t>新兴污染物监测能力薄弱：对新型污染物（如抗生素、微塑料）的在线监测技术尚未成熟，依赖实验室分析。</w:t>
      </w:r>
    </w:p>
    <w:p w14:paraId="7EA7A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运营与管理问题</w:t>
      </w:r>
    </w:p>
    <w:p w14:paraId="1D25CE59">
      <w:pPr>
        <w:bidi w:val="0"/>
        <w:rPr>
          <w:rFonts w:hint="eastAsia"/>
        </w:rPr>
      </w:pPr>
      <w:r>
        <w:rPr>
          <w:rFonts w:hint="eastAsia"/>
        </w:rPr>
        <w:t>运维成本高：监测设备需频繁校准和维护，乡镇及农村地区因专业人才匮乏导致运维困难。</w:t>
      </w:r>
    </w:p>
    <w:p w14:paraId="70AA9093">
      <w:pPr>
        <w:bidi w:val="0"/>
        <w:rPr>
          <w:rFonts w:hint="eastAsia"/>
        </w:rPr>
      </w:pPr>
      <w:r>
        <w:rPr>
          <w:rFonts w:hint="eastAsia"/>
        </w:rPr>
        <w:t>数据利用效率低：监测数据多用于报警和简单分析，缺乏深度挖掘（如趋势预测、污染溯源），未能充分支持决策。</w:t>
      </w:r>
    </w:p>
    <w:p w14:paraId="7454E02C">
      <w:pPr>
        <w:bidi w:val="0"/>
        <w:rPr>
          <w:rFonts w:hint="eastAsia"/>
        </w:rPr>
      </w:pPr>
      <w:r>
        <w:rPr>
          <w:rFonts w:hint="eastAsia"/>
        </w:rPr>
        <w:t>系统整合不足：部分水源地监测系统独立运行，未与应急响应、污染源管控等平台有效联动。</w:t>
      </w:r>
    </w:p>
    <w:p w14:paraId="26FB3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覆盖与均衡性缺陷</w:t>
      </w:r>
    </w:p>
    <w:p w14:paraId="7623750A">
      <w:pPr>
        <w:bidi w:val="0"/>
        <w:rPr>
          <w:rFonts w:hint="eastAsia"/>
        </w:rPr>
      </w:pPr>
      <w:r>
        <w:rPr>
          <w:rFonts w:hint="eastAsia"/>
        </w:rPr>
        <w:t>城乡差距显著：城市水源地已基本实现自动监测全覆盖，但乡镇及农村地区监测站点不足，依赖人工抽查，时效性差。例如，四会市部分乡镇水源地仍缺乏在线监控设备。</w:t>
      </w:r>
    </w:p>
    <w:p w14:paraId="3B2D8327">
      <w:pPr>
        <w:bidi w:val="0"/>
        <w:rPr>
          <w:rFonts w:hint="eastAsia"/>
        </w:rPr>
      </w:pPr>
      <w:r>
        <w:rPr>
          <w:rFonts w:hint="eastAsia"/>
        </w:rPr>
        <w:t>监测指标不全面：多数系统仅覆盖常规理化指标（如pH、浊度），生物毒性、放射性等综合风险指标监测能力有限。</w:t>
      </w:r>
    </w:p>
    <w:p w14:paraId="631743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资金与规范缺口</w:t>
      </w:r>
    </w:p>
    <w:p w14:paraId="4BACCF89">
      <w:pPr>
        <w:bidi w:val="0"/>
        <w:rPr>
          <w:rFonts w:hint="eastAsia"/>
        </w:rPr>
      </w:pPr>
      <w:r>
        <w:rPr>
          <w:rFonts w:hint="eastAsia"/>
        </w:rPr>
        <w:t>建设投入不均衡：经济发达地区资金充足，而欠发达地区依赖财政补贴，设备更新和技术迭代滞后。</w:t>
      </w:r>
    </w:p>
    <w:p w14:paraId="2DA8AAB6">
      <w:pPr>
        <w:bidi w:val="0"/>
        <w:rPr>
          <w:rFonts w:hint="eastAsia"/>
        </w:rPr>
      </w:pPr>
      <w:r>
        <w:rPr>
          <w:rFonts w:hint="eastAsia"/>
        </w:rPr>
        <w:t>标准体系待完善：现有标准偏重设备性能，对布点方案、数据共享机制等缺乏统一规范，制约监测网络整体效能。</w:t>
      </w:r>
    </w:p>
    <w:p w14:paraId="3ED85CCD">
      <w:pPr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水质标准与法规要求，监测依据</w:t>
      </w:r>
    </w:p>
    <w:p w14:paraId="02F81872">
      <w:pPr>
        <w:ind w:firstLine="0" w:firstLineChars="0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以饮用水水源地保护区划分技术规范HJ 338-2018标准为引：</w:t>
      </w:r>
    </w:p>
    <w:p w14:paraId="6715E162">
      <w:pPr>
        <w:ind w:firstLine="0" w:firstLineChars="0"/>
      </w:pPr>
      <w:r>
        <w:drawing>
          <wp:inline distT="0" distB="0" distL="114300" distR="114300">
            <wp:extent cx="5273675" cy="1195070"/>
            <wp:effectExtent l="0" t="0" r="1460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E7883"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所以应参考地表水环境质量标准GB 3838-2025。</w:t>
      </w:r>
    </w:p>
    <w:p w14:paraId="5A047802">
      <w:pPr>
        <w:pStyle w:val="3"/>
        <w:rPr>
          <w:rFonts w:hint="eastAsia"/>
        </w:rPr>
      </w:pPr>
      <w:bookmarkStart w:id="5" w:name="_Toc458"/>
      <w:bookmarkStart w:id="6" w:name="_Toc16844"/>
      <w:r>
        <w:rPr>
          <w:rFonts w:hint="eastAsia"/>
        </w:rPr>
        <w:t>水源地监测特点</w:t>
      </w:r>
      <w:bookmarkEnd w:id="5"/>
      <w:bookmarkEnd w:id="6"/>
    </w:p>
    <w:p w14:paraId="3558740F">
      <w:pPr>
        <w:pStyle w:val="4"/>
        <w:bidi w:val="0"/>
        <w:rPr>
          <w:rFonts w:hint="eastAsia"/>
        </w:rPr>
      </w:pPr>
      <w:bookmarkStart w:id="7" w:name="_Toc16669"/>
      <w:bookmarkStart w:id="8" w:name="_Toc15099"/>
      <w:r>
        <w:rPr>
          <w:rFonts w:hint="eastAsia"/>
        </w:rPr>
        <w:t>水源地水质特点</w:t>
      </w:r>
      <w:bookmarkEnd w:id="7"/>
    </w:p>
    <w:p w14:paraId="657E5D09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水源类型差异显著</w:t>
      </w:r>
    </w:p>
    <w:p w14:paraId="4A4E5D11">
      <w:pPr>
        <w:bidi w:val="0"/>
        <w:rPr>
          <w:rFonts w:hint="eastAsia"/>
        </w:rPr>
      </w:pPr>
      <w:r>
        <w:rPr>
          <w:rFonts w:hint="eastAsia"/>
        </w:rPr>
        <w:t>以河流、湖泊、水库为主，水质受季节、气候、人类活动影响大。例如，夏季高温易引发藻类繁殖，导致嗅味物质（如2-MIB）升高；冬季低温可能降低水体自净能力。</w:t>
      </w:r>
    </w:p>
    <w:p w14:paraId="5C7718C7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污染物来源复杂</w:t>
      </w:r>
    </w:p>
    <w:p w14:paraId="6644DD7C">
      <w:pPr>
        <w:bidi w:val="0"/>
        <w:rPr>
          <w:rFonts w:hint="eastAsia"/>
        </w:rPr>
      </w:pPr>
      <w:r>
        <w:rPr>
          <w:rFonts w:hint="eastAsia"/>
        </w:rPr>
        <w:t>常规污染物：包括有机物（COD、BOD）、营养盐（氮、磷）、悬浮物，主要来自农业面源（化肥、畜禽养殖）、生活污水及水土流失。</w:t>
      </w:r>
    </w:p>
    <w:p w14:paraId="2245F2BB">
      <w:pPr>
        <w:bidi w:val="0"/>
        <w:rPr>
          <w:rFonts w:hint="eastAsia"/>
        </w:rPr>
      </w:pPr>
      <w:r>
        <w:rPr>
          <w:rFonts w:hint="eastAsia"/>
        </w:rPr>
        <w:t>有毒有害物质：如重金属（铅、镉）、农药（有机磷、拟除虫菊酯）、工业化学品（苯系物、多氯联苯），多源于工业企业违规排放或历史遗留污染。</w:t>
      </w:r>
    </w:p>
    <w:p w14:paraId="165B9034">
      <w:pPr>
        <w:bidi w:val="0"/>
        <w:rPr>
          <w:rFonts w:hint="eastAsia"/>
        </w:rPr>
      </w:pPr>
      <w:r>
        <w:rPr>
          <w:rFonts w:hint="eastAsia"/>
        </w:rPr>
        <w:t>新兴污染物：包括药品与个人护理品（PPCPs）、内分泌干扰物（EDCs）、微塑料等，因其难降解、易富集特性，对长期水质安全构成潜在威胁。</w:t>
      </w:r>
    </w:p>
    <w:p w14:paraId="33A4BD74">
      <w:pPr>
        <w:bidi w:val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  <w:lang w:eastAsia="zh-CN"/>
        </w:rPr>
        <w:t>、</w:t>
      </w:r>
      <w:r>
        <w:rPr>
          <w:rFonts w:hint="eastAsia"/>
        </w:rPr>
        <w:t>时空分布不均</w:t>
      </w:r>
    </w:p>
    <w:p w14:paraId="375231AF">
      <w:pPr>
        <w:bidi w:val="0"/>
        <w:rPr>
          <w:rFonts w:hint="eastAsia"/>
        </w:rPr>
      </w:pPr>
      <w:r>
        <w:rPr>
          <w:rFonts w:hint="eastAsia"/>
        </w:rPr>
        <w:t>空间差异：河流型水源地上游水质普遍优于下游，支流汇入口、排污口附近污染物浓度较高；湖库型水源地易出现分层现象，底层水体溶解氧低，可能导致铁、锰释放。</w:t>
      </w:r>
    </w:p>
    <w:p w14:paraId="39CC9F4F">
      <w:pPr>
        <w:bidi w:val="0"/>
        <w:rPr>
          <w:rFonts w:hint="eastAsia"/>
        </w:rPr>
      </w:pPr>
      <w:r>
        <w:rPr>
          <w:rFonts w:hint="eastAsia"/>
        </w:rPr>
        <w:t>时间波动：雨季地表水浊度骤升，同时农业面源污染负荷增加；旱季地下水开采量增大，可能引发咸水入侵或污染物浓度浓缩。</w:t>
      </w:r>
    </w:p>
    <w:p w14:paraId="5D10AD9E">
      <w:pPr>
        <w:bidi w:val="0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  <w:lang w:eastAsia="zh-CN"/>
        </w:rPr>
        <w:t>、</w:t>
      </w:r>
      <w:r>
        <w:rPr>
          <w:rFonts w:hint="eastAsia"/>
        </w:rPr>
        <w:t>生物与化学协同作用</w:t>
      </w:r>
    </w:p>
    <w:p w14:paraId="02C4F48F">
      <w:pPr>
        <w:bidi w:val="0"/>
        <w:rPr>
          <w:rFonts w:hint="eastAsia"/>
        </w:rPr>
      </w:pPr>
      <w:r>
        <w:rPr>
          <w:rFonts w:hint="eastAsia"/>
        </w:rPr>
        <w:t>微生物活动（如硝化/反硝化作用）可能改变氮、磷形态；藻类增殖会释放藻毒素并消耗溶解氧，加剧水质恶化。此外，污染物间可能存在协同或拮抗效应，例如重金属与有机物的复合污染毒性显著高于单一污染物。</w:t>
      </w:r>
    </w:p>
    <w:p w14:paraId="09164672">
      <w:pPr>
        <w:pStyle w:val="4"/>
        <w:bidi w:val="0"/>
        <w:rPr>
          <w:rFonts w:hint="eastAsia"/>
          <w:lang w:eastAsia="zh-CN"/>
        </w:rPr>
      </w:pPr>
      <w:bookmarkStart w:id="9" w:name="_Toc24653"/>
      <w:r>
        <w:rPr>
          <w:rFonts w:hint="eastAsia"/>
          <w:lang w:eastAsia="zh-CN"/>
        </w:rPr>
        <w:t>水源地水质监测特点</w:t>
      </w:r>
      <w:bookmarkEnd w:id="9"/>
    </w:p>
    <w:p w14:paraId="63B93E27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1、多维度技术集成</w:t>
      </w:r>
    </w:p>
    <w:p w14:paraId="6DD0948D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水源地水质监测需融合在线监测、实验室分析、生物毒性测试等多技术手段。在线设备（如多参数水质分析仪）可实时获取pH、溶解氧、浊度等基础指标；实验室分析则用于检测微量有机物（如农药残留、抗生素）及重金属；生物监测（如发光细菌法）用于评估水体综合毒性。这种“现场+实验室+生物”的三维监测体系能够更全面地反映水质风险。</w:t>
      </w:r>
    </w:p>
    <w:p w14:paraId="40D4AFCE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2、动态性与连续性要求高</w:t>
      </w:r>
    </w:p>
    <w:p w14:paraId="788DF3CF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水源地水质易受降雨、径流、污染事故等突发因素影响，需通过高频次、连续性监测捕捉动态变化。例如，地表水水源地在汛期需加密监测频次以防范面源污染冲击；地下水水源地则需长期跟踪水位和水质变化，预防污染物缓慢迁移。</w:t>
      </w:r>
    </w:p>
    <w:p w14:paraId="146BAEB5"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、法规与标准驱动性强</w:t>
      </w:r>
    </w:p>
    <w:p w14:paraId="5B905168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监测范围、频次及方法严格遵循《地表水环境质量标准》（GB 3838）、《地下水质量标准》（GB/T 14848）等国家标准，并需符合地方性法规（如流域保护条例）。例如，长江经济带水源地需额外监测总氮、总磷等富营养化指标。</w:t>
      </w:r>
    </w:p>
    <w:p w14:paraId="0163687F"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、数据整合与智能化应用</w:t>
      </w:r>
    </w:p>
    <w:p w14:paraId="5FDD7393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通过物联网技术将监测数据实时传输至云平台，结合AI算法实现污染溯源、风险预警、趋势预测。例如，利用机器学习模型分析历史数据，预测藻类爆发的概率和时间节点，提前启动应急处理措施。</w:t>
      </w:r>
    </w:p>
    <w:p w14:paraId="109760DF">
      <w:pPr>
        <w:bidi w:val="0"/>
        <w:rPr>
          <w:rFonts w:hint="eastAsia"/>
          <w:lang w:eastAsia="zh-CN"/>
        </w:rPr>
      </w:pPr>
    </w:p>
    <w:p w14:paraId="1FA72B88">
      <w:pPr>
        <w:ind w:firstLine="480"/>
        <w:jc w:val="center"/>
        <w:rPr>
          <w:rFonts w:hint="eastAsia"/>
        </w:rPr>
      </w:pPr>
      <w:r>
        <w:t>生活饮用水水源水质分为二级，其两极标准的限值见表</w:t>
      </w:r>
      <w:r>
        <w:rPr>
          <w:rFonts w:hint="eastAsia"/>
        </w:rPr>
        <w:t>。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1"/>
        <w:gridCol w:w="3144"/>
        <w:gridCol w:w="2767"/>
      </w:tblGrid>
      <w:tr w14:paraId="5B38C82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Merge w:val="restart"/>
            <w:vAlign w:val="center"/>
          </w:tcPr>
          <w:p w14:paraId="7465923F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项目</w:t>
            </w:r>
          </w:p>
        </w:tc>
        <w:tc>
          <w:tcPr>
            <w:tcW w:w="5911" w:type="dxa"/>
            <w:gridSpan w:val="2"/>
            <w:vAlign w:val="center"/>
          </w:tcPr>
          <w:p w14:paraId="4C64CD9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标准限值</w:t>
            </w:r>
          </w:p>
        </w:tc>
      </w:tr>
      <w:tr w14:paraId="68692A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Merge w:val="continue"/>
            <w:vAlign w:val="center"/>
          </w:tcPr>
          <w:p w14:paraId="13B6892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</w:p>
        </w:tc>
        <w:tc>
          <w:tcPr>
            <w:tcW w:w="3144" w:type="dxa"/>
            <w:vAlign w:val="center"/>
          </w:tcPr>
          <w:p w14:paraId="62564AB0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一级</w:t>
            </w:r>
          </w:p>
        </w:tc>
        <w:tc>
          <w:tcPr>
            <w:tcW w:w="2767" w:type="dxa"/>
            <w:vAlign w:val="center"/>
          </w:tcPr>
          <w:p w14:paraId="54B21490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二级</w:t>
            </w:r>
          </w:p>
        </w:tc>
      </w:tr>
      <w:tr w14:paraId="472848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Align w:val="center"/>
          </w:tcPr>
          <w:p w14:paraId="7D07181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色度</w:t>
            </w:r>
          </w:p>
        </w:tc>
        <w:tc>
          <w:tcPr>
            <w:tcW w:w="3144" w:type="dxa"/>
            <w:vAlign w:val="center"/>
          </w:tcPr>
          <w:p w14:paraId="2B5DEDD1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色度不超过 15 度，并不得呈现其他异色</w:t>
            </w:r>
          </w:p>
        </w:tc>
        <w:tc>
          <w:tcPr>
            <w:tcW w:w="2767" w:type="dxa"/>
            <w:vAlign w:val="center"/>
          </w:tcPr>
          <w:p w14:paraId="096AF0D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不应有明显的其他异色</w:t>
            </w:r>
          </w:p>
        </w:tc>
      </w:tr>
      <w:tr w14:paraId="06EDE8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Align w:val="center"/>
          </w:tcPr>
          <w:p w14:paraId="7B1FDCF2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浑浊度（度）</w:t>
            </w:r>
          </w:p>
        </w:tc>
        <w:tc>
          <w:tcPr>
            <w:tcW w:w="3144" w:type="dxa"/>
            <w:vAlign w:val="center"/>
          </w:tcPr>
          <w:p w14:paraId="2ED84F30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≤3</w:t>
            </w:r>
          </w:p>
        </w:tc>
        <w:tc>
          <w:tcPr>
            <w:tcW w:w="2767" w:type="dxa"/>
            <w:vAlign w:val="center"/>
          </w:tcPr>
          <w:p w14:paraId="7DBB196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不应有明显的异臭、异味</w:t>
            </w:r>
          </w:p>
        </w:tc>
      </w:tr>
      <w:tr w14:paraId="3EDFE42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Align w:val="center"/>
          </w:tcPr>
          <w:p w14:paraId="391FE1F2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嗅和味</w:t>
            </w:r>
          </w:p>
        </w:tc>
        <w:tc>
          <w:tcPr>
            <w:tcW w:w="3144" w:type="dxa"/>
            <w:vAlign w:val="center"/>
          </w:tcPr>
          <w:p w14:paraId="11F4896D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不得有异臭、异味</w:t>
            </w:r>
          </w:p>
        </w:tc>
        <w:tc>
          <w:tcPr>
            <w:tcW w:w="2767" w:type="dxa"/>
            <w:vAlign w:val="center"/>
          </w:tcPr>
          <w:p w14:paraId="2B39361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07DD4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Align w:val="center"/>
          </w:tcPr>
          <w:p w14:paraId="579256B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PH值</w:t>
            </w:r>
          </w:p>
        </w:tc>
        <w:tc>
          <w:tcPr>
            <w:tcW w:w="3144" w:type="dxa"/>
            <w:vAlign w:val="center"/>
          </w:tcPr>
          <w:p w14:paraId="709D7A6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6.5~8.5</w:t>
            </w:r>
          </w:p>
        </w:tc>
        <w:tc>
          <w:tcPr>
            <w:tcW w:w="2767" w:type="dxa"/>
            <w:vAlign w:val="center"/>
          </w:tcPr>
          <w:p w14:paraId="34C1642D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6.5~8.5</w:t>
            </w:r>
          </w:p>
        </w:tc>
      </w:tr>
      <w:tr w14:paraId="0D8340C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Align w:val="center"/>
          </w:tcPr>
          <w:p w14:paraId="72EA1D5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总硬度（以碳酸钙计）（mg/L）</w:t>
            </w:r>
          </w:p>
        </w:tc>
        <w:tc>
          <w:tcPr>
            <w:tcW w:w="3144" w:type="dxa"/>
            <w:vAlign w:val="center"/>
          </w:tcPr>
          <w:p w14:paraId="4B5FD2D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≤350</w:t>
            </w:r>
          </w:p>
        </w:tc>
        <w:tc>
          <w:tcPr>
            <w:tcW w:w="2767" w:type="dxa"/>
            <w:vAlign w:val="center"/>
          </w:tcPr>
          <w:p w14:paraId="2C233C7B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≤450</w:t>
            </w:r>
          </w:p>
        </w:tc>
      </w:tr>
      <w:tr w14:paraId="17FA45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Align w:val="center"/>
          </w:tcPr>
          <w:p w14:paraId="418FC8D1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总溶解性固体（mg/L）</w:t>
            </w:r>
          </w:p>
        </w:tc>
        <w:tc>
          <w:tcPr>
            <w:tcW w:w="3144" w:type="dxa"/>
            <w:vAlign w:val="center"/>
          </w:tcPr>
          <w:p w14:paraId="76A0DEC2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＜1000</w:t>
            </w:r>
          </w:p>
        </w:tc>
        <w:tc>
          <w:tcPr>
            <w:tcW w:w="2767" w:type="dxa"/>
            <w:vAlign w:val="center"/>
          </w:tcPr>
          <w:p w14:paraId="0DDCE6A1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＜1000</w:t>
            </w:r>
          </w:p>
        </w:tc>
      </w:tr>
      <w:tr w14:paraId="39D56A6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Align w:val="center"/>
          </w:tcPr>
          <w:p w14:paraId="3986CD0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氨氮（以氨计）（mg/L）</w:t>
            </w:r>
          </w:p>
        </w:tc>
        <w:tc>
          <w:tcPr>
            <w:tcW w:w="3144" w:type="dxa"/>
            <w:vAlign w:val="center"/>
          </w:tcPr>
          <w:p w14:paraId="5A16FC1B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≤0.5</w:t>
            </w:r>
          </w:p>
        </w:tc>
        <w:tc>
          <w:tcPr>
            <w:tcW w:w="2767" w:type="dxa"/>
            <w:vAlign w:val="center"/>
          </w:tcPr>
          <w:p w14:paraId="4DB18A0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≤1.0</w:t>
            </w:r>
          </w:p>
        </w:tc>
      </w:tr>
      <w:tr w14:paraId="6A5CDB5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Align w:val="center"/>
          </w:tcPr>
          <w:p w14:paraId="368C312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硝酸盐（以氮计）（mg/L）</w:t>
            </w:r>
          </w:p>
        </w:tc>
        <w:tc>
          <w:tcPr>
            <w:tcW w:w="3144" w:type="dxa"/>
            <w:vAlign w:val="center"/>
          </w:tcPr>
          <w:p w14:paraId="2A06458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≤10</w:t>
            </w:r>
          </w:p>
        </w:tc>
        <w:tc>
          <w:tcPr>
            <w:tcW w:w="2767" w:type="dxa"/>
            <w:vAlign w:val="center"/>
          </w:tcPr>
          <w:p w14:paraId="562921A6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≤20</w:t>
            </w:r>
          </w:p>
        </w:tc>
      </w:tr>
      <w:tr w14:paraId="3977A58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1" w:type="dxa"/>
            <w:vAlign w:val="center"/>
          </w:tcPr>
          <w:p w14:paraId="0CEAE7F7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总大肠菌群（个/L）</w:t>
            </w:r>
          </w:p>
        </w:tc>
        <w:tc>
          <w:tcPr>
            <w:tcW w:w="3144" w:type="dxa"/>
            <w:vAlign w:val="center"/>
          </w:tcPr>
          <w:p w14:paraId="4849D530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≤1000</w:t>
            </w:r>
          </w:p>
        </w:tc>
        <w:tc>
          <w:tcPr>
            <w:tcW w:w="2767" w:type="dxa"/>
            <w:vAlign w:val="center"/>
          </w:tcPr>
          <w:p w14:paraId="2C1596F1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≤10000</w:t>
            </w:r>
          </w:p>
        </w:tc>
      </w:tr>
    </w:tbl>
    <w:p w14:paraId="34AEEA23">
      <w:pPr>
        <w:ind w:firstLine="480"/>
        <w:rPr>
          <w:rFonts w:hint="eastAsia"/>
        </w:rPr>
      </w:pPr>
      <w:r>
        <w:t>一级水源水：水质良好。地下水只需消毒处理，地表水经简易净化处理（如过滤）、消毒后即可供生活饮用者。</w:t>
      </w:r>
    </w:p>
    <w:p w14:paraId="623B1DE2">
      <w:pPr>
        <w:ind w:firstLine="480"/>
        <w:rPr>
          <w:rFonts w:hint="eastAsia"/>
        </w:rPr>
      </w:pPr>
      <w:r>
        <w:t>二级水源水：水质受轻度污染。经常规净化处理（如絮凝、沉淀、过滤、消毒等），其水质即可达到 GB5749 规定，可供生活饮用者。</w:t>
      </w:r>
    </w:p>
    <w:p w14:paraId="0C9F7395">
      <w:pPr>
        <w:ind w:firstLine="480"/>
        <w:rPr>
          <w:rFonts w:hint="eastAsia"/>
        </w:rPr>
      </w:pPr>
      <w:r>
        <w:t>水质浓度超过二级标准限值的水源水，不宜作为生活饮用水的水源。若限于条件 需加以利用时，应采用相应的净化工艺进行处理。处理后的水质应符合 GB5749 规定，并 取得省、市、自治区卫生厅（局）及主管部门批准。</w:t>
      </w:r>
    </w:p>
    <w:p w14:paraId="07C555BC">
      <w:pPr>
        <w:ind w:firstLine="480"/>
        <w:rPr>
          <w:rFonts w:hint="eastAsia"/>
        </w:rPr>
      </w:pPr>
    </w:p>
    <w:p w14:paraId="662E80C2">
      <w:pPr>
        <w:pStyle w:val="2"/>
        <w:rPr>
          <w:rFonts w:hint="eastAsia"/>
        </w:rPr>
      </w:pPr>
      <w:bookmarkStart w:id="10" w:name="_Toc13617"/>
      <w:r>
        <w:rPr>
          <w:rFonts w:hint="eastAsia"/>
        </w:rPr>
        <w:t>建设方案设计</w:t>
      </w:r>
      <w:bookmarkEnd w:id="8"/>
      <w:bookmarkEnd w:id="10"/>
    </w:p>
    <w:p w14:paraId="210E7B01">
      <w:pPr>
        <w:pStyle w:val="3"/>
        <w:rPr>
          <w:rFonts w:hint="eastAsia"/>
        </w:rPr>
      </w:pPr>
      <w:bookmarkStart w:id="11" w:name="_Toc348"/>
      <w:r>
        <w:rPr>
          <w:rFonts w:hint="eastAsia"/>
        </w:rPr>
        <w:t>系统框架图</w:t>
      </w:r>
      <w:bookmarkEnd w:id="11"/>
    </w:p>
    <w:p w14:paraId="4377780B">
      <w:pPr>
        <w:ind w:firstLine="48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57800" cy="2834640"/>
            <wp:effectExtent l="0" t="0" r="0" b="0"/>
            <wp:docPr id="33" name="图片 33" descr="1739182787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391827873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3826">
      <w:pPr>
        <w:ind w:firstLine="480"/>
        <w:rPr>
          <w:rFonts w:hint="eastAsia"/>
        </w:rPr>
      </w:pPr>
      <w:r>
        <w:rPr>
          <w:rFonts w:hint="eastAsia"/>
        </w:rPr>
        <w:t>水质微型自动监测站能够做到实时、连续监测和远程监控，能够及时掌握主要流域重点断面和水源水体水质状况，预警预报重大流域性水质污染事故，在发生重大水污染时掌控水源水质状况，做到防范、解决突发水污染事故的目的。同时还可以在发生源水水质污染时及时通报相关部门，启动相应应急预案，确保水质安全。</w:t>
      </w:r>
    </w:p>
    <w:p w14:paraId="50D2FF78">
      <w:pPr>
        <w:pStyle w:val="3"/>
        <w:rPr>
          <w:rFonts w:hint="eastAsia"/>
        </w:rPr>
      </w:pPr>
      <w:bookmarkStart w:id="12" w:name="_Toc21956"/>
      <w:r>
        <w:rPr>
          <w:rFonts w:hint="eastAsia"/>
        </w:rPr>
        <w:t>设备选型策略</w:t>
      </w:r>
      <w:bookmarkEnd w:id="12"/>
    </w:p>
    <w:p w14:paraId="499F72E3">
      <w:pPr>
        <w:ind w:firstLine="480"/>
        <w:rPr>
          <w:rFonts w:hint="eastAsia"/>
        </w:rPr>
      </w:pPr>
      <w:r>
        <w:rPr>
          <w:rFonts w:hint="eastAsia"/>
        </w:rPr>
        <w:t>（1）核心监测参数与设备对应</w:t>
      </w:r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1"/>
        <w:gridCol w:w="3278"/>
        <w:gridCol w:w="3070"/>
      </w:tblGrid>
      <w:tr w14:paraId="27DC09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vAlign w:val="center"/>
          </w:tcPr>
          <w:p w14:paraId="05075592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核心监测参数</w:t>
            </w:r>
          </w:p>
        </w:tc>
        <w:tc>
          <w:tcPr>
            <w:tcW w:w="1923" w:type="pct"/>
            <w:vAlign w:val="center"/>
          </w:tcPr>
          <w:p w14:paraId="056A731F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设备名称</w:t>
            </w:r>
          </w:p>
        </w:tc>
        <w:tc>
          <w:tcPr>
            <w:tcW w:w="1801" w:type="pct"/>
            <w:vAlign w:val="center"/>
          </w:tcPr>
          <w:p w14:paraId="5FCF1EC3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设备原理</w:t>
            </w:r>
          </w:p>
        </w:tc>
      </w:tr>
      <w:tr w14:paraId="5EAFBD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vAlign w:val="center"/>
          </w:tcPr>
          <w:p w14:paraId="22A791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色度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128A0E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在线色度传感器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1C7E8C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cstheme="minorBid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双波长可见光吸收法</w:t>
            </w:r>
          </w:p>
        </w:tc>
      </w:tr>
      <w:tr w14:paraId="6FC513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vAlign w:val="center"/>
          </w:tcPr>
          <w:p w14:paraId="251ED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浊度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F699D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在线浊度传感器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2B168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cstheme="minorBid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散射光法</w:t>
            </w:r>
          </w:p>
        </w:tc>
      </w:tr>
      <w:tr w14:paraId="0034355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vAlign w:val="center"/>
          </w:tcPr>
          <w:p w14:paraId="6CC2D9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91E79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在线PH传感器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62232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玻璃电极法</w:t>
            </w:r>
          </w:p>
        </w:tc>
      </w:tr>
      <w:tr w14:paraId="4A9547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vAlign w:val="center"/>
          </w:tcPr>
          <w:p w14:paraId="30064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硬度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A032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在线硬度传感器/在线硬度分析仪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04BE2C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cstheme="minorBid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离子选择法/比色滴定</w:t>
            </w:r>
          </w:p>
        </w:tc>
      </w:tr>
      <w:tr w14:paraId="7029EE4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vAlign w:val="center"/>
          </w:tcPr>
          <w:p w14:paraId="237FF1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电导率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7C64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在线电导率传感器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2EAFD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cstheme="minorBidi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接触式电极法</w:t>
            </w:r>
          </w:p>
        </w:tc>
      </w:tr>
      <w:tr w14:paraId="6E1B99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vAlign w:val="center"/>
          </w:tcPr>
          <w:p w14:paraId="0D8E52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氨氮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727BBC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在线氨氮传感器/在线氨氮分析仪/在线全光谱多参数传感器/便携式多参数分析仪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6B9D29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cstheme="minorBid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离子选择法/水杨酸法/全光谱法/光电比色法</w:t>
            </w:r>
          </w:p>
        </w:tc>
      </w:tr>
      <w:tr w14:paraId="6D7C10C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vAlign w:val="center"/>
          </w:tcPr>
          <w:p w14:paraId="06AC4A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硝氮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198AC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在线光学硝氮传感器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193F95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cstheme="minorBid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双波长可见光吸收法</w:t>
            </w:r>
          </w:p>
        </w:tc>
      </w:tr>
      <w:tr w14:paraId="6FBA652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5838AA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大肠杆菌</w:t>
            </w:r>
          </w:p>
        </w:tc>
        <w:tc>
          <w:tcPr>
            <w:tcW w:w="1923" w:type="pct"/>
            <w:shd w:val="clear" w:color="auto" w:fill="auto"/>
            <w:vAlign w:val="center"/>
          </w:tcPr>
          <w:p w14:paraId="34B20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大肠杆菌在线分析仪</w:t>
            </w:r>
          </w:p>
        </w:tc>
        <w:tc>
          <w:tcPr>
            <w:tcW w:w="1801" w:type="pct"/>
            <w:shd w:val="clear" w:color="auto" w:fill="auto"/>
            <w:vAlign w:val="center"/>
          </w:tcPr>
          <w:p w14:paraId="4A614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酶底物法</w:t>
            </w:r>
          </w:p>
        </w:tc>
      </w:tr>
      <w:tr w14:paraId="5ECEA9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29F9EFB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溶解氧</w:t>
            </w:r>
          </w:p>
        </w:tc>
        <w:tc>
          <w:tcPr>
            <w:tcW w:w="1923" w:type="pct"/>
            <w:shd w:val="clear" w:color="auto" w:fill="auto"/>
            <w:vAlign w:val="center"/>
          </w:tcPr>
          <w:p w14:paraId="746D52E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在线溶解氧传感器</w:t>
            </w:r>
          </w:p>
        </w:tc>
        <w:tc>
          <w:tcPr>
            <w:tcW w:w="1801" w:type="pct"/>
            <w:shd w:val="clear" w:color="auto" w:fill="auto"/>
            <w:vAlign w:val="center"/>
          </w:tcPr>
          <w:p w14:paraId="211286E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1"/>
                <w:lang w:val="en-US" w:eastAsia="zh-CN"/>
              </w:rPr>
              <w:t>荧光法</w:t>
            </w:r>
          </w:p>
        </w:tc>
      </w:tr>
      <w:tr w14:paraId="6D5E36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1" w:type="dxa"/>
            <w:shd w:val="clear" w:color="auto" w:fill="auto"/>
            <w:vAlign w:val="center"/>
          </w:tcPr>
          <w:p w14:paraId="3959F1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高锰酸盐指数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A801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在线高锰酸盐指数分析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/在线全光谱多参数传感器/便携式多参数分析仪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2E722E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高锰酸钾氧化法/全光谱法/光电比色法</w:t>
            </w:r>
          </w:p>
        </w:tc>
      </w:tr>
      <w:tr w14:paraId="58AA7A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5270689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总磷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D6868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分析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/在线全光谱多参数传感器/便携式多参数分析仪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69897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钼酸铵分光光度法/全光谱法/光电比色法</w:t>
            </w:r>
          </w:p>
        </w:tc>
      </w:tr>
      <w:tr w14:paraId="100E6A7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shd w:val="clear" w:color="auto" w:fill="auto"/>
            <w:vAlign w:val="center"/>
          </w:tcPr>
          <w:p w14:paraId="1F2D8B6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总氮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14AE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分析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/在线全光谱多参数传感器/便携式多参数分析仪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222567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过硫酸钾消解-紫外分光光度法/全光谱法/光电比色法</w:t>
            </w:r>
          </w:p>
        </w:tc>
      </w:tr>
      <w:tr w14:paraId="03F409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vAlign w:val="center"/>
          </w:tcPr>
          <w:p w14:paraId="763AD888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流量</w:t>
            </w:r>
          </w:p>
        </w:tc>
        <w:tc>
          <w:tcPr>
            <w:tcW w:w="1923" w:type="pct"/>
            <w:vAlign w:val="center"/>
          </w:tcPr>
          <w:p w14:paraId="1134297B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多普勒流量计/雷达流量计</w:t>
            </w:r>
          </w:p>
        </w:tc>
        <w:tc>
          <w:tcPr>
            <w:tcW w:w="1801" w:type="pct"/>
            <w:vAlign w:val="center"/>
          </w:tcPr>
          <w:p w14:paraId="0312447D">
            <w:pPr>
              <w:spacing w:line="240" w:lineRule="auto"/>
              <w:ind w:firstLine="0" w:firstLineChars="0"/>
              <w:jc w:val="center"/>
              <w:rPr>
                <w:rFonts w:hint="default" w:eastAsia="宋体" w:cstheme="minorBidi"/>
                <w:sz w:val="21"/>
                <w:szCs w:val="21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lang w:val="en-US" w:eastAsia="zh-CN"/>
              </w:rPr>
              <w:t>超声波/雷达</w:t>
            </w:r>
          </w:p>
        </w:tc>
      </w:tr>
      <w:tr w14:paraId="1489F2B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pct"/>
            <w:vAlign w:val="center"/>
          </w:tcPr>
          <w:p w14:paraId="5674F05F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液位</w:t>
            </w:r>
          </w:p>
        </w:tc>
        <w:tc>
          <w:tcPr>
            <w:tcW w:w="1923" w:type="pct"/>
            <w:vAlign w:val="center"/>
          </w:tcPr>
          <w:p w14:paraId="376A9ED3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雷达液位计</w:t>
            </w:r>
          </w:p>
        </w:tc>
        <w:tc>
          <w:tcPr>
            <w:tcW w:w="1801" w:type="pct"/>
            <w:vAlign w:val="center"/>
          </w:tcPr>
          <w:p w14:paraId="1E9EF1CA">
            <w:pPr>
              <w:spacing w:line="240" w:lineRule="auto"/>
              <w:ind w:firstLine="0" w:firstLineChars="0"/>
              <w:jc w:val="center"/>
              <w:rPr>
                <w:rFonts w:hint="eastAsia" w:eastAsia="宋体" w:cstheme="minorBidi"/>
                <w:sz w:val="21"/>
                <w:szCs w:val="21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lang w:val="en-US" w:eastAsia="zh-CN"/>
              </w:rPr>
              <w:t>雷达</w:t>
            </w:r>
          </w:p>
        </w:tc>
      </w:tr>
    </w:tbl>
    <w:p w14:paraId="006889D1">
      <w:pPr>
        <w:numPr>
          <w:ilvl w:val="0"/>
          <w:numId w:val="2"/>
        </w:numPr>
        <w:ind w:firstLine="480"/>
        <w:rPr>
          <w:rFonts w:hint="eastAsia"/>
        </w:rPr>
      </w:pPr>
      <w:r>
        <w:rPr>
          <w:rFonts w:hint="eastAsia"/>
        </w:rPr>
        <w:t>设备类型选择</w:t>
      </w:r>
    </w:p>
    <w:p w14:paraId="3D78B17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集成类微站：</w:t>
      </w:r>
    </w:p>
    <w:p w14:paraId="25BE7F0C">
      <w:pPr>
        <w:widowControl w:val="0"/>
        <w:numPr>
          <w:ilvl w:val="0"/>
          <w:numId w:val="0"/>
        </w:numPr>
        <w:spacing w:line="360" w:lineRule="auto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9485" cy="1973580"/>
            <wp:effectExtent l="0" t="0" r="0" b="7620"/>
            <wp:docPr id="11" name="图片 11" descr="微信图片_2024110614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106140633"/>
                    <pic:cNvPicPr>
                      <a:picLocks noChangeAspect="1"/>
                    </pic:cNvPicPr>
                  </pic:nvPicPr>
                  <pic:blipFill>
                    <a:blip r:embed="rId17"/>
                    <a:srcRect l="45779" t="10680" r="21647"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t xml:space="preserve">        </w:t>
      </w:r>
      <w:r>
        <w:drawing>
          <wp:inline distT="0" distB="0" distL="114300" distR="114300">
            <wp:extent cx="1094740" cy="19221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19318" r="58914" b="17023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278255" cy="1922145"/>
            <wp:effectExtent l="0" t="0" r="17145" b="190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9"/>
                    <a:srcRect l="39053" r="35530" b="17023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28B0">
      <w:pPr>
        <w:widowControl w:val="0"/>
        <w:numPr>
          <w:ilvl w:val="0"/>
          <w:numId w:val="0"/>
        </w:numPr>
        <w:spacing w:line="360" w:lineRule="auto"/>
        <w:jc w:val="center"/>
      </w:pPr>
    </w:p>
    <w:p w14:paraId="1CD7C284"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岸边水质监测微站</w:t>
      </w:r>
    </w:p>
    <w:p w14:paraId="5FB21ECA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169035" cy="1816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rcRect l="60114" t="9238" r="20429" b="25137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1294765" cy="18161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0"/>
                    <a:srcRect l="78451" t="9238" b="25137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DE82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水质监测浮标站</w:t>
      </w:r>
    </w:p>
    <w:p w14:paraId="46C1C589">
      <w:pPr>
        <w:widowControl w:val="0"/>
        <w:numPr>
          <w:ilvl w:val="0"/>
          <w:numId w:val="0"/>
        </w:numPr>
        <w:spacing w:line="360" w:lineRule="auto"/>
        <w:jc w:val="left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传感器类：</w:t>
      </w:r>
    </w:p>
    <w:p w14:paraId="4DA7CBB0"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73040" cy="1803400"/>
            <wp:effectExtent l="0" t="0" r="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b="171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7AC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流量水位监测：</w:t>
      </w:r>
    </w:p>
    <w:p w14:paraId="0EB70826">
      <w:pPr>
        <w:widowControl w:val="0"/>
        <w:numPr>
          <w:ilvl w:val="0"/>
          <w:numId w:val="0"/>
        </w:numPr>
        <w:spacing w:line="360" w:lineRule="auto"/>
        <w:jc w:val="center"/>
      </w:pPr>
    </w:p>
    <w:p w14:paraId="180464A7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594225" cy="1226820"/>
            <wp:effectExtent l="0" t="0" r="0" b="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rcRect b="27857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059B">
      <w:pPr>
        <w:widowControl w:val="0"/>
        <w:numPr>
          <w:ilvl w:val="0"/>
          <w:numId w:val="0"/>
        </w:numPr>
        <w:spacing w:line="360" w:lineRule="auto"/>
        <w:jc w:val="left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便携式：</w:t>
      </w:r>
    </w:p>
    <w:p w14:paraId="7F49A86C"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3050540" cy="1150620"/>
            <wp:effectExtent l="0" t="0" r="0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rcRect r="19409" b="18342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77B6">
      <w:pPr>
        <w:rPr>
          <w:rFonts w:hint="eastAsia"/>
          <w:b/>
          <w:bCs/>
          <w:lang w:val="en-US" w:eastAsia="zh-CN"/>
        </w:rPr>
      </w:pPr>
    </w:p>
    <w:p w14:paraId="2544D5D4">
      <w:pPr>
        <w:pStyle w:val="2"/>
        <w:rPr>
          <w:rFonts w:hint="eastAsia"/>
        </w:rPr>
      </w:pPr>
      <w:bookmarkStart w:id="13" w:name="_Toc24440"/>
      <w:bookmarkStart w:id="14" w:name="_Toc8576"/>
      <w:r>
        <w:rPr>
          <w:rFonts w:hint="eastAsia"/>
        </w:rPr>
        <w:t>产品介绍</w:t>
      </w:r>
      <w:bookmarkEnd w:id="13"/>
      <w:bookmarkEnd w:id="14"/>
    </w:p>
    <w:p w14:paraId="5CCBFC1B">
      <w:pPr>
        <w:pStyle w:val="3"/>
        <w:rPr>
          <w:rFonts w:hint="eastAsia"/>
        </w:rPr>
      </w:pPr>
      <w:bookmarkStart w:id="15" w:name="_Toc18528"/>
      <w:r>
        <w:rPr>
          <w:rFonts w:hint="eastAsia"/>
        </w:rPr>
        <w:t>技术参数</w:t>
      </w:r>
      <w:bookmarkEnd w:id="15"/>
    </w:p>
    <w:p w14:paraId="01302EA6">
      <w:pPr>
        <w:rPr>
          <w:rFonts w:hint="eastAsia"/>
        </w:rPr>
      </w:pPr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73F711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614C5F2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49EBB5B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28AC459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图片示例</w:t>
            </w:r>
          </w:p>
        </w:tc>
      </w:tr>
      <w:tr w14:paraId="7BDEFB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67913B7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在线色度传感器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B55C43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：双波长可见光吸收法</w:t>
            </w:r>
          </w:p>
          <w:p w14:paraId="71F7287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：0～500Hazen</w:t>
            </w:r>
          </w:p>
          <w:p w14:paraId="7493D1A3">
            <w:pPr>
              <w:spacing w:line="240" w:lineRule="auto"/>
              <w:ind w:firstLine="0" w:firstLine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：读数的±5%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443E264">
            <w:pPr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lang w:eastAsia="zh-CN"/>
              </w:rPr>
              <w:drawing>
                <wp:inline distT="0" distB="0" distL="114300" distR="114300">
                  <wp:extent cx="1477010" cy="241300"/>
                  <wp:effectExtent l="0" t="313690" r="0" b="389890"/>
                  <wp:docPr id="59" name="图片 5" descr="E:/新建文件夹 (9)/mmexport1716363568276.pngmmexport1716363568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" descr="E:/新建文件夹 (9)/mmexport1716363568276.pngmmexport1716363568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361" t="40771" r="5933" b="39677"/>
                          <a:stretch>
                            <a:fillRect/>
                          </a:stretch>
                        </pic:blipFill>
                        <pic:spPr>
                          <a:xfrm rot="19380000">
                            <a:off x="0" y="0"/>
                            <a:ext cx="147701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F024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927" w:type="pct"/>
            <w:shd w:val="clear" w:color="auto" w:fill="auto"/>
            <w:vAlign w:val="center"/>
          </w:tcPr>
          <w:p w14:paraId="576FBCE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在线浊度传感器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30A118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原理：光散射</w:t>
            </w:r>
          </w:p>
          <w:p w14:paraId="37AD997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</w:t>
            </w:r>
            <w:r>
              <w:rPr>
                <w:rFonts w:hint="eastAsia"/>
                <w:sz w:val="21"/>
                <w:szCs w:val="21"/>
              </w:rPr>
              <w:t>0~1000.0 NTU</w:t>
            </w:r>
          </w:p>
          <w:p w14:paraId="50B43AD4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精度：</w:t>
            </w:r>
            <w:r>
              <w:rPr>
                <w:rFonts w:hint="eastAsia"/>
                <w:sz w:val="21"/>
                <w:szCs w:val="21"/>
              </w:rPr>
              <w:t>±5%或±3 NTU以大者为准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49B08D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397510" cy="1456690"/>
                  <wp:effectExtent l="1905" t="337820" r="4445" b="346710"/>
                  <wp:docPr id="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3600000">
                            <a:off x="0" y="0"/>
                            <a:ext cx="39751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233A7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4" w:hRule="atLeast"/>
        </w:trPr>
        <w:tc>
          <w:tcPr>
            <w:tcW w:w="927" w:type="pct"/>
            <w:shd w:val="clear" w:color="auto" w:fill="auto"/>
            <w:vAlign w:val="center"/>
          </w:tcPr>
          <w:p w14:paraId="24153CA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71CBE4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原理：玻璃电极法</w:t>
            </w:r>
          </w:p>
          <w:p w14:paraId="6CF04C7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量程：0-14 pH</w:t>
            </w:r>
          </w:p>
          <w:p w14:paraId="7B27B638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精度：±0.1 pH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D22581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drawing>
                <wp:inline distT="0" distB="0" distL="114300" distR="114300">
                  <wp:extent cx="326390" cy="1350645"/>
                  <wp:effectExtent l="635" t="288925" r="5080" b="299085"/>
                  <wp:docPr id="6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rot="3780000">
                            <a:off x="0" y="0"/>
                            <a:ext cx="328911" cy="135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F10E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6" w:hRule="atLeast"/>
        </w:trPr>
        <w:tc>
          <w:tcPr>
            <w:tcW w:w="927" w:type="pct"/>
            <w:shd w:val="clear" w:color="auto" w:fill="auto"/>
            <w:vAlign w:val="center"/>
          </w:tcPr>
          <w:p w14:paraId="47BA612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在线硬度传感器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B4D70A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：离子选择法</w:t>
            </w:r>
          </w:p>
          <w:p w14:paraId="77A03C2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：0～1000.0mg/L</w:t>
            </w:r>
          </w:p>
          <w:p w14:paraId="590B595A">
            <w:pPr>
              <w:spacing w:line="240" w:lineRule="auto"/>
              <w:ind w:firstLine="0" w:firstLineChars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：读数的±10%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5735CD3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393825" cy="263525"/>
                  <wp:effectExtent l="0" t="235585" r="0" b="262890"/>
                  <wp:docPr id="62" name="图片 62" descr="E:/产品图片/氯离子/11.pn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E:/产品图片/氯离子/11.png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997" t="40082" r="12686" b="37439"/>
                          <a:stretch>
                            <a:fillRect/>
                          </a:stretch>
                        </pic:blipFill>
                        <pic:spPr>
                          <a:xfrm rot="19920000">
                            <a:off x="0" y="0"/>
                            <a:ext cx="13938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1AE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927" w:type="pct"/>
            <w:shd w:val="clear" w:color="auto" w:fill="auto"/>
            <w:vAlign w:val="center"/>
          </w:tcPr>
          <w:p w14:paraId="4A5BC0C1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在线硬度分析仪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0C8970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：比色滴定</w:t>
            </w:r>
          </w:p>
          <w:p w14:paraId="5372262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：50～500ppm</w:t>
            </w:r>
          </w:p>
          <w:p w14:paraId="50CC889C">
            <w:pPr>
              <w:spacing w:line="240" w:lineRule="auto"/>
              <w:ind w:firstLine="0" w:firstLineChars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：上限值的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±</w:t>
            </w:r>
            <w:r>
              <w:rPr>
                <w:rFonts w:hint="eastAsia"/>
                <w:sz w:val="21"/>
                <w:szCs w:val="21"/>
              </w:rPr>
              <w:t>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7796E3F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/>
                <w:lang w:eastAsia="zh-CN"/>
              </w:rPr>
            </w:pPr>
            <w:r>
              <w:rPr>
                <w:rFonts w:ascii="HarmonyOS Sans" w:hAnsi="HarmonyOS Sans"/>
                <w:lang w:val="en-GB"/>
              </w:rPr>
              <w:drawing>
                <wp:inline distT="0" distB="0" distL="0" distR="0">
                  <wp:extent cx="878840" cy="1070610"/>
                  <wp:effectExtent l="0" t="0" r="65405" b="41275"/>
                  <wp:docPr id="63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4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0706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E127B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927" w:type="pct"/>
            <w:shd w:val="clear" w:color="auto" w:fill="auto"/>
            <w:vAlign w:val="center"/>
          </w:tcPr>
          <w:p w14:paraId="0F6DFC9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5027A7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：接触式电极法</w:t>
            </w:r>
          </w:p>
          <w:p w14:paraId="12C5BE0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：0～5000 μS/cm</w:t>
            </w:r>
          </w:p>
          <w:p w14:paraId="3ABB313E">
            <w:pPr>
              <w:spacing w:line="24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：读数的±1%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67A72AC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drawing>
                <wp:inline distT="0" distB="0" distL="114300" distR="114300">
                  <wp:extent cx="302260" cy="1303020"/>
                  <wp:effectExtent l="0" t="297180" r="635" b="299720"/>
                  <wp:docPr id="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rot="3660000">
                            <a:off x="0" y="0"/>
                            <a:ext cx="306471" cy="131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9301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0" w:hRule="atLeast"/>
        </w:trPr>
        <w:tc>
          <w:tcPr>
            <w:tcW w:w="927" w:type="pct"/>
            <w:shd w:val="clear" w:color="auto" w:fill="auto"/>
            <w:vAlign w:val="center"/>
          </w:tcPr>
          <w:p w14:paraId="62A931C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在线氨氮传感器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2E0B03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：离子选择电极法</w:t>
            </w:r>
          </w:p>
          <w:p w14:paraId="7F6175B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：0～100.00 mg/L</w:t>
            </w:r>
          </w:p>
          <w:p w14:paraId="47D7961E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：读数的±10%或±1 mg/L 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C8816A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2430" cy="1581785"/>
                  <wp:effectExtent l="0" t="152400" r="0" b="262890"/>
                  <wp:docPr id="66" name="图片 66" descr="E:/新建文件夹 (9)/mmexport1716363568522.pngmmexport171636356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E:/新建文件夹 (9)/mmexport1716363568522.pngmmexport17163635685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3411" r="33411"/>
                          <a:stretch>
                            <a:fillRect/>
                          </a:stretch>
                        </pic:blipFill>
                        <pic:spPr>
                          <a:xfrm rot="3540000">
                            <a:off x="0" y="0"/>
                            <a:ext cx="39243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018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8" w:hRule="atLeast"/>
        </w:trPr>
        <w:tc>
          <w:tcPr>
            <w:tcW w:w="927" w:type="pct"/>
            <w:shd w:val="clear" w:color="auto" w:fill="auto"/>
            <w:vAlign w:val="center"/>
          </w:tcPr>
          <w:p w14:paraId="6C6041C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在线氨氮分析仪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C8C2CF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：水杨酸分光光度法</w:t>
            </w:r>
          </w:p>
          <w:p w14:paraId="32E4A1B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：0～150.00mg/L</w:t>
            </w:r>
          </w:p>
          <w:p w14:paraId="6FA88EBC">
            <w:pPr>
              <w:spacing w:line="240" w:lineRule="auto"/>
              <w:ind w:firstLine="0" w:firstLineChars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 浓度＜2mg/L，±0.2mg/L；浓度≥2mg/L，≤10%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5A8148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6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BF5A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0" w:hRule="atLeast"/>
        </w:trPr>
        <w:tc>
          <w:tcPr>
            <w:tcW w:w="927" w:type="pct"/>
            <w:shd w:val="clear" w:color="auto" w:fill="auto"/>
            <w:vAlign w:val="center"/>
          </w:tcPr>
          <w:p w14:paraId="1A59AAE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在线光学硝氮传感器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0623755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</w:t>
            </w:r>
            <w:r>
              <w:rPr>
                <w:rFonts w:hint="eastAsia"/>
                <w:sz w:val="21"/>
                <w:szCs w:val="21"/>
              </w:rPr>
              <w:t>双波长紫外吸收法</w:t>
            </w:r>
          </w:p>
          <w:p w14:paraId="02E52F7B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</w:t>
            </w:r>
            <w:r>
              <w:rPr>
                <w:rFonts w:hint="eastAsia"/>
                <w:sz w:val="21"/>
                <w:szCs w:val="21"/>
              </w:rPr>
              <w:t>0～20.0 mg/L</w:t>
            </w:r>
          </w:p>
          <w:p w14:paraId="233A9A24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：读数的±5%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BD51C92">
            <w:pPr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drawing>
                <wp:inline distT="0" distB="0" distL="114300" distR="114300">
                  <wp:extent cx="192405" cy="1195705"/>
                  <wp:effectExtent l="0" t="240030" r="0" b="299085"/>
                  <wp:docPr id="68" name="图片 68" descr="lQLPDhsUQbx-RArNCMLNAWuwbhGOLd90K5cB8dyl7UBnAA_363_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lQLPDhsUQbx-RArNCMLNAWuwbhGOLd90K5cB8dyl7UBnAA_363_224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3600000" flipH="1">
                            <a:off x="0" y="0"/>
                            <a:ext cx="19240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F61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927" w:type="pct"/>
            <w:shd w:val="clear" w:color="auto" w:fill="auto"/>
            <w:vAlign w:val="center"/>
          </w:tcPr>
          <w:p w14:paraId="1D83F98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大肠杆菌在线分析仪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88EFDA5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原理：酶底物法</w:t>
            </w:r>
          </w:p>
          <w:p w14:paraId="19D7B78E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量程：0-100MPN/100mL</w:t>
            </w:r>
          </w:p>
          <w:p w14:paraId="7034402C">
            <w:pPr>
              <w:spacing w:line="240" w:lineRule="auto"/>
              <w:ind w:firstLine="0" w:firstLine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精度：±10%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1278C9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6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7E8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4" w:hRule="atLeast"/>
        </w:trPr>
        <w:tc>
          <w:tcPr>
            <w:tcW w:w="927" w:type="pct"/>
            <w:vAlign w:val="center"/>
          </w:tcPr>
          <w:p w14:paraId="6EB11DEF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在线溶解氧传感器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99211FD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原理：荧光法</w:t>
            </w:r>
          </w:p>
          <w:p w14:paraId="7E9EDBDA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量程：0～20.00 mg/L</w:t>
            </w:r>
          </w:p>
          <w:p w14:paraId="6BD25515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精度：±2%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7ECA8F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382905" cy="1276350"/>
                  <wp:effectExtent l="10795" t="294005" r="23495" b="298450"/>
                  <wp:docPr id="8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8217" b="3108"/>
                          <a:stretch>
                            <a:fillRect/>
                          </a:stretch>
                        </pic:blipFill>
                        <pic:spPr>
                          <a:xfrm rot="3600000">
                            <a:off x="0" y="0"/>
                            <a:ext cx="38290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AA3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927" w:type="pct"/>
            <w:shd w:val="clear" w:color="auto" w:fill="auto"/>
            <w:vAlign w:val="center"/>
          </w:tcPr>
          <w:p w14:paraId="5B8FF44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在线高锰酸盐指数分析仪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522692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：高锰酸钾氧化法</w:t>
            </w:r>
          </w:p>
          <w:p w14:paraId="694D441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：0.0～20.00mg/L</w:t>
            </w:r>
          </w:p>
          <w:p w14:paraId="14FAD9ED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：±10%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4C74D6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7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0FFA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927" w:type="pct"/>
            <w:shd w:val="clear" w:color="auto" w:fill="auto"/>
            <w:vAlign w:val="center"/>
          </w:tcPr>
          <w:p w14:paraId="0FAC82A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在线总磷分析仪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41574E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：钼酸铵分光光度法</w:t>
            </w:r>
          </w:p>
          <w:p w14:paraId="452771A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：.0～10.0/20.0mg/L</w:t>
            </w:r>
          </w:p>
          <w:p w14:paraId="3CB3EC69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±</w:t>
            </w:r>
            <w:r>
              <w:rPr>
                <w:rFonts w:hint="eastAsia"/>
                <w:sz w:val="21"/>
                <w:szCs w:val="21"/>
              </w:rPr>
              <w:t>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CB1C0B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7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1071F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927" w:type="pct"/>
            <w:shd w:val="clear" w:color="auto" w:fill="auto"/>
            <w:vAlign w:val="center"/>
          </w:tcPr>
          <w:p w14:paraId="68569722">
            <w:pPr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在线总氮分析仪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75FAB8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：过硫酸钾消解-紫外分光光度法</w:t>
            </w:r>
          </w:p>
          <w:p w14:paraId="5E6CCF5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：0.0～50.0/200.0mg/L</w:t>
            </w:r>
          </w:p>
          <w:p w14:paraId="5AD9985F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±</w:t>
            </w:r>
            <w:r>
              <w:rPr>
                <w:rFonts w:hint="eastAsia"/>
                <w:sz w:val="21"/>
                <w:szCs w:val="21"/>
              </w:rPr>
              <w:t>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56B0E4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bookmarkStart w:id="26" w:name="_GoBack"/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7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26"/>
        </w:tc>
      </w:tr>
      <w:tr w14:paraId="54E1F8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1FAF1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岸边水质监测微站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D68C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PH、溶解氧、电导率、浊度、温度、COD、氨氮、液位、流量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787840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610360" cy="988695"/>
                  <wp:effectExtent l="0" t="0" r="8890" b="1905"/>
                  <wp:docPr id="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BDB1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</w:trPr>
        <w:tc>
          <w:tcPr>
            <w:tcW w:w="927" w:type="pct"/>
            <w:shd w:val="clear" w:color="auto" w:fill="auto"/>
            <w:vAlign w:val="center"/>
          </w:tcPr>
          <w:p w14:paraId="1825A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水质监测浮标站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2CD3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PH、溶解氧、电导率、浊度、温度、COD、氨氮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C94D79D">
            <w:pPr>
              <w:spacing w:line="240" w:lineRule="auto"/>
              <w:ind w:firstLine="0" w:firstLineChars="0"/>
              <w:jc w:val="center"/>
            </w:pPr>
            <w:r>
              <w:drawing>
                <wp:inline distT="0" distB="0" distL="114300" distR="114300">
                  <wp:extent cx="1610995" cy="1045210"/>
                  <wp:effectExtent l="0" t="0" r="4445" b="6350"/>
                  <wp:docPr id="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A6B9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27" w:type="pct"/>
            <w:vAlign w:val="center"/>
          </w:tcPr>
          <w:p w14:paraId="61B8D99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在线全光谱多参数传感器</w:t>
            </w:r>
          </w:p>
        </w:tc>
        <w:tc>
          <w:tcPr>
            <w:tcW w:w="2456" w:type="pct"/>
            <w:vAlign w:val="center"/>
          </w:tcPr>
          <w:p w14:paraId="763C641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：全光谱吸收法</w:t>
            </w:r>
          </w:p>
          <w:p w14:paraId="65C7D5CC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</w:t>
            </w:r>
          </w:p>
          <w:p w14:paraId="27E8C7B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2CF7EBB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：±5%F.S.</w:t>
            </w:r>
          </w:p>
        </w:tc>
        <w:tc>
          <w:tcPr>
            <w:tcW w:w="1616" w:type="pct"/>
            <w:vAlign w:val="center"/>
          </w:tcPr>
          <w:p w14:paraId="0F043343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426085" cy="1622425"/>
                  <wp:effectExtent l="0" t="0" r="0" b="0"/>
                  <wp:docPr id="53" name="图片 7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7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FE04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927" w:type="pct"/>
            <w:vAlign w:val="center"/>
          </w:tcPr>
          <w:p w14:paraId="5F9F8717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便携式多参数分析仪</w:t>
            </w:r>
          </w:p>
        </w:tc>
        <w:tc>
          <w:tcPr>
            <w:tcW w:w="2456" w:type="pct"/>
            <w:vAlign w:val="center"/>
          </w:tcPr>
          <w:p w14:paraId="060E712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73167E16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工作波长范围：420nm 520nm，580nm，610nm；波长半宽度：5±2（nm）；</w:t>
            </w:r>
          </w:p>
          <w:p w14:paraId="40F00B4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仪器的检测范围：吸光度值0.000-3.000；</w:t>
            </w:r>
          </w:p>
          <w:p w14:paraId="53EE65C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光源灯：冷光源；</w:t>
            </w:r>
          </w:p>
          <w:p w14:paraId="7BC4920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分辨率：0.001；</w:t>
            </w:r>
          </w:p>
        </w:tc>
        <w:tc>
          <w:tcPr>
            <w:tcW w:w="1616" w:type="pct"/>
            <w:vAlign w:val="center"/>
          </w:tcPr>
          <w:p w14:paraId="593F0DB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5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375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</w:trPr>
        <w:tc>
          <w:tcPr>
            <w:tcW w:w="927" w:type="pct"/>
            <w:shd w:val="clear" w:color="auto" w:fill="auto"/>
            <w:vAlign w:val="center"/>
          </w:tcPr>
          <w:p w14:paraId="0661E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多普勒流量计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C737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流速量程：0.02～6.5m/s</w:t>
            </w:r>
          </w:p>
          <w:p w14:paraId="3C798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流速精度：± 1.0%、 ±0.01m/s</w:t>
            </w:r>
          </w:p>
          <w:p w14:paraId="7B9A6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静压液位量程：0.01~10m</w:t>
            </w:r>
          </w:p>
          <w:p w14:paraId="4B855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静压液位分辨率</w:t>
            </w: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ab/>
            </w: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0.001m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360DB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172845" cy="1019175"/>
                  <wp:effectExtent l="0" t="0" r="635" b="1905"/>
                  <wp:docPr id="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C4B5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927" w:type="pct"/>
            <w:shd w:val="clear" w:color="auto" w:fill="auto"/>
            <w:vAlign w:val="center"/>
          </w:tcPr>
          <w:p w14:paraId="36741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雷达流量计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88C8D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测速范围</w:t>
            </w: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0.1～15m/s</w:t>
            </w:r>
          </w:p>
          <w:p w14:paraId="6866B9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测距量程</w:t>
            </w: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0.1～50m</w:t>
            </w:r>
          </w:p>
          <w:p w14:paraId="4FF2D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测距天线波束角</w:t>
            </w: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水平角±8 ° ; 俯仰角±10 °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1F9B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047115" cy="732155"/>
                  <wp:effectExtent l="0" t="0" r="4445" b="14605"/>
                  <wp:docPr id="77" name="图片 14" descr="微信图片_2024083009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4" descr="微信图片_2024083009144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B63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927" w:type="pct"/>
            <w:shd w:val="clear" w:color="auto" w:fill="auto"/>
            <w:vAlign w:val="center"/>
          </w:tcPr>
          <w:p w14:paraId="09752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雷达水位计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25507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测量范围：0.1m～65m</w:t>
            </w:r>
          </w:p>
          <w:p w14:paraId="6C023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测量精度：±1mm</w:t>
            </w:r>
          </w:p>
          <w:p w14:paraId="3932D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/>
                <w:color w:val="auto"/>
                <w:sz w:val="21"/>
                <w:szCs w:val="21"/>
                <w:vertAlign w:val="baseline"/>
                <w:lang w:val="en-US" w:eastAsia="zh-CN"/>
              </w:rPr>
              <w:t>波束角度：6°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2DB3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lang w:eastAsia="zh-CN"/>
              </w:rPr>
              <w:drawing>
                <wp:inline distT="0" distB="0" distL="114300" distR="114300">
                  <wp:extent cx="586105" cy="593725"/>
                  <wp:effectExtent l="0" t="0" r="8255" b="635"/>
                  <wp:docPr id="78" name="图片 15" descr="微信图片_2024081710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5" descr="微信图片_2024081710371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278E5">
      <w:pPr>
        <w:pStyle w:val="3"/>
        <w:rPr>
          <w:rFonts w:hint="eastAsia"/>
        </w:rPr>
      </w:pPr>
      <w:bookmarkStart w:id="16" w:name="_Toc18104"/>
      <w:r>
        <w:rPr>
          <w:rFonts w:hint="eastAsia"/>
        </w:rPr>
        <w:t>场景适配性</w:t>
      </w:r>
      <w:bookmarkEnd w:id="16"/>
    </w:p>
    <w:p w14:paraId="211478CF">
      <w:pPr>
        <w:bidi w:val="0"/>
        <w:rPr>
          <w:rFonts w:hint="default" w:eastAsia="宋体"/>
          <w:b/>
          <w:bCs/>
          <w:lang w:val="en-US" w:eastAsia="zh-CN"/>
        </w:rPr>
      </w:pPr>
      <w:r>
        <w:rPr>
          <w:b/>
          <w:bCs/>
        </w:rPr>
        <w:t>河流型水源地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  <w:b/>
          <w:bCs/>
          <w:lang w:val="en-US" w:eastAsia="zh-CN"/>
        </w:rPr>
        <w:t>可选用岸边水质监测微站</w:t>
      </w:r>
    </w:p>
    <w:p w14:paraId="172E31AE">
      <w:pPr>
        <w:ind w:firstLine="480"/>
      </w:pPr>
      <w:r>
        <w:t>在河流型水源地的取水口及上游关键位置布设监测站点，实时监测河水的水质变化，重点关注氨氮、高锰酸盐指数、总磷等污染物指标，及时发现和预警水体富营养化、工业污染、农业面源污染等问题，保障河流型水源地的水质安全。</w:t>
      </w:r>
    </w:p>
    <w:p w14:paraId="161DCA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4561840" cy="2699385"/>
            <wp:effectExtent l="0" t="0" r="1016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6DFA2">
      <w:pPr>
        <w:bidi w:val="0"/>
        <w:rPr>
          <w:rFonts w:hint="default" w:eastAsia="宋体"/>
          <w:b/>
          <w:bCs/>
          <w:lang w:val="en-US" w:eastAsia="zh-CN"/>
        </w:rPr>
      </w:pPr>
      <w:r>
        <w:rPr>
          <w:b/>
          <w:bCs/>
        </w:rPr>
        <w:t>湖泊型水源地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  <w:b/>
          <w:bCs/>
          <w:lang w:val="en-US" w:eastAsia="zh-CN"/>
        </w:rPr>
        <w:t>可选用岸边水质监测微站/水质监测浮标站</w:t>
      </w:r>
    </w:p>
    <w:p w14:paraId="32B94ED7">
      <w:pPr>
        <w:ind w:firstLine="480"/>
      </w:pPr>
      <w:r>
        <w:t>针对湖泊型水源地，围绕湖泊周边合理布局监测站点，监测湖水的 pH 值、溶解氧、水温、电导率、浊度、总氮、总磷等指标，同时关注生物毒性和大肠杆菌等微生物指标，防止湖泊水体富营养化和微生物污染，保护湖泊型水源地的生态环境和水质质量。</w:t>
      </w:r>
    </w:p>
    <w:p w14:paraId="28A3A9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20565" cy="2832100"/>
            <wp:effectExtent l="0" t="0" r="5715" b="2540"/>
            <wp:docPr id="10" name="图片 10" descr="1739955007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9955007502"/>
                    <pic:cNvPicPr>
                      <a:picLocks noChangeAspect="1"/>
                    </pic:cNvPicPr>
                  </pic:nvPicPr>
                  <pic:blipFill>
                    <a:blip r:embed="rId42"/>
                    <a:srcRect t="16493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7EF9">
      <w:pPr>
        <w:rPr>
          <w:rFonts w:hint="default" w:eastAsia="宋体"/>
          <w:lang w:val="en-US" w:eastAsia="zh-CN"/>
        </w:rPr>
      </w:pPr>
      <w:r>
        <w:rPr>
          <w:rFonts w:hint="eastAsia"/>
          <w:b/>
          <w:bCs/>
        </w:rPr>
        <w:t>监测参数：</w:t>
      </w:r>
      <w:r>
        <w:rPr>
          <w:rFonts w:hint="eastAsia"/>
          <w:lang w:val="en-US" w:eastAsia="zh-CN"/>
        </w:rPr>
        <w:t>P</w:t>
      </w:r>
      <w:r>
        <w:rPr>
          <w:rFonts w:hint="eastAsia"/>
        </w:rPr>
        <w:t>H值、浊度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溶解氧、电导率、高锰酸盐指数、总磷、总氮、氨氮、水位、流量</w:t>
      </w:r>
    </w:p>
    <w:p w14:paraId="7879BEB8">
      <w:pPr>
        <w:rPr>
          <w:rFonts w:hint="eastAsia"/>
          <w:b/>
          <w:bCs/>
        </w:rPr>
      </w:pPr>
      <w:r>
        <w:rPr>
          <w:rFonts w:hint="eastAsia"/>
          <w:b/>
          <w:bCs/>
        </w:rPr>
        <w:t>监测意义：</w:t>
      </w:r>
    </w:p>
    <w:p w14:paraId="2AC8CDCD">
      <w:pPr>
        <w:ind w:firstLine="480"/>
        <w:rPr>
          <w:rFonts w:hint="eastAsia"/>
        </w:rPr>
      </w:pPr>
      <w:r>
        <w:rPr>
          <w:rFonts w:hint="eastAsia"/>
        </w:rPr>
        <w:t>pH值：反映水体的酸碱平衡状态，直接影响水处理工艺（如絮凝、消毒效率）和水生生物代谢。异常pH值可能指示工业废水排放或地质污染。</w:t>
      </w:r>
    </w:p>
    <w:p w14:paraId="6F7A7DBE">
      <w:pPr>
        <w:ind w:firstLine="480"/>
        <w:rPr>
          <w:rFonts w:hint="eastAsia"/>
        </w:rPr>
      </w:pPr>
      <w:r>
        <w:rPr>
          <w:rFonts w:hint="eastAsia"/>
        </w:rPr>
        <w:t>浊度：衡量水中悬浮颗粒物含量，高浊度可能携带病原体或影响消毒效果（如紫外线穿透率），同时影响感官水质。</w:t>
      </w:r>
    </w:p>
    <w:p w14:paraId="21CDAF0F">
      <w:pPr>
        <w:ind w:firstLine="480"/>
        <w:rPr>
          <w:rFonts w:hint="eastAsia"/>
        </w:rPr>
      </w:pPr>
      <w:r>
        <w:rPr>
          <w:rFonts w:hint="eastAsia"/>
        </w:rPr>
        <w:t>溶解氧（DO）：反映水体自净能力和生态健康。低溶解氧会导致鱼类死亡，并预示有机物污染（如耗氧物质排放），需实时预警以保障水源生态安全。</w:t>
      </w:r>
    </w:p>
    <w:p w14:paraId="09C82C72">
      <w:pPr>
        <w:ind w:firstLine="480"/>
        <w:rPr>
          <w:rFonts w:hint="eastAsia"/>
        </w:rPr>
      </w:pPr>
      <w:r>
        <w:rPr>
          <w:rFonts w:hint="eastAsia"/>
        </w:rPr>
        <w:t>电导率：表征水体离子总浓度，用于判断盐分污染（如工业废水、农业径流）或异常矿物质溶解。</w:t>
      </w:r>
    </w:p>
    <w:p w14:paraId="2265404B">
      <w:pPr>
        <w:ind w:firstLine="480"/>
        <w:rPr>
          <w:rFonts w:hint="eastAsia"/>
        </w:rPr>
      </w:pPr>
      <w:r>
        <w:rPr>
          <w:rFonts w:hint="eastAsia"/>
        </w:rPr>
        <w:t>高锰酸盐指数（CODMn）：衡量水体中有机物和还原性物质的污染程度，高值可能指示生活污水、农业面源污染或工业废水输入。</w:t>
      </w:r>
    </w:p>
    <w:p w14:paraId="46D4D6D9">
      <w:pPr>
        <w:ind w:firstLine="480"/>
        <w:rPr>
          <w:rFonts w:hint="eastAsia"/>
        </w:rPr>
      </w:pPr>
      <w:r>
        <w:rPr>
          <w:rFonts w:hint="eastAsia"/>
        </w:rPr>
        <w:t>总磷、总氮：总磷和总氮是富营养化的关键指标，监测可预防藻类爆发（如蓝藻水华）及水源地生态系统退化。</w:t>
      </w:r>
    </w:p>
    <w:p w14:paraId="106B2EEF">
      <w:pPr>
        <w:ind w:firstLine="480"/>
        <w:rPr>
          <w:rFonts w:hint="eastAsia"/>
        </w:rPr>
      </w:pPr>
      <w:r>
        <w:rPr>
          <w:rFonts w:hint="eastAsia"/>
        </w:rPr>
        <w:t>氨氮：反映近期有机物分解或化肥、污水排放情况，高浓度氨氮对水生生物有毒，且可能转化为亚硝酸盐威胁饮用水安全。</w:t>
      </w:r>
    </w:p>
    <w:p w14:paraId="0FDBA00D">
      <w:pPr>
        <w:ind w:firstLine="480"/>
      </w:pPr>
      <w:r>
        <w:rPr>
          <w:rFonts w:hint="eastAsia"/>
        </w:rPr>
        <w:t>流量、水位：结合污染物浓度计算污染负荷总量，支撑水资源调度和应急响应（如稀释污染物）。保障取水设施安全运行，预警干旱或洪涝对供水稳定性的影响。</w:t>
      </w:r>
    </w:p>
    <w:p w14:paraId="04AB111A">
      <w:pPr>
        <w:pStyle w:val="2"/>
        <w:rPr>
          <w:rFonts w:hint="eastAsia"/>
        </w:rPr>
      </w:pPr>
      <w:bookmarkStart w:id="17" w:name="_Toc32568"/>
      <w:bookmarkStart w:id="18" w:name="_Toc27010"/>
      <w:r>
        <w:rPr>
          <w:rFonts w:hint="eastAsia"/>
        </w:rPr>
        <w:t>设备寿命及维护</w:t>
      </w:r>
      <w:bookmarkEnd w:id="17"/>
      <w:bookmarkEnd w:id="18"/>
    </w:p>
    <w:p w14:paraId="31BBC612">
      <w:pPr>
        <w:pStyle w:val="3"/>
        <w:rPr>
          <w:rFonts w:hint="eastAsia"/>
        </w:rPr>
      </w:pPr>
      <w:bookmarkStart w:id="19" w:name="_Toc21970"/>
      <w:r>
        <w:rPr>
          <w:rFonts w:hint="eastAsia"/>
        </w:rPr>
        <w:t>设备寿命周期与维护周期表</w:t>
      </w:r>
      <w:bookmarkEnd w:id="19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2804871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BAA8027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270302F4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3995199E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使用寿命</w:t>
            </w:r>
          </w:p>
        </w:tc>
      </w:tr>
      <w:tr w14:paraId="37E7299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vAlign w:val="center"/>
          </w:tcPr>
          <w:p w14:paraId="50C00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在线色度传感器</w:t>
            </w:r>
          </w:p>
        </w:tc>
        <w:tc>
          <w:tcPr>
            <w:tcW w:w="1666" w:type="pct"/>
            <w:vAlign w:val="center"/>
          </w:tcPr>
          <w:p w14:paraId="71BE9C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388A9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67E60A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A337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在线浊度传感器</w:t>
            </w:r>
          </w:p>
        </w:tc>
        <w:tc>
          <w:tcPr>
            <w:tcW w:w="1666" w:type="pct"/>
            <w:vAlign w:val="center"/>
          </w:tcPr>
          <w:p w14:paraId="629A0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495BF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695445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F2F1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DA6B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0716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1年</w:t>
            </w:r>
          </w:p>
        </w:tc>
      </w:tr>
      <w:tr w14:paraId="1041A3D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74F8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在线硬度传感器</w:t>
            </w:r>
          </w:p>
        </w:tc>
        <w:tc>
          <w:tcPr>
            <w:tcW w:w="1666" w:type="pct"/>
            <w:vAlign w:val="center"/>
          </w:tcPr>
          <w:p w14:paraId="3144F3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3D3E0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半年</w:t>
            </w:r>
          </w:p>
        </w:tc>
      </w:tr>
      <w:tr w14:paraId="2827BC5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4355BA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在线硬度分析仪</w:t>
            </w:r>
          </w:p>
        </w:tc>
        <w:tc>
          <w:tcPr>
            <w:tcW w:w="1666" w:type="pct"/>
            <w:vAlign w:val="center"/>
          </w:tcPr>
          <w:p w14:paraId="4AE9EB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vAlign w:val="center"/>
          </w:tcPr>
          <w:p w14:paraId="0AEC59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  <w:tr w14:paraId="71293E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7705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在线电导率传感器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CA2E5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054D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1CF435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56553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在线氨氮传感器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E31A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2BB7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半年</w:t>
            </w:r>
          </w:p>
        </w:tc>
      </w:tr>
      <w:tr w14:paraId="07B5097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A2D48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在线氨氮分析仪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0E2A4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4E507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  <w:tr w14:paraId="578E61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EE914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在线光学硝氮传感器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6BEE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349BA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5B5DF6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1BE4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大肠杆菌在线分析仪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9D4C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1299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  <w:tr w14:paraId="7291B6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9BD1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在线溶解氧传感器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59D0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615CB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5004A16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4C6768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在线高锰酸盐指数分析仪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C5B3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0B6A4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  <w:tr w14:paraId="2CC2486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621A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在线总磷分析仪</w:t>
            </w:r>
          </w:p>
        </w:tc>
        <w:tc>
          <w:tcPr>
            <w:tcW w:w="2839" w:type="dxa"/>
            <w:vAlign w:val="center"/>
          </w:tcPr>
          <w:p w14:paraId="181D1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2841" w:type="dxa"/>
            <w:vAlign w:val="center"/>
          </w:tcPr>
          <w:p w14:paraId="4272B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  <w:tr w14:paraId="179053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CE3E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在线总氮分析仪</w:t>
            </w:r>
          </w:p>
        </w:tc>
        <w:tc>
          <w:tcPr>
            <w:tcW w:w="2839" w:type="dxa"/>
            <w:vAlign w:val="center"/>
          </w:tcPr>
          <w:p w14:paraId="4F79C1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2841" w:type="dxa"/>
            <w:vAlign w:val="center"/>
          </w:tcPr>
          <w:p w14:paraId="49F80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  <w:tr w14:paraId="063EAD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DA1C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多普勒流量计</w:t>
            </w:r>
          </w:p>
        </w:tc>
        <w:tc>
          <w:tcPr>
            <w:tcW w:w="2839" w:type="dxa"/>
            <w:vAlign w:val="center"/>
          </w:tcPr>
          <w:p w14:paraId="5BC52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2841" w:type="dxa"/>
            <w:vAlign w:val="center"/>
          </w:tcPr>
          <w:p w14:paraId="1980D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  <w:tr w14:paraId="6B3D0A0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B57B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雷达流量计</w:t>
            </w:r>
          </w:p>
        </w:tc>
        <w:tc>
          <w:tcPr>
            <w:tcW w:w="2839" w:type="dxa"/>
            <w:vAlign w:val="center"/>
          </w:tcPr>
          <w:p w14:paraId="001EC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2841" w:type="dxa"/>
            <w:vAlign w:val="center"/>
          </w:tcPr>
          <w:p w14:paraId="231956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  <w:tr w14:paraId="077E94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8C0B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雷达液位计</w:t>
            </w:r>
          </w:p>
        </w:tc>
        <w:tc>
          <w:tcPr>
            <w:tcW w:w="2839" w:type="dxa"/>
            <w:vAlign w:val="center"/>
          </w:tcPr>
          <w:p w14:paraId="73310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2841" w:type="dxa"/>
            <w:vAlign w:val="center"/>
          </w:tcPr>
          <w:p w14:paraId="7882F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</w:tbl>
    <w:p w14:paraId="75274FFC">
      <w:pPr>
        <w:ind w:firstLine="480"/>
        <w:rPr>
          <w:rFonts w:hint="eastAsia"/>
        </w:rPr>
      </w:pPr>
    </w:p>
    <w:p w14:paraId="1BABF46B">
      <w:pPr>
        <w:pStyle w:val="3"/>
        <w:rPr>
          <w:rFonts w:hint="eastAsia"/>
        </w:rPr>
      </w:pPr>
      <w:bookmarkStart w:id="20" w:name="_Toc16803"/>
      <w:r>
        <w:rPr>
          <w:rFonts w:hint="eastAsia"/>
          <w:lang w:val="en-US" w:eastAsia="zh-CN"/>
        </w:rPr>
        <w:t>设备</w:t>
      </w:r>
      <w:r>
        <w:rPr>
          <w:rFonts w:hint="eastAsia"/>
        </w:rPr>
        <w:t>日常维护</w:t>
      </w:r>
      <w:bookmarkEnd w:id="20"/>
    </w:p>
    <w:p w14:paraId="07822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在线色度传感器</w:t>
      </w:r>
    </w:p>
    <w:p w14:paraId="2BD08F65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（1）外表面清洁用自来水清洗传感器外表面，有碎屑用湿润软布擦拭，顽固污垢可用加家用洗涤液的自来水清洗。</w:t>
      </w:r>
    </w:p>
    <w:p w14:paraId="10DB57CF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（2）检查线缆是否绷紧，防止内部电线断裂影响传感器工作。</w:t>
      </w:r>
    </w:p>
    <w:p w14:paraId="5BDC6513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（3）查看测量窗口是否脏污，清洁刷是否正常及有无损坏。</w:t>
      </w:r>
    </w:p>
    <w:p w14:paraId="04CFBF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在线浊度传感器</w:t>
      </w:r>
    </w:p>
    <w:p w14:paraId="6E542AF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（1）外表面清洁自来水冲洗表面，软布擦拭残留碎屑，顽固污垢可用稀释家用洗涤液清洗。  </w:t>
      </w:r>
    </w:p>
    <w:p w14:paraId="398D667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（2）线缆检查确保线缆松弛无绷紧，避免内部断裂导致故障。  </w:t>
      </w:r>
    </w:p>
    <w:p w14:paraId="087CDDC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（3）测量窗口维护检查测量窗口是否脏污，清洁刷是否正常工作。  </w:t>
      </w:r>
    </w:p>
    <w:p w14:paraId="322E4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在线PH传感器</w:t>
      </w:r>
    </w:p>
    <w:p w14:paraId="2516CE0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（1）测量前用蒸馏水洗净并擦干传感器，插入被测液1/3深度，防杂质污染。</w:t>
      </w:r>
    </w:p>
    <w:p w14:paraId="28A2072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（2）闲置保养，洗净后浸泡于3mol/L氯化钾溶液中（保护套或容器），维持电极性能。</w:t>
      </w:r>
    </w:p>
    <w:p w14:paraId="25B2F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在线硬度传感器</w:t>
      </w:r>
    </w:p>
    <w:p w14:paraId="5A23EDD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（1）测试前，电极在自来水中通电浸泡48小时，活化后在去离子水中洗净。</w:t>
      </w:r>
    </w:p>
    <w:p w14:paraId="131887FE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（2）电极若长期（两周以上）不使用，需干燥储存，感应元件套入保护帽。</w:t>
      </w:r>
    </w:p>
    <w:p w14:paraId="62D8B767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（3）检查接线端子的干燥情况，有沾污时用无水酒精擦拭并吹干。</w:t>
      </w:r>
    </w:p>
    <w:p w14:paraId="04A1FEE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（3）使用久的电极，若PVC膜半透明或有沉积物，用蒸馏水（或去离子水）冲洗。</w:t>
      </w:r>
    </w:p>
    <w:p w14:paraId="6E41A767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（4）电极使用久出现测量误差，须进行校正操作。</w:t>
      </w:r>
    </w:p>
    <w:p w14:paraId="15F76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在线硬度分析仪</w:t>
      </w:r>
    </w:p>
    <w:p w14:paraId="1E5F006B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（1）检查蠕动泵管是否老化，每3个月更换一次。  </w:t>
      </w:r>
    </w:p>
    <w:p w14:paraId="1D2B843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（2）用软布擦拭比色皿，避免划痕或污渍影响吸光度。  </w:t>
      </w:r>
    </w:p>
    <w:p w14:paraId="4A0DEF38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（3）更换EDTA滴定液和缓冲溶液，防止失效。  </w:t>
      </w:r>
    </w:p>
    <w:p w14:paraId="52FD994E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（4）用已知硬度标准液校准，误差＞5%时重新标定。</w:t>
      </w:r>
    </w:p>
    <w:p w14:paraId="18542B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在线电导率传感器</w:t>
      </w:r>
    </w:p>
    <w:p w14:paraId="123065F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（1）用软毛刷清除附着物（防划伤），蒸馏水洗净后校准。  </w:t>
      </w:r>
    </w:p>
    <w:p w14:paraId="12EF5C8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（2）根据工况调整校准频率，确保测量准确性。</w:t>
      </w:r>
    </w:p>
    <w:p w14:paraId="321BBF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在线氨氮传感器</w:t>
      </w:r>
    </w:p>
    <w:p w14:paraId="4C957267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（1）摘掉电极保护套，在清水中浸泡2小时活化，去离子水洗净后测试，初次用需在清水中泡30分钟以上、12小时以内。</w:t>
      </w:r>
    </w:p>
    <w:p w14:paraId="7223691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（2）长期（超两周）不用干燥储存，套上保护帽；短期不用放清水中浸泡；几天不用用含保护液外壳保存，下次用前清水泡30分钟以上。</w:t>
      </w:r>
    </w:p>
    <w:p w14:paraId="705A9D48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（3）检查接线端子干燥情况，沾污时用无水酒精擦拭吹干。</w:t>
      </w:r>
    </w:p>
    <w:p w14:paraId="5E3C8F2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（4）PVC膜半透明或有沉积物，用蒸馏水（或去离子水）冲洗。</w:t>
      </w:r>
    </w:p>
    <w:p w14:paraId="7CD3206B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（5）电极使用久出现测量误差，须进行校正。</w:t>
      </w:r>
    </w:p>
    <w:p w14:paraId="7C68B26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（6）校准时放校准液中轻晃、静置，待读数稳定（约5分钟）再校准。</w:t>
      </w:r>
    </w:p>
    <w:p w14:paraId="76206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在线氨氮分析仪</w:t>
      </w:r>
    </w:p>
    <w:p w14:paraId="3D920A1F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（1）检查水杨酸钠、次氯酸盐等试剂是否变色或沉淀。  </w:t>
      </w:r>
    </w:p>
    <w:p w14:paraId="3CB3C8C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（2）清洁比色皿及光源窗口，确保透光率。  </w:t>
      </w:r>
    </w:p>
    <w:p w14:paraId="759C3A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在线光学硝氮传感器</w:t>
      </w:r>
    </w:p>
    <w:p w14:paraId="460A004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（1）定期用自来水清洗传感器外表面，若有碎屑用湿润软布擦拭，顽固污垢可加家用洗涤液清洗；每18个月返厂检测保养自清洁刷；检查测量窗口和清洁刷是否脏污、损坏。</w:t>
      </w:r>
    </w:p>
    <w:p w14:paraId="416BE4CF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（2）查看线缆是否绷紧，防止内部电线断裂影响传感器正常工作。</w:t>
      </w:r>
    </w:p>
    <w:p w14:paraId="2D8FF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大肠杆菌在线分析仪</w:t>
      </w:r>
    </w:p>
    <w:p w14:paraId="78F33E2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1</w:t>
      </w:r>
      <w:r>
        <w:rPr>
          <w:rFonts w:hint="eastAsia"/>
          <w:b w:val="0"/>
          <w:bCs w:val="0"/>
          <w:lang w:eastAsia="zh-CN"/>
        </w:rPr>
        <w:t xml:space="preserve">）检查酶底物试剂余量及有效期，避免试剂结块或污染。  </w:t>
      </w:r>
    </w:p>
    <w:p w14:paraId="566820BC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2</w:t>
      </w:r>
      <w:r>
        <w:rPr>
          <w:rFonts w:hint="eastAsia"/>
          <w:b w:val="0"/>
          <w:bCs w:val="0"/>
          <w:lang w:eastAsia="zh-CN"/>
        </w:rPr>
        <w:t xml:space="preserve">）监测培养仓温度（通常37℃±1℃），确保恒温条件。  </w:t>
      </w:r>
    </w:p>
    <w:p w14:paraId="0F72F73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3</w:t>
      </w:r>
      <w:r>
        <w:rPr>
          <w:rFonts w:hint="eastAsia"/>
          <w:b w:val="0"/>
          <w:bCs w:val="0"/>
          <w:lang w:eastAsia="zh-CN"/>
        </w:rPr>
        <w:t xml:space="preserve">）用无菌水冲洗进样管路，防止生物膜堵塞。  </w:t>
      </w:r>
    </w:p>
    <w:p w14:paraId="2596D9E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4</w:t>
      </w:r>
      <w:r>
        <w:rPr>
          <w:rFonts w:hint="eastAsia"/>
          <w:b w:val="0"/>
          <w:bCs w:val="0"/>
          <w:lang w:eastAsia="zh-CN"/>
        </w:rPr>
        <w:t xml:space="preserve">）用阴性/阳性标准样验证检测结果准确性。  </w:t>
      </w:r>
    </w:p>
    <w:p w14:paraId="72150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在线溶解氧传感器</w:t>
      </w:r>
    </w:p>
    <w:p w14:paraId="1B768314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（1）使用后及时安装电极保护套，保证套内海绵湿润；新传感器需在自来水中活化24小时，确保测试准确性。</w:t>
      </w:r>
    </w:p>
    <w:p w14:paraId="65200647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（2）测试时将传感器置于水中，避免长时间测试空气；测量和校准时，防止荧光膜表面附着气泡；测试中避免荧光膜头受摩擦刮伤，野外测试时膜头离水底30公分以上。</w:t>
      </w:r>
    </w:p>
    <w:p w14:paraId="162EC12B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（3）检查线缆是否绷紧或与硬物摩擦，确保正常安装时线缆处于合适状态，防止内部电线断裂或表皮破损进水。</w:t>
      </w:r>
    </w:p>
    <w:p w14:paraId="1A3205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在线高锰酸盐指数分析仪</w:t>
      </w:r>
    </w:p>
    <w:p w14:paraId="53B0113C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（1）检查高锰酸钾溶液浓度，出现沉淀立即更换。  </w:t>
      </w:r>
    </w:p>
    <w:p w14:paraId="0674B6AE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（2）清洁消解池，清除积碳或残留物。  </w:t>
      </w:r>
    </w:p>
    <w:p w14:paraId="44075496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（3）观察草酸钠滴定液消耗速度，防止漏液。  </w:t>
      </w:r>
    </w:p>
    <w:p w14:paraId="7D6B96E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（4）用COD标准样（邻苯二甲酸氢钾）进行交叉验证。 </w:t>
      </w:r>
    </w:p>
    <w:p w14:paraId="0E9354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在线总磷</w:t>
      </w:r>
      <w:r>
        <w:rPr>
          <w:rFonts w:hint="eastAsia"/>
          <w:b/>
          <w:bCs/>
          <w:lang w:val="en-US" w:eastAsia="zh-CN"/>
        </w:rPr>
        <w:t>/总氮</w:t>
      </w:r>
      <w:r>
        <w:rPr>
          <w:rFonts w:hint="eastAsia"/>
          <w:b/>
          <w:bCs/>
        </w:rPr>
        <w:t>分析仪</w:t>
      </w:r>
    </w:p>
    <w:p w14:paraId="21FE3F8A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（1）定期用温和的清洁剂清洗仪器外部，去除灰尘和污渍。</w:t>
      </w:r>
    </w:p>
    <w:p w14:paraId="0ECEB62D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（2）检查试剂余量，及时添加或更换。注意试剂保质期，避免使用过期试剂。定期更换试剂管路，防止堵塞和交叉污染，更换频率根据使用情况确定。</w:t>
      </w:r>
    </w:p>
    <w:p w14:paraId="2B41D136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（3）按照仪器使用手册规定的时间进行校准，包括零点校准和量程校准，使用标准溶液进行操作，确保测量结果的准确性。</w:t>
      </w:r>
    </w:p>
    <w:p w14:paraId="4EA02641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（4）检查采样泵、蠕动泵等部件的工作状态，查看是否有泄漏、异常噪音或磨损。检查仪器的连接部件是否松动，及时紧固，保证仪器稳定运行。</w:t>
      </w:r>
    </w:p>
    <w:p w14:paraId="6BD7E7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多普勒流量计</w:t>
      </w:r>
    </w:p>
    <w:p w14:paraId="4CB0B983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（1）定期清理传感器表面，去除污垢、杂物，避免影响声波传输。使用软布或清水冲洗，避免刮伤。</w:t>
      </w:r>
    </w:p>
    <w:p w14:paraId="7C8D4FF5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（2）查看传感器安装位置是否松动、偏移，确保其与管道贴合良好，保证测量精度。</w:t>
      </w:r>
    </w:p>
    <w:p w14:paraId="1D7A9EBC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（3）检查连接线缆有无破损、老化，接线端是否松动，发现问题及时修复或更换。</w:t>
      </w:r>
    </w:p>
    <w:p w14:paraId="63C9633A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（4）按规定周期用标准器具校准，对比测量值与标准值，调整偏差，确保测量准确。</w:t>
      </w:r>
    </w:p>
    <w:p w14:paraId="34E15832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（5）关注测量数据，分析变化趋势，异常时排查设备故障或管道问题。</w:t>
      </w:r>
    </w:p>
    <w:p w14:paraId="660A7D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雷达流量</w:t>
      </w:r>
      <w:r>
        <w:rPr>
          <w:rFonts w:hint="eastAsia"/>
          <w:b/>
          <w:bCs/>
          <w:lang w:val="en-US" w:eastAsia="zh-CN"/>
        </w:rPr>
        <w:t>/液位</w:t>
      </w:r>
      <w:r>
        <w:rPr>
          <w:rFonts w:hint="eastAsia"/>
          <w:b/>
          <w:bCs/>
        </w:rPr>
        <w:t>计</w:t>
      </w:r>
    </w:p>
    <w:p w14:paraId="0E66972E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（1）定期用柔软干布擦拭雷达流量计的天线和外壳，清除灰尘、污垢，避免影响信号发射与接收。若有顽固污渍，用湿布蘸温和清洁剂轻轻擦拭，之后擦干。</w:t>
      </w:r>
    </w:p>
    <w:p w14:paraId="507DA845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（2）检查安装位置是否偏移，确保设备稳固安装在指定位置，且对准测量区域。查看安装支架有无松动、变形，及时紧固或修复。</w:t>
      </w:r>
    </w:p>
    <w:p w14:paraId="20ED1279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（3）检查连接线缆是否破损、老化，接线处是否松动。若发现问题，及时更换线缆或紧固接线，保证信号传输稳定。</w:t>
      </w:r>
    </w:p>
    <w:p w14:paraId="20DCE70D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（4）定期分析测量数据，观察数据变化趋势。若数据异常波动或与实际不符，排查设备故障或测量环境变化因素。</w:t>
      </w:r>
    </w:p>
    <w:p w14:paraId="448D0CBF">
      <w:pPr>
        <w:pStyle w:val="3"/>
        <w:rPr>
          <w:rFonts w:hint="eastAsia"/>
        </w:rPr>
      </w:pPr>
      <w:bookmarkStart w:id="21" w:name="_Toc8070"/>
      <w:r>
        <w:rPr>
          <w:rFonts w:hint="eastAsia"/>
          <w:lang w:val="en-US" w:eastAsia="zh-CN"/>
        </w:rPr>
        <w:t>设备</w:t>
      </w:r>
      <w:r>
        <w:rPr>
          <w:rFonts w:hint="eastAsia"/>
        </w:rPr>
        <w:t>维护注意事项</w:t>
      </w:r>
      <w:bookmarkEnd w:id="21"/>
    </w:p>
    <w:p w14:paraId="5E88F9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在线色度传感器</w:t>
      </w:r>
    </w:p>
    <w:p w14:paraId="76E2CBC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（1）避免传感器及探头受到剧烈机械撞击，因其含敏感光学和电子部件，且内部无用户需维护部件。</w:t>
      </w:r>
    </w:p>
    <w:p w14:paraId="301808A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（2）测量时保证石英片干净，无异物、气泡。</w:t>
      </w:r>
    </w:p>
    <w:p w14:paraId="587B3FD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（3）水流较急时固定传感器，防止损坏。</w:t>
      </w:r>
    </w:p>
    <w:p w14:paraId="3A0FED05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（4）禁止用传感器电缆吊装，确保线缆接头紧固；12VDC电源供电时，尾线线缆超150M需适当增压。</w:t>
      </w:r>
    </w:p>
    <w:p w14:paraId="705811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在线浊度传感器</w:t>
      </w:r>
    </w:p>
    <w:p w14:paraId="6E081AD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（1）使用时取下保护套，闲置时及时安装，防止探头划伤。  </w:t>
      </w:r>
    </w:p>
    <w:p w14:paraId="355968E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（2）避免探头附着气泡，保持探头离容器底/壁≥100mm。  </w:t>
      </w:r>
    </w:p>
    <w:p w14:paraId="6E0EAC9E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（3）避免剧烈撞击，防止光学/电子部件损坏。  </w:t>
      </w:r>
    </w:p>
    <w:p w14:paraId="3904AC8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（4）禁止在含荧光物质的容器中测试，防止干扰。  </w:t>
      </w:r>
    </w:p>
    <w:p w14:paraId="1B3F73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在线PH传感器</w:t>
      </w:r>
    </w:p>
    <w:p w14:paraId="5D04BD8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（1）用无水酒精擦拭接线端子上的沾污，确保干燥后使用。</w:t>
      </w:r>
    </w:p>
    <w:p w14:paraId="68B481C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（2）勿长期浸泡蒸馏水/蛋白质溶液，远离有机硅油脂。</w:t>
      </w:r>
    </w:p>
    <w:p w14:paraId="59F94A8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（3）玻璃膜老化/沉积时，用稀盐酸清洗后水洗，必要时重新标定。</w:t>
      </w:r>
    </w:p>
    <w:p w14:paraId="2D791F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在线硬度传感器</w:t>
      </w:r>
    </w:p>
    <w:p w14:paraId="59CB241F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（1）防止电极长期浸泡在蒸馏水或蛋白质溶液中，避免与有机硅油脂接触。</w:t>
      </w:r>
    </w:p>
    <w:p w14:paraId="37FFDA4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（2）按上述维护保养后仍无法标定和测量，说明电极失效，需更换电极。 </w:t>
      </w:r>
    </w:p>
    <w:p w14:paraId="6DB12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在线硬度分析仪</w:t>
      </w:r>
    </w:p>
    <w:p w14:paraId="7494E44F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（1）避免水样含高浓度重金属或悬浮物，需预处理后进样。  </w:t>
      </w:r>
    </w:p>
    <w:p w14:paraId="225CABB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（2）废液（含EDTA）需单独收集，按络合剂危废处理。  </w:t>
      </w:r>
    </w:p>
    <w:p w14:paraId="6A6B524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 冬季需加装恒温装置，防止试剂结晶堵塞管路。  </w:t>
      </w:r>
    </w:p>
    <w:p w14:paraId="2D834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在线电导率传感器</w:t>
      </w:r>
    </w:p>
    <w:p w14:paraId="19016FE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（1）校准与测试时电极需完全浸入标准液（无气泡），距容器底/壁≥2cm。  </w:t>
      </w:r>
    </w:p>
    <w:p w14:paraId="23A8AEA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（2）石墨电极使用前需用自来水浸泡1小时，闲置时保持湿润。  </w:t>
      </w:r>
    </w:p>
    <w:p w14:paraId="3C7EECC7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 非防水端子避免浸水，线缆需松弛固定，防止摩擦或断裂。  </w:t>
      </w:r>
    </w:p>
    <w:p w14:paraId="2FA90198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（4）避免与有机硅油脂接触。  </w:t>
      </w:r>
    </w:p>
    <w:p w14:paraId="44A137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在线氨氮传感器</w:t>
      </w:r>
    </w:p>
    <w:p w14:paraId="507BC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（1）膜头用去离子水清洗，勿碰伤，测量时距底部至少2cm，敏感膜内无气泡，可轻敲除泡。</w:t>
      </w:r>
    </w:p>
    <w:p w14:paraId="4A92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3BB1A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（3）检查通讯时，两电极须浸泡在溶液中。</w:t>
      </w:r>
    </w:p>
    <w:p w14:paraId="0777B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（4）标液有使用次数限制，1mg/L的2次/瓶、10mg/L的4次/瓶、100mg/L的6次/瓶。</w:t>
      </w:r>
    </w:p>
    <w:p w14:paraId="73B04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（5）注意保护参比电极外漏白色布条，勿揪出损坏。 </w:t>
      </w:r>
    </w:p>
    <w:p w14:paraId="6A762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（6）防止电极长期浸泡在蒸馏水或蛋白质溶液中，避免与有机硅油脂接触。</w:t>
      </w:r>
    </w:p>
    <w:p w14:paraId="78E56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在线氨氮分析仪</w:t>
      </w:r>
    </w:p>
    <w:p w14:paraId="1C156966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（1）高浓度余氯或硫化物水样需预处理，防止干扰显色反应。  </w:t>
      </w:r>
    </w:p>
    <w:p w14:paraId="62B78AFC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（2）试剂避光保存，显色反应后废液含重金属需单独处理。  </w:t>
      </w:r>
    </w:p>
    <w:p w14:paraId="58D93CD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（3）避免剧烈震动，防止比色系统光路偏移。  </w:t>
      </w:r>
    </w:p>
    <w:p w14:paraId="49763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在线光学硝氮传感器</w:t>
      </w:r>
    </w:p>
    <w:p w14:paraId="696E566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（1）安装时离水面深度不超2米，低于可能的最低水位30cm以下，避免水流冲击致其撞击水利设施，水流急时固定传感器，放置在无气泡位置，建议水平放置并使测量区域迎向水流方向，给线缆装保护套。</w:t>
      </w:r>
    </w:p>
    <w:p w14:paraId="43E03197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（2）仔细检查5芯双绞屏蔽线接线顺序，做好防水处理，使用防腐蚀线缆，防止接线错误和线路损坏。</w:t>
      </w:r>
    </w:p>
    <w:p w14:paraId="60FFD54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（3）避免阳光暴晒，勿触摸测量区域，测量和校准时防止表面附着气泡，避免施加机械应力。</w:t>
      </w:r>
    </w:p>
    <w:p w14:paraId="43166FB8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（4）操作界面无连接或无测量结果，检查控制器与线缆连接或联系厂家；测量值异常，清洗视窗表面或更换清洁刷。 </w:t>
      </w:r>
    </w:p>
    <w:p w14:paraId="35CCD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大肠杆菌在线分析仪</w:t>
      </w:r>
    </w:p>
    <w:p w14:paraId="0317D396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1</w:t>
      </w:r>
      <w:r>
        <w:rPr>
          <w:rFonts w:hint="eastAsia"/>
          <w:b w:val="0"/>
          <w:bCs w:val="0"/>
          <w:lang w:eastAsia="zh-CN"/>
        </w:rPr>
        <w:t xml:space="preserve">）操作时佩戴手套，避免试剂接触皮肤或交叉污染。  </w:t>
      </w:r>
    </w:p>
    <w:p w14:paraId="09AE75E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2</w:t>
      </w:r>
      <w:r>
        <w:rPr>
          <w:rFonts w:hint="eastAsia"/>
          <w:b w:val="0"/>
          <w:bCs w:val="0"/>
          <w:lang w:eastAsia="zh-CN"/>
        </w:rPr>
        <w:t xml:space="preserve">）废液（含培养液）需高温灭菌后再按生物危害废物处理。  </w:t>
      </w:r>
    </w:p>
    <w:p w14:paraId="7424661E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3</w:t>
      </w:r>
      <w:r>
        <w:rPr>
          <w:rFonts w:hint="eastAsia"/>
          <w:b w:val="0"/>
          <w:bCs w:val="0"/>
          <w:lang w:eastAsia="zh-CN"/>
        </w:rPr>
        <w:t xml:space="preserve">）长期停用前需彻底清洗管路并排空试剂，防止残留物变质。  </w:t>
      </w:r>
    </w:p>
    <w:p w14:paraId="4E36C6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在线溶解氧传感器</w:t>
      </w:r>
    </w:p>
    <w:p w14:paraId="4FE1C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（1）传感器含有敏感部件，安装和测量时避免其受到剧烈机械撞击。</w:t>
      </w:r>
    </w:p>
    <w:p w14:paraId="79108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 xml:space="preserve">（2）防止荧光帽内表面被阳光暴晒，不要用手触摸荧光膜；未做防水处理的接线端子不能没入水中，避免线缆进水影响设备正常工作。 </w:t>
      </w:r>
    </w:p>
    <w:p w14:paraId="21240F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在线高锰酸盐指数分析仪</w:t>
      </w:r>
    </w:p>
    <w:p w14:paraId="14FB58B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（1）高锰酸钾属强氧化剂，需单独存放，远离有机物和酸类。  </w:t>
      </w:r>
    </w:p>
    <w:p w14:paraId="24EC397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（2）消解温度需严格控制在100±2℃，避免反应不完全。  </w:t>
      </w:r>
    </w:p>
    <w:p w14:paraId="2C767B53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（3）废液含重金属和酸性物质，需中和后按危废处理。  </w:t>
      </w:r>
    </w:p>
    <w:p w14:paraId="24ACF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在线总磷</w:t>
      </w:r>
      <w:r>
        <w:rPr>
          <w:rFonts w:hint="eastAsia"/>
          <w:b/>
          <w:bCs/>
          <w:lang w:val="en-US" w:eastAsia="zh-CN"/>
        </w:rPr>
        <w:t>/总氮</w:t>
      </w:r>
      <w:r>
        <w:rPr>
          <w:rFonts w:hint="eastAsia"/>
          <w:b/>
          <w:bCs/>
        </w:rPr>
        <w:t>分析仪</w:t>
      </w:r>
    </w:p>
    <w:p w14:paraId="2177C354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（1）严格按照操作手册进行操作，避免误操作损坏仪器。维护过程中如需接触试剂，应佩戴防护手套和护目镜，防止试剂腐蚀。</w:t>
      </w:r>
    </w:p>
    <w:p w14:paraId="7A7EBFBC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（2）仪器应安装在干燥、通风良好的环境中，避免阳光直射和高温高湿环境。远离强电磁场干扰源，防止影响测量精度。</w:t>
      </w:r>
    </w:p>
    <w:p w14:paraId="3560E4B5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（3）仪器出现故障时，不要擅自拆解维修，应联系专业维修人员。记录故障现象和发生时间，为维修提供参考。</w:t>
      </w:r>
    </w:p>
    <w:p w14:paraId="2E1AA708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 xml:space="preserve">（4）定期检查仪器的接地情况，确保使用安全。对废弃试剂进行妥善处理，按照环保要求进行回收或中和排放，避免污染环境。 </w:t>
      </w:r>
    </w:p>
    <w:p w14:paraId="297C64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多普勒流量计</w:t>
      </w:r>
    </w:p>
    <w:p w14:paraId="0C3C6ADA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（1）严格按操作手册操作，维护时先切断电源，防止触电。</w:t>
      </w:r>
    </w:p>
    <w:p w14:paraId="24426DFE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（2）避免在强电磁干扰、高温、高湿环境下使用，防止设备受损或测量失准。</w:t>
      </w:r>
    </w:p>
    <w:p w14:paraId="5F57BB04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（3）安装和使用中防止设备受剧烈震动，以免损坏内部部件。</w:t>
      </w:r>
    </w:p>
    <w:p w14:paraId="2E86CA86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 xml:space="preserve">（4）设备故障时，由专业人员维修，不可自行拆解。 </w:t>
      </w:r>
    </w:p>
    <w:p w14:paraId="3D551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雷达流量</w:t>
      </w:r>
      <w:r>
        <w:rPr>
          <w:rFonts w:hint="eastAsia"/>
          <w:b/>
          <w:bCs/>
          <w:lang w:val="en-US" w:eastAsia="zh-CN"/>
        </w:rPr>
        <w:t>/液位</w:t>
      </w:r>
      <w:r>
        <w:rPr>
          <w:rFonts w:hint="eastAsia"/>
          <w:b/>
          <w:bCs/>
        </w:rPr>
        <w:t>计</w:t>
      </w:r>
    </w:p>
    <w:p w14:paraId="681429B0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（1）严格按照操作手册进行操作，维护前切断电源，避免带电操作引发危险。非专业人员不要擅自拆解设备。</w:t>
      </w:r>
    </w:p>
    <w:p w14:paraId="6CC51E9F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（2）避免设备在强电磁干扰环境下工作，远离大型电机、变压器等设备。同时，做好防水、防晒措施，防止因恶劣天气损坏设备。</w:t>
      </w:r>
    </w:p>
    <w:p w14:paraId="44BB1FB1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（3）按照规定的时间间隔进行校准，使用专业校准设备和方法，确保测量精度。校准过程需由专业人员操作。</w:t>
      </w:r>
    </w:p>
    <w:p w14:paraId="3ADA6875">
      <w:pPr>
        <w:bidi w:val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 xml:space="preserve">（4）设备出现故障时，及时记录故障现象，联系厂家或专业维修人员进行维修，不可自行尝试修复，以免造成更大损坏。 </w:t>
      </w:r>
    </w:p>
    <w:p w14:paraId="29A01D60">
      <w:pPr>
        <w:bidi w:val="0"/>
        <w:rPr>
          <w:rFonts w:hint="eastAsia"/>
          <w:b w:val="0"/>
          <w:bCs w:val="0"/>
        </w:rPr>
      </w:pPr>
    </w:p>
    <w:p w14:paraId="0CEDD2F7">
      <w:pPr>
        <w:pStyle w:val="2"/>
        <w:rPr>
          <w:rFonts w:hint="eastAsia"/>
        </w:rPr>
      </w:pPr>
      <w:bookmarkStart w:id="22" w:name="_Toc18219"/>
      <w:bookmarkStart w:id="23" w:name="_Toc4430"/>
      <w:r>
        <w:rPr>
          <w:rFonts w:hint="eastAsia"/>
        </w:rPr>
        <w:t>案例展示</w:t>
      </w:r>
      <w:bookmarkEnd w:id="22"/>
      <w:bookmarkEnd w:id="23"/>
    </w:p>
    <w:p w14:paraId="1AC2F479">
      <w:pPr>
        <w:pStyle w:val="3"/>
        <w:rPr>
          <w:rFonts w:hint="eastAsia"/>
        </w:rPr>
      </w:pPr>
      <w:bookmarkStart w:id="24" w:name="_Toc2900"/>
      <w:r>
        <w:rPr>
          <w:bCs/>
        </w:rPr>
        <w:t>案例一：</w:t>
      </w:r>
      <w:r>
        <w:t>某河流型水源地水质监测项目</w:t>
      </w:r>
      <w:bookmarkEnd w:id="24"/>
    </w:p>
    <w:p w14:paraId="442975E9">
      <w:pPr>
        <w:ind w:firstLine="480"/>
        <w:rPr>
          <w:rFonts w:hint="eastAsia"/>
        </w:rPr>
      </w:pPr>
      <w:r>
        <w:t>在某河流型水源地的取水口及上游 5 公里范围内布设了 3 个监测站点，安装水质监测设备，监测参数包括 pH 值、溶解氧、水温、电导率、浊度、氨氮等。通过实时监测和数据分析，成功预警了一起因上游企业偷排废水导致的氨氮超标事件，及时采取措施阻止了污染扩散，保障了河流型水源地的水质安全。</w:t>
      </w:r>
    </w:p>
    <w:p w14:paraId="059D4F14">
      <w:pPr>
        <w:ind w:firstLine="480"/>
        <w:jc w:val="left"/>
        <w:rPr>
          <w:rFonts w:hint="eastAsia" w:eastAsiaTheme="minorEastAsia"/>
        </w:rPr>
      </w:pPr>
      <w:r>
        <w:rPr>
          <w:rFonts w:eastAsiaTheme="minorEastAsia"/>
        </w:rPr>
        <w:drawing>
          <wp:inline distT="0" distB="0" distL="114300" distR="114300">
            <wp:extent cx="2298700" cy="1724660"/>
            <wp:effectExtent l="0" t="0" r="2540" b="12700"/>
            <wp:docPr id="15" name="图片 15" descr="下载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下载 (3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drawing>
          <wp:inline distT="0" distB="0" distL="114300" distR="114300">
            <wp:extent cx="2320925" cy="1740535"/>
            <wp:effectExtent l="0" t="0" r="10795" b="12065"/>
            <wp:docPr id="16" name="图片 16" descr="下载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下载 (4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</w:rPr>
        <w:t xml:space="preserve">    </w:t>
      </w:r>
    </w:p>
    <w:p w14:paraId="7EEF6729">
      <w:pPr>
        <w:ind w:firstLine="480"/>
        <w:jc w:val="left"/>
        <w:rPr>
          <w:rFonts w:hint="eastAsia" w:eastAsiaTheme="minorEastAsia"/>
        </w:rPr>
      </w:pPr>
      <w:r>
        <w:rPr>
          <w:rFonts w:eastAsiaTheme="minorEastAsia"/>
        </w:rPr>
        <w:drawing>
          <wp:inline distT="0" distB="0" distL="114300" distR="114300">
            <wp:extent cx="2306320" cy="1728470"/>
            <wp:effectExtent l="0" t="0" r="10160" b="8890"/>
            <wp:docPr id="13" name="图片 13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下载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drawing>
          <wp:inline distT="0" distB="0" distL="114300" distR="114300">
            <wp:extent cx="2317750" cy="1737360"/>
            <wp:effectExtent l="0" t="0" r="13970" b="0"/>
            <wp:docPr id="14" name="图片 14" descr="下载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下载 (2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993D">
      <w:pPr>
        <w:ind w:firstLine="480"/>
        <w:jc w:val="left"/>
        <w:rPr>
          <w:rFonts w:hint="eastAsia" w:eastAsiaTheme="minorEastAsia"/>
        </w:rPr>
      </w:pPr>
    </w:p>
    <w:p w14:paraId="0BE4910E">
      <w:pPr>
        <w:pStyle w:val="3"/>
        <w:rPr>
          <w:rFonts w:hint="eastAsia"/>
        </w:rPr>
      </w:pPr>
      <w:bookmarkStart w:id="25" w:name="_Toc6679"/>
      <w:r>
        <w:rPr>
          <w:bCs/>
        </w:rPr>
        <w:t>案例二：</w:t>
      </w:r>
      <w:r>
        <w:t>某湖泊型水源地水质监测项目</w:t>
      </w:r>
      <w:bookmarkEnd w:id="25"/>
    </w:p>
    <w:p w14:paraId="66AC36B7">
      <w:pPr>
        <w:ind w:firstLine="480"/>
        <w:rPr>
          <w:rFonts w:hint="eastAsia"/>
        </w:rPr>
      </w:pPr>
      <w:r>
        <w:t>为保护某湖泊型水源地，围绕湖泊周边设置了 5 个监测站点，采用水质监测设备，监测项目涵盖 pH 值、溶解氧、水温、电导率、浊度、总氮、总磷等。通过对湖泊水质的长期监测和分析，为湖泊的生态修复和水源地保护提供了科学依据，有效改善了湖泊型水源地的水质状况，提升了水源地的生态环境质量。</w:t>
      </w:r>
    </w:p>
    <w:p w14:paraId="3DB4C7C3">
      <w:pPr>
        <w:ind w:firstLine="480"/>
        <w:jc w:val="left"/>
        <w:rPr>
          <w:rFonts w:hint="eastAsia" w:eastAsiaTheme="minorEastAsia"/>
        </w:rPr>
      </w:pPr>
      <w:r>
        <w:rPr>
          <w:rFonts w:eastAsiaTheme="minorEastAsia"/>
        </w:rPr>
        <w:drawing>
          <wp:inline distT="0" distB="0" distL="114300" distR="114300">
            <wp:extent cx="2465070" cy="1849755"/>
            <wp:effectExtent l="0" t="0" r="3810" b="9525"/>
            <wp:docPr id="17" name="图片 17" descr="ebc52a260b1651d194b6eed4e6e9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bc52a260b1651d194b6eed4e6e926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507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drawing>
          <wp:inline distT="0" distB="0" distL="114300" distR="114300">
            <wp:extent cx="2165985" cy="1856740"/>
            <wp:effectExtent l="0" t="0" r="13335" b="2540"/>
            <wp:docPr id="18" name="图片 18" descr="29335faa3e424537a850d51e7a69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9335faa3e424537a850d51e7a69446"/>
                    <pic:cNvPicPr>
                      <a:picLocks noChangeAspect="1"/>
                    </pic:cNvPicPr>
                  </pic:nvPicPr>
                  <pic:blipFill>
                    <a:blip r:embed="rId48"/>
                    <a:srcRect t="4086" b="3164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HarmonyOS Sans">
    <w:altName w:val="Segoe Print"/>
    <w:panose1 w:val="000005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9FDFC8">
    <w:pPr>
      <w:pStyle w:val="12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15B09">
    <w:pPr>
      <w:pStyle w:val="12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E5CD54">
    <w:pPr>
      <w:pStyle w:val="12"/>
      <w:ind w:firstLine="360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40EFD">
    <w:pPr>
      <w:pStyle w:val="12"/>
      <w:ind w:firstLine="360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69A0A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ACA8C">
    <w:pPr>
      <w:pStyle w:val="13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75B31C">
    <w:pPr>
      <w:pStyle w:val="13"/>
      <w:ind w:firstLine="360"/>
      <w:rPr>
        <w:rFonts w:hint="eastAsi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71BDB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764BF77E"/>
    <w:multiLevelType w:val="singleLevel"/>
    <w:tmpl w:val="764BF77E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CB"/>
    <w:rsid w:val="0000331B"/>
    <w:rsid w:val="000E70C4"/>
    <w:rsid w:val="002438FD"/>
    <w:rsid w:val="00381921"/>
    <w:rsid w:val="003B326D"/>
    <w:rsid w:val="006F580B"/>
    <w:rsid w:val="00811F31"/>
    <w:rsid w:val="008753CB"/>
    <w:rsid w:val="008D7448"/>
    <w:rsid w:val="009E57CA"/>
    <w:rsid w:val="00A10114"/>
    <w:rsid w:val="00A30227"/>
    <w:rsid w:val="00A76D6F"/>
    <w:rsid w:val="00C76286"/>
    <w:rsid w:val="00D50B3B"/>
    <w:rsid w:val="00D9425E"/>
    <w:rsid w:val="00F45325"/>
    <w:rsid w:val="03277CD8"/>
    <w:rsid w:val="09DF435C"/>
    <w:rsid w:val="0CF05FA0"/>
    <w:rsid w:val="0D943597"/>
    <w:rsid w:val="0DC33442"/>
    <w:rsid w:val="12AE6653"/>
    <w:rsid w:val="1443048A"/>
    <w:rsid w:val="1456008E"/>
    <w:rsid w:val="15FB79DC"/>
    <w:rsid w:val="1ADC1FD2"/>
    <w:rsid w:val="1D1F1166"/>
    <w:rsid w:val="1FE35C4B"/>
    <w:rsid w:val="21E93494"/>
    <w:rsid w:val="25E76B6C"/>
    <w:rsid w:val="287157B0"/>
    <w:rsid w:val="296543A4"/>
    <w:rsid w:val="2E420599"/>
    <w:rsid w:val="38CD2726"/>
    <w:rsid w:val="3CAD2E9B"/>
    <w:rsid w:val="3DD37642"/>
    <w:rsid w:val="416830A7"/>
    <w:rsid w:val="41E23AAD"/>
    <w:rsid w:val="4283171C"/>
    <w:rsid w:val="47B760A1"/>
    <w:rsid w:val="4DA8648A"/>
    <w:rsid w:val="51684B6D"/>
    <w:rsid w:val="54192A3C"/>
    <w:rsid w:val="5A9164F8"/>
    <w:rsid w:val="5C2514E6"/>
    <w:rsid w:val="636B69F0"/>
    <w:rsid w:val="670A1142"/>
    <w:rsid w:val="67917192"/>
    <w:rsid w:val="71E27224"/>
    <w:rsid w:val="72160BF2"/>
    <w:rsid w:val="726B1B56"/>
    <w:rsid w:val="730F7757"/>
    <w:rsid w:val="799F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ind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numPr>
        <w:ilvl w:val="1"/>
        <w:numId w:val="1"/>
      </w:numPr>
      <w:ind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numPr>
        <w:ilvl w:val="2"/>
        <w:numId w:val="1"/>
      </w:numPr>
      <w:tabs>
        <w:tab w:val="left" w:pos="420"/>
      </w:tabs>
      <w:ind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numPr>
        <w:ilvl w:val="3"/>
        <w:numId w:val="1"/>
      </w:numPr>
      <w:ind w:left="0" w:firstLine="720"/>
      <w:outlineLvl w:val="3"/>
    </w:pPr>
    <w:rPr>
      <w:rFonts w:cstheme="majorBidi"/>
      <w:b/>
      <w:sz w:val="28"/>
      <w:szCs w:val="28"/>
    </w:rPr>
  </w:style>
  <w:style w:type="paragraph" w:styleId="6">
    <w:name w:val="heading 5"/>
    <w:basedOn w:val="5"/>
    <w:next w:val="1"/>
    <w:link w:val="26"/>
    <w:semiHidden/>
    <w:unhideWhenUsed/>
    <w:qFormat/>
    <w:uiPriority w:val="9"/>
    <w:pPr>
      <w:numPr>
        <w:ilvl w:val="4"/>
      </w:numPr>
      <w:spacing w:before="80" w:after="40"/>
      <w:ind w:firstLineChars="0"/>
      <w:outlineLvl w:val="4"/>
    </w:p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numPr>
        <w:ilvl w:val="7"/>
        <w:numId w:val="1"/>
      </w:numPr>
      <w:ind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numPr>
        <w:ilvl w:val="8"/>
        <w:numId w:val="1"/>
      </w:numPr>
      <w:ind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/>
      <w:u w:val="single"/>
    </w:rPr>
  </w:style>
  <w:style w:type="character" w:customStyle="1" w:styleId="22">
    <w:name w:val="标题 1 字符"/>
    <w:basedOn w:val="20"/>
    <w:link w:val="2"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3">
    <w:name w:val="标题 2 字符"/>
    <w:basedOn w:val="20"/>
    <w:link w:val="3"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4">
    <w:name w:val="标题 3 字符"/>
    <w:basedOn w:val="20"/>
    <w:link w:val="4"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明显强调1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40">
    <w:name w:val="页脚 字符"/>
    <w:basedOn w:val="20"/>
    <w:link w:val="12"/>
    <w:qFormat/>
    <w:uiPriority w:val="99"/>
    <w:rPr>
      <w:sz w:val="18"/>
      <w:szCs w:val="18"/>
    </w:rPr>
  </w:style>
  <w:style w:type="paragraph" w:customStyle="1" w:styleId="4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2">
    <w:name w:val="列出段落1"/>
    <w:basedOn w:val="1"/>
    <w:qFormat/>
    <w:uiPriority w:val="0"/>
    <w:pPr>
      <w:suppressAutoHyphens/>
      <w:ind w:firstLine="420"/>
      <w:jc w:val="left"/>
    </w:pPr>
    <w:rPr>
      <w:rFonts w:ascii="Times" w:hAnsi="Times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image" Target="media/image35.jpeg"/><Relationship Id="rId47" Type="http://schemas.openxmlformats.org/officeDocument/2006/relationships/image" Target="media/image34.jpeg"/><Relationship Id="rId46" Type="http://schemas.openxmlformats.org/officeDocument/2006/relationships/image" Target="media/image33.jpeg"/><Relationship Id="rId45" Type="http://schemas.openxmlformats.org/officeDocument/2006/relationships/image" Target="media/image32.jpeg"/><Relationship Id="rId44" Type="http://schemas.openxmlformats.org/officeDocument/2006/relationships/image" Target="media/image31.jpeg"/><Relationship Id="rId43" Type="http://schemas.openxmlformats.org/officeDocument/2006/relationships/image" Target="media/image30.jpeg"/><Relationship Id="rId42" Type="http://schemas.openxmlformats.org/officeDocument/2006/relationships/image" Target="media/image29.jpeg"/><Relationship Id="rId41" Type="http://schemas.openxmlformats.org/officeDocument/2006/relationships/image" Target="media/image28.jpeg"/><Relationship Id="rId40" Type="http://schemas.openxmlformats.org/officeDocument/2006/relationships/image" Target="media/image27.jpe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5166</Words>
  <Characters>5697</Characters>
  <Lines>72</Lines>
  <Paragraphs>20</Paragraphs>
  <TotalTime>11</TotalTime>
  <ScaleCrop>false</ScaleCrop>
  <LinksUpToDate>false</LinksUpToDate>
  <CharactersWithSpaces>5798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2025-07-25T01:57:13Z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DF6EBECCDCAF44EAB4F520543FCF2462_12</vt:lpwstr>
  </property>
</Properties>
</file>