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08BD99">
      <w:pPr>
        <w:ind w:firstLine="480"/>
        <w:rPr>
          <w:rFonts w:hint="eastAsia"/>
        </w:rPr>
      </w:pPr>
    </w:p>
    <w:p w14:paraId="375E57B2">
      <w:pPr>
        <w:ind w:firstLine="480"/>
        <w:rPr>
          <w:rFonts w:hint="eastAsia"/>
        </w:rPr>
      </w:pPr>
    </w:p>
    <w:p w14:paraId="39571B96">
      <w:pPr>
        <w:ind w:firstLine="480"/>
        <w:rPr>
          <w:rFonts w:hint="eastAsia"/>
        </w:rPr>
      </w:pPr>
    </w:p>
    <w:p w14:paraId="5DCA0DC0">
      <w:pPr>
        <w:ind w:firstLine="0" w:firstLineChars="0"/>
        <w:jc w:val="center"/>
        <w:rPr>
          <w:rFonts w:hint="eastAsia"/>
          <w:b/>
          <w:bCs/>
          <w:sz w:val="52"/>
          <w:szCs w:val="52"/>
        </w:rPr>
      </w:pPr>
      <w:r>
        <w:rPr>
          <w:rFonts w:hint="eastAsia"/>
          <w:b/>
          <w:bCs/>
          <w:sz w:val="52"/>
          <w:szCs w:val="52"/>
        </w:rPr>
        <w:t>供水行业细分场景</w:t>
      </w:r>
    </w:p>
    <w:p w14:paraId="2B7E6ACC">
      <w:pPr>
        <w:ind w:firstLine="0" w:firstLineChars="0"/>
        <w:jc w:val="right"/>
        <w:rPr>
          <w:rFonts w:hint="eastAsia"/>
          <w:b/>
          <w:bCs/>
          <w:sz w:val="52"/>
          <w:szCs w:val="52"/>
        </w:rPr>
      </w:pPr>
      <w:r>
        <w:rPr>
          <w:rFonts w:hint="eastAsia"/>
          <w:b/>
          <w:bCs/>
          <w:sz w:val="52"/>
          <w:szCs w:val="52"/>
        </w:rPr>
        <w:t>——农村供水监测方案</w:t>
      </w:r>
    </w:p>
    <w:p w14:paraId="2BD3EB1A">
      <w:pPr>
        <w:ind w:firstLine="480"/>
        <w:rPr>
          <w:rFonts w:hint="eastAsia"/>
        </w:rPr>
      </w:pPr>
    </w:p>
    <w:p w14:paraId="7BEF19DC">
      <w:pPr>
        <w:ind w:firstLine="480"/>
        <w:rPr>
          <w:rFonts w:hint="eastAsia"/>
        </w:rPr>
      </w:pPr>
    </w:p>
    <w:p w14:paraId="1EC00FD3">
      <w:pPr>
        <w:ind w:firstLine="480"/>
        <w:rPr>
          <w:rFonts w:hint="eastAsia"/>
        </w:rPr>
      </w:pPr>
    </w:p>
    <w:p w14:paraId="492BD1B7">
      <w:pPr>
        <w:ind w:firstLine="480"/>
        <w:rPr>
          <w:rFonts w:hint="eastAsia"/>
        </w:rPr>
      </w:pPr>
    </w:p>
    <w:p w14:paraId="31193EEF">
      <w:pPr>
        <w:ind w:firstLine="480"/>
        <w:rPr>
          <w:rFonts w:hint="eastAsia"/>
        </w:rPr>
      </w:pPr>
    </w:p>
    <w:p w14:paraId="30902E6B">
      <w:pPr>
        <w:ind w:firstLine="480"/>
        <w:rPr>
          <w:rFonts w:hint="eastAsia"/>
        </w:rPr>
      </w:pPr>
    </w:p>
    <w:p w14:paraId="26517F50">
      <w:pPr>
        <w:ind w:firstLine="480"/>
        <w:rPr>
          <w:rFonts w:hint="eastAsia"/>
        </w:rPr>
      </w:pPr>
    </w:p>
    <w:p w14:paraId="1F8DDBA2">
      <w:pPr>
        <w:ind w:firstLine="480"/>
        <w:rPr>
          <w:rFonts w:hint="eastAsia"/>
        </w:rPr>
      </w:pPr>
    </w:p>
    <w:p w14:paraId="202F98D7">
      <w:pPr>
        <w:ind w:firstLine="480"/>
        <w:rPr>
          <w:rFonts w:hint="eastAsia"/>
        </w:rPr>
      </w:pPr>
    </w:p>
    <w:p w14:paraId="5D07326A">
      <w:pPr>
        <w:ind w:firstLine="480"/>
        <w:rPr>
          <w:rFonts w:hint="eastAsia"/>
        </w:rPr>
      </w:pPr>
    </w:p>
    <w:p w14:paraId="78260331">
      <w:pPr>
        <w:ind w:firstLine="480"/>
        <w:rPr>
          <w:rFonts w:hint="eastAsia"/>
        </w:rPr>
      </w:pPr>
    </w:p>
    <w:p w14:paraId="65556436">
      <w:pPr>
        <w:ind w:firstLine="480"/>
        <w:rPr>
          <w:rFonts w:hint="eastAsia"/>
        </w:rPr>
      </w:pPr>
    </w:p>
    <w:p w14:paraId="17F25DBC">
      <w:pPr>
        <w:ind w:firstLine="480"/>
        <w:rPr>
          <w:rFonts w:hint="eastAsia"/>
        </w:rPr>
      </w:pPr>
    </w:p>
    <w:p w14:paraId="4802C146">
      <w:pPr>
        <w:ind w:firstLine="480"/>
        <w:rPr>
          <w:rFonts w:hint="eastAsia"/>
        </w:rPr>
      </w:pPr>
    </w:p>
    <w:p w14:paraId="2CBD7B50">
      <w:pPr>
        <w:ind w:firstLine="480"/>
        <w:rPr>
          <w:rFonts w:hint="eastAsia"/>
        </w:rPr>
      </w:pPr>
    </w:p>
    <w:p w14:paraId="7C308094">
      <w:pPr>
        <w:ind w:firstLine="480"/>
        <w:rPr>
          <w:rFonts w:hint="eastAsia"/>
        </w:rPr>
      </w:pPr>
    </w:p>
    <w:p w14:paraId="6BC1A9C5">
      <w:pPr>
        <w:ind w:firstLine="480"/>
        <w:rPr>
          <w:rFonts w:hint="eastAsia"/>
        </w:rPr>
      </w:pPr>
    </w:p>
    <w:p w14:paraId="7F9ADC14">
      <w:pPr>
        <w:ind w:firstLine="480"/>
        <w:rPr>
          <w:rFonts w:hint="eastAsia"/>
        </w:rPr>
      </w:pPr>
    </w:p>
    <w:p w14:paraId="72F9F2A9">
      <w:pPr>
        <w:ind w:firstLine="480"/>
        <w:rPr>
          <w:rFonts w:hint="eastAsia"/>
        </w:rPr>
      </w:pPr>
    </w:p>
    <w:p w14:paraId="79DF1FEC">
      <w:pPr>
        <w:ind w:firstLine="480"/>
        <w:rPr>
          <w:rFonts w:hint="eastAsia"/>
        </w:rPr>
      </w:pPr>
    </w:p>
    <w:p w14:paraId="7FD89B8A">
      <w:pPr>
        <w:ind w:firstLine="0" w:firstLineChars="0"/>
        <w:jc w:val="center"/>
        <w:rPr>
          <w:rFonts w:hint="eastAsia"/>
          <w:b/>
          <w:bCs/>
          <w:sz w:val="40"/>
          <w:szCs w:val="40"/>
          <w:lang w:val="zh-CN"/>
        </w:rPr>
      </w:pPr>
      <w:r>
        <w:rPr>
          <w:b/>
          <w:bCs/>
          <w:sz w:val="40"/>
          <w:szCs w:val="40"/>
        </w:rPr>
        <w:t>202</w:t>
      </w:r>
      <w:r>
        <w:rPr>
          <w:rFonts w:hint="eastAsia"/>
          <w:b/>
          <w:bCs/>
          <w:sz w:val="40"/>
          <w:szCs w:val="40"/>
        </w:rPr>
        <w:t>5</w:t>
      </w:r>
      <w:r>
        <w:rPr>
          <w:b/>
          <w:bCs/>
          <w:sz w:val="40"/>
          <w:szCs w:val="40"/>
          <w:lang w:val="zh-CN"/>
        </w:rPr>
        <w:t>年</w:t>
      </w:r>
      <w:r>
        <w:rPr>
          <w:rFonts w:hint="eastAsia"/>
          <w:b/>
          <w:bCs/>
          <w:sz w:val="40"/>
          <w:szCs w:val="40"/>
        </w:rPr>
        <w:t>2</w:t>
      </w:r>
      <w:r>
        <w:rPr>
          <w:b/>
          <w:bCs/>
          <w:sz w:val="40"/>
          <w:szCs w:val="40"/>
          <w:lang w:val="zh-CN"/>
        </w:rPr>
        <w:t>月</w:t>
      </w:r>
    </w:p>
    <w:p w14:paraId="33D3F23F">
      <w:pPr>
        <w:ind w:firstLine="480"/>
        <w:rPr>
          <w:rFonts w:hint="eastAsia"/>
        </w:rPr>
      </w:pPr>
    </w:p>
    <w:p w14:paraId="3B528466">
      <w:pPr>
        <w:ind w:firstLine="480"/>
        <w:rPr>
          <w:rFonts w:hint="eastAsia"/>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425" w:num="1"/>
          <w:docGrid w:type="lines" w:linePitch="312" w:charSpace="0"/>
        </w:sectPr>
      </w:pPr>
    </w:p>
    <w:p w14:paraId="79C69B72">
      <w:pPr>
        <w:ind w:firstLine="480"/>
        <w:rPr>
          <w:rFonts w:hint="eastAsia"/>
        </w:rPr>
      </w:pPr>
    </w:p>
    <w:sdt>
      <w:sdtPr>
        <w:rPr>
          <w:b/>
          <w:bCs/>
          <w:sz w:val="36"/>
          <w:szCs w:val="36"/>
        </w:rPr>
        <w:id w:val="147462421"/>
        <w15:color w:val="DBDBDB"/>
        <w:docPartObj>
          <w:docPartGallery w:val="Table of Contents"/>
          <w:docPartUnique/>
        </w:docPartObj>
      </w:sdtPr>
      <w:sdtEndPr>
        <w:rPr>
          <w:rFonts w:hint="eastAsia"/>
          <w:b/>
          <w:bCs/>
          <w:sz w:val="24"/>
          <w:szCs w:val="24"/>
        </w:rPr>
      </w:sdtEndPr>
      <w:sdtContent>
        <w:p w14:paraId="53466A29">
          <w:pPr>
            <w:spacing w:line="240" w:lineRule="auto"/>
            <w:ind w:firstLine="0" w:firstLineChars="0"/>
            <w:jc w:val="center"/>
            <w:rPr>
              <w:rFonts w:hint="eastAsia"/>
              <w:b/>
              <w:bCs/>
              <w:sz w:val="36"/>
              <w:szCs w:val="36"/>
            </w:rPr>
          </w:pPr>
          <w:r>
            <w:rPr>
              <w:b/>
              <w:bCs/>
              <w:sz w:val="36"/>
              <w:szCs w:val="36"/>
            </w:rPr>
            <w:t>目录</w:t>
          </w:r>
        </w:p>
        <w:p w14:paraId="443B5D55">
          <w:pPr>
            <w:pStyle w:val="14"/>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pPr>
          <w:r>
            <w:rPr>
              <w:rFonts w:hint="eastAsia"/>
            </w:rPr>
            <w:fldChar w:fldCharType="begin"/>
          </w:r>
          <w:r>
            <w:rPr>
              <w:rFonts w:hint="eastAsia"/>
            </w:rPr>
            <w:instrText xml:space="preserve">TOC \o "1-3" \h \u </w:instrText>
          </w:r>
          <w:r>
            <w:rPr>
              <w:rFonts w:hint="eastAsia"/>
            </w:rPr>
            <w:fldChar w:fldCharType="separate"/>
          </w:r>
          <w:r>
            <w:rPr>
              <w:rFonts w:hint="eastAsia"/>
            </w:rPr>
            <w:fldChar w:fldCharType="begin"/>
          </w:r>
          <w:r>
            <w:rPr>
              <w:rFonts w:hint="eastAsia"/>
            </w:rPr>
            <w:instrText xml:space="preserve"> HYPERLINK \l _Toc11410 </w:instrText>
          </w:r>
          <w:r>
            <w:rPr>
              <w:rFonts w:hint="eastAsia"/>
            </w:rPr>
            <w:fldChar w:fldCharType="separate"/>
          </w:r>
          <w:r>
            <w:rPr>
              <w:rFonts w:hint="eastAsia"/>
            </w:rPr>
            <w:t>一、 公司简介</w:t>
          </w:r>
          <w:r>
            <w:tab/>
          </w:r>
          <w:r>
            <w:fldChar w:fldCharType="begin"/>
          </w:r>
          <w:r>
            <w:instrText xml:space="preserve"> PAGEREF _Toc11410 \h </w:instrText>
          </w:r>
          <w:r>
            <w:fldChar w:fldCharType="separate"/>
          </w:r>
          <w:r>
            <w:t>2</w:t>
          </w:r>
          <w:r>
            <w:fldChar w:fldCharType="end"/>
          </w:r>
          <w:r>
            <w:rPr>
              <w:rFonts w:hint="eastAsia"/>
            </w:rPr>
            <w:fldChar w:fldCharType="end"/>
          </w:r>
        </w:p>
        <w:p w14:paraId="11C82CE7">
          <w:pPr>
            <w:pStyle w:val="14"/>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pPr>
          <w:r>
            <w:rPr>
              <w:rFonts w:hint="eastAsia"/>
            </w:rPr>
            <w:fldChar w:fldCharType="begin"/>
          </w:r>
          <w:r>
            <w:rPr>
              <w:rFonts w:hint="eastAsia"/>
            </w:rPr>
            <w:instrText xml:space="preserve"> HYPERLINK \l _Toc23081 </w:instrText>
          </w:r>
          <w:r>
            <w:rPr>
              <w:rFonts w:hint="eastAsia"/>
            </w:rPr>
            <w:fldChar w:fldCharType="separate"/>
          </w:r>
          <w:r>
            <w:rPr>
              <w:rFonts w:hint="eastAsia"/>
            </w:rPr>
            <w:t>二、 农村供水水质监测概述</w:t>
          </w:r>
          <w:r>
            <w:tab/>
          </w:r>
          <w:r>
            <w:fldChar w:fldCharType="begin"/>
          </w:r>
          <w:r>
            <w:instrText xml:space="preserve"> PAGEREF _Toc23081 \h </w:instrText>
          </w:r>
          <w:r>
            <w:fldChar w:fldCharType="separate"/>
          </w:r>
          <w:r>
            <w:t>3</w:t>
          </w:r>
          <w:r>
            <w:fldChar w:fldCharType="end"/>
          </w:r>
          <w:r>
            <w:rPr>
              <w:rFonts w:hint="eastAsia"/>
            </w:rPr>
            <w:fldChar w:fldCharType="end"/>
          </w:r>
        </w:p>
        <w:p w14:paraId="5D8D77A9">
          <w:pPr>
            <w:pStyle w:val="1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pPr>
          <w:r>
            <w:rPr>
              <w:rFonts w:hint="eastAsia"/>
            </w:rPr>
            <w:fldChar w:fldCharType="begin"/>
          </w:r>
          <w:r>
            <w:rPr>
              <w:rFonts w:hint="eastAsia"/>
            </w:rPr>
            <w:instrText xml:space="preserve"> HYPERLINK \l _Toc21440 </w:instrText>
          </w:r>
          <w:r>
            <w:rPr>
              <w:rFonts w:hint="eastAsia"/>
            </w:rPr>
            <w:fldChar w:fldCharType="separate"/>
          </w:r>
          <w:r>
            <w:rPr>
              <w:rFonts w:hint="eastAsia"/>
            </w:rPr>
            <w:t>2.1. 农村供水行业背景</w:t>
          </w:r>
          <w:r>
            <w:tab/>
          </w:r>
          <w:r>
            <w:fldChar w:fldCharType="begin"/>
          </w:r>
          <w:r>
            <w:instrText xml:space="preserve"> PAGEREF _Toc21440 \h </w:instrText>
          </w:r>
          <w:r>
            <w:fldChar w:fldCharType="separate"/>
          </w:r>
          <w:r>
            <w:t>3</w:t>
          </w:r>
          <w:r>
            <w:fldChar w:fldCharType="end"/>
          </w:r>
          <w:r>
            <w:rPr>
              <w:rFonts w:hint="eastAsia"/>
            </w:rPr>
            <w:fldChar w:fldCharType="end"/>
          </w:r>
        </w:p>
        <w:p w14:paraId="104909C9">
          <w:pPr>
            <w:pStyle w:val="1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pPr>
          <w:r>
            <w:rPr>
              <w:rFonts w:hint="eastAsia"/>
            </w:rPr>
            <w:fldChar w:fldCharType="begin"/>
          </w:r>
          <w:r>
            <w:rPr>
              <w:rFonts w:hint="eastAsia"/>
            </w:rPr>
            <w:instrText xml:space="preserve"> HYPERLINK \l _Toc32473 </w:instrText>
          </w:r>
          <w:r>
            <w:rPr>
              <w:rFonts w:hint="eastAsia"/>
            </w:rPr>
            <w:fldChar w:fldCharType="separate"/>
          </w:r>
          <w:r>
            <w:rPr>
              <w:rFonts w:hint="eastAsia"/>
            </w:rPr>
            <w:t>2.2. 农村供水水质监测特点</w:t>
          </w:r>
          <w:r>
            <w:tab/>
          </w:r>
          <w:r>
            <w:fldChar w:fldCharType="begin"/>
          </w:r>
          <w:r>
            <w:instrText xml:space="preserve"> PAGEREF _Toc32473 \h </w:instrText>
          </w:r>
          <w:r>
            <w:fldChar w:fldCharType="separate"/>
          </w:r>
          <w:r>
            <w:t>4</w:t>
          </w:r>
          <w:r>
            <w:fldChar w:fldCharType="end"/>
          </w:r>
          <w:r>
            <w:rPr>
              <w:rFonts w:hint="eastAsia"/>
            </w:rPr>
            <w:fldChar w:fldCharType="end"/>
          </w:r>
        </w:p>
        <w:p w14:paraId="26C01B77">
          <w:pPr>
            <w:pStyle w:val="14"/>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pPr>
          <w:r>
            <w:rPr>
              <w:rFonts w:hint="eastAsia"/>
            </w:rPr>
            <w:fldChar w:fldCharType="begin"/>
          </w:r>
          <w:r>
            <w:rPr>
              <w:rFonts w:hint="eastAsia"/>
            </w:rPr>
            <w:instrText xml:space="preserve"> HYPERLINK \l _Toc6434 </w:instrText>
          </w:r>
          <w:r>
            <w:rPr>
              <w:rFonts w:hint="eastAsia"/>
            </w:rPr>
            <w:fldChar w:fldCharType="separate"/>
          </w:r>
          <w:r>
            <w:rPr>
              <w:rFonts w:hint="eastAsia"/>
            </w:rPr>
            <w:t>三、 建设方案设计</w:t>
          </w:r>
          <w:r>
            <w:tab/>
          </w:r>
          <w:r>
            <w:fldChar w:fldCharType="begin"/>
          </w:r>
          <w:r>
            <w:instrText xml:space="preserve"> PAGEREF _Toc6434 \h </w:instrText>
          </w:r>
          <w:r>
            <w:fldChar w:fldCharType="separate"/>
          </w:r>
          <w:r>
            <w:t>6</w:t>
          </w:r>
          <w:r>
            <w:fldChar w:fldCharType="end"/>
          </w:r>
          <w:r>
            <w:rPr>
              <w:rFonts w:hint="eastAsia"/>
            </w:rPr>
            <w:fldChar w:fldCharType="end"/>
          </w:r>
        </w:p>
        <w:p w14:paraId="7C77C433">
          <w:pPr>
            <w:pStyle w:val="1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pPr>
          <w:r>
            <w:rPr>
              <w:rFonts w:hint="eastAsia"/>
            </w:rPr>
            <w:fldChar w:fldCharType="begin"/>
          </w:r>
          <w:r>
            <w:rPr>
              <w:rFonts w:hint="eastAsia"/>
            </w:rPr>
            <w:instrText xml:space="preserve"> HYPERLINK \l _Toc3583 </w:instrText>
          </w:r>
          <w:r>
            <w:rPr>
              <w:rFonts w:hint="eastAsia"/>
            </w:rPr>
            <w:fldChar w:fldCharType="separate"/>
          </w:r>
          <w:r>
            <w:rPr>
              <w:rFonts w:hint="eastAsia"/>
            </w:rPr>
            <w:t>3.1. 系统框架图</w:t>
          </w:r>
          <w:r>
            <w:tab/>
          </w:r>
          <w:r>
            <w:fldChar w:fldCharType="begin"/>
          </w:r>
          <w:r>
            <w:instrText xml:space="preserve"> PAGEREF _Toc3583 \h </w:instrText>
          </w:r>
          <w:r>
            <w:fldChar w:fldCharType="separate"/>
          </w:r>
          <w:r>
            <w:t>6</w:t>
          </w:r>
          <w:r>
            <w:fldChar w:fldCharType="end"/>
          </w:r>
          <w:r>
            <w:rPr>
              <w:rFonts w:hint="eastAsia"/>
            </w:rPr>
            <w:fldChar w:fldCharType="end"/>
          </w:r>
        </w:p>
        <w:p w14:paraId="67799F33">
          <w:pPr>
            <w:pStyle w:val="1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pPr>
          <w:r>
            <w:rPr>
              <w:rFonts w:hint="eastAsia"/>
            </w:rPr>
            <w:fldChar w:fldCharType="begin"/>
          </w:r>
          <w:r>
            <w:rPr>
              <w:rFonts w:hint="eastAsia"/>
            </w:rPr>
            <w:instrText xml:space="preserve"> HYPERLINK \l _Toc24817 </w:instrText>
          </w:r>
          <w:r>
            <w:rPr>
              <w:rFonts w:hint="eastAsia"/>
            </w:rPr>
            <w:fldChar w:fldCharType="separate"/>
          </w:r>
          <w:r>
            <w:rPr>
              <w:rFonts w:hint="eastAsia"/>
            </w:rPr>
            <w:t>3.2. 设备选型策略</w:t>
          </w:r>
          <w:r>
            <w:tab/>
          </w:r>
          <w:r>
            <w:fldChar w:fldCharType="begin"/>
          </w:r>
          <w:r>
            <w:instrText xml:space="preserve"> PAGEREF _Toc24817 \h </w:instrText>
          </w:r>
          <w:r>
            <w:fldChar w:fldCharType="separate"/>
          </w:r>
          <w:r>
            <w:t>7</w:t>
          </w:r>
          <w:r>
            <w:fldChar w:fldCharType="end"/>
          </w:r>
          <w:r>
            <w:rPr>
              <w:rFonts w:hint="eastAsia"/>
            </w:rPr>
            <w:fldChar w:fldCharType="end"/>
          </w:r>
        </w:p>
        <w:p w14:paraId="0F33D6BD">
          <w:pPr>
            <w:pStyle w:val="14"/>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pPr>
          <w:r>
            <w:rPr>
              <w:rFonts w:hint="eastAsia"/>
            </w:rPr>
            <w:fldChar w:fldCharType="begin"/>
          </w:r>
          <w:r>
            <w:rPr>
              <w:rFonts w:hint="eastAsia"/>
            </w:rPr>
            <w:instrText xml:space="preserve"> HYPERLINK \l _Toc7532 </w:instrText>
          </w:r>
          <w:r>
            <w:rPr>
              <w:rFonts w:hint="eastAsia"/>
            </w:rPr>
            <w:fldChar w:fldCharType="separate"/>
          </w:r>
          <w:r>
            <w:rPr>
              <w:rFonts w:hint="eastAsia"/>
            </w:rPr>
            <w:t>四、 产品介绍</w:t>
          </w:r>
          <w:r>
            <w:tab/>
          </w:r>
          <w:r>
            <w:fldChar w:fldCharType="begin"/>
          </w:r>
          <w:r>
            <w:instrText xml:space="preserve"> PAGEREF _Toc7532 \h </w:instrText>
          </w:r>
          <w:r>
            <w:fldChar w:fldCharType="separate"/>
          </w:r>
          <w:r>
            <w:t>9</w:t>
          </w:r>
          <w:r>
            <w:fldChar w:fldCharType="end"/>
          </w:r>
          <w:r>
            <w:rPr>
              <w:rFonts w:hint="eastAsia"/>
            </w:rPr>
            <w:fldChar w:fldCharType="end"/>
          </w:r>
        </w:p>
        <w:p w14:paraId="252DD976">
          <w:pPr>
            <w:pStyle w:val="1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pPr>
          <w:r>
            <w:rPr>
              <w:rFonts w:hint="eastAsia"/>
            </w:rPr>
            <w:fldChar w:fldCharType="begin"/>
          </w:r>
          <w:r>
            <w:rPr>
              <w:rFonts w:hint="eastAsia"/>
            </w:rPr>
            <w:instrText xml:space="preserve"> HYPERLINK \l _Toc10804 </w:instrText>
          </w:r>
          <w:r>
            <w:rPr>
              <w:rFonts w:hint="eastAsia"/>
            </w:rPr>
            <w:fldChar w:fldCharType="separate"/>
          </w:r>
          <w:r>
            <w:rPr>
              <w:rFonts w:hint="eastAsia"/>
            </w:rPr>
            <w:t>4.1. 技术参数</w:t>
          </w:r>
          <w:r>
            <w:tab/>
          </w:r>
          <w:r>
            <w:fldChar w:fldCharType="begin"/>
          </w:r>
          <w:r>
            <w:instrText xml:space="preserve"> PAGEREF _Toc10804 \h </w:instrText>
          </w:r>
          <w:r>
            <w:fldChar w:fldCharType="separate"/>
          </w:r>
          <w:r>
            <w:t>9</w:t>
          </w:r>
          <w:r>
            <w:fldChar w:fldCharType="end"/>
          </w:r>
          <w:r>
            <w:rPr>
              <w:rFonts w:hint="eastAsia"/>
            </w:rPr>
            <w:fldChar w:fldCharType="end"/>
          </w:r>
        </w:p>
        <w:p w14:paraId="4517BD6E">
          <w:pPr>
            <w:pStyle w:val="1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pPr>
          <w:r>
            <w:rPr>
              <w:rFonts w:hint="eastAsia"/>
            </w:rPr>
            <w:fldChar w:fldCharType="begin"/>
          </w:r>
          <w:r>
            <w:rPr>
              <w:rFonts w:hint="eastAsia"/>
            </w:rPr>
            <w:instrText xml:space="preserve"> HYPERLINK \l _Toc22181 </w:instrText>
          </w:r>
          <w:r>
            <w:rPr>
              <w:rFonts w:hint="eastAsia"/>
            </w:rPr>
            <w:fldChar w:fldCharType="separate"/>
          </w:r>
          <w:r>
            <w:rPr>
              <w:rFonts w:hint="eastAsia"/>
            </w:rPr>
            <w:t>4.2. 场景适配性</w:t>
          </w:r>
          <w:r>
            <w:tab/>
          </w:r>
          <w:r>
            <w:fldChar w:fldCharType="begin"/>
          </w:r>
          <w:r>
            <w:instrText xml:space="preserve"> PAGEREF _Toc22181 \h </w:instrText>
          </w:r>
          <w:r>
            <w:fldChar w:fldCharType="separate"/>
          </w:r>
          <w:r>
            <w:t>12</w:t>
          </w:r>
          <w:r>
            <w:fldChar w:fldCharType="end"/>
          </w:r>
          <w:r>
            <w:rPr>
              <w:rFonts w:hint="eastAsia"/>
            </w:rPr>
            <w:fldChar w:fldCharType="end"/>
          </w:r>
        </w:p>
        <w:p w14:paraId="7BB1691C">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pPr>
          <w:r>
            <w:rPr>
              <w:rFonts w:hint="eastAsia"/>
            </w:rPr>
            <w:fldChar w:fldCharType="begin"/>
          </w:r>
          <w:r>
            <w:rPr>
              <w:rFonts w:hint="eastAsia"/>
            </w:rPr>
            <w:instrText xml:space="preserve"> HYPERLINK \l _Toc19621 </w:instrText>
          </w:r>
          <w:r>
            <w:rPr>
              <w:rFonts w:hint="eastAsia"/>
            </w:rPr>
            <w:fldChar w:fldCharType="separate"/>
          </w:r>
          <w:r>
            <w:rPr>
              <w:rFonts w:hint="eastAsia"/>
            </w:rPr>
            <w:t xml:space="preserve">4.2.1. </w:t>
          </w:r>
          <w:r>
            <w:rPr>
              <w:rFonts w:hint="eastAsia"/>
              <w:lang w:val="en-US" w:eastAsia="zh-CN"/>
            </w:rPr>
            <w:t>进水管道</w:t>
          </w:r>
          <w:r>
            <w:tab/>
          </w:r>
          <w:r>
            <w:fldChar w:fldCharType="begin"/>
          </w:r>
          <w:r>
            <w:instrText xml:space="preserve"> PAGEREF _Toc19621 \h </w:instrText>
          </w:r>
          <w:r>
            <w:fldChar w:fldCharType="separate"/>
          </w:r>
          <w:r>
            <w:t>12</w:t>
          </w:r>
          <w:r>
            <w:fldChar w:fldCharType="end"/>
          </w:r>
          <w:r>
            <w:rPr>
              <w:rFonts w:hint="eastAsia"/>
            </w:rPr>
            <w:fldChar w:fldCharType="end"/>
          </w:r>
        </w:p>
        <w:p w14:paraId="7165867F">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pPr>
          <w:r>
            <w:rPr>
              <w:rFonts w:hint="eastAsia"/>
            </w:rPr>
            <w:fldChar w:fldCharType="begin"/>
          </w:r>
          <w:r>
            <w:rPr>
              <w:rFonts w:hint="eastAsia"/>
            </w:rPr>
            <w:instrText xml:space="preserve"> HYPERLINK \l _Toc23960 </w:instrText>
          </w:r>
          <w:r>
            <w:rPr>
              <w:rFonts w:hint="eastAsia"/>
            </w:rPr>
            <w:fldChar w:fldCharType="separate"/>
          </w:r>
          <w:r>
            <w:rPr>
              <w:rFonts w:hint="eastAsia"/>
            </w:rPr>
            <w:t>4.2.2. 反应沉淀池/清水池</w:t>
          </w:r>
          <w:r>
            <w:tab/>
          </w:r>
          <w:r>
            <w:fldChar w:fldCharType="begin"/>
          </w:r>
          <w:r>
            <w:instrText xml:space="preserve"> PAGEREF _Toc23960 \h </w:instrText>
          </w:r>
          <w:r>
            <w:fldChar w:fldCharType="separate"/>
          </w:r>
          <w:r>
            <w:t>12</w:t>
          </w:r>
          <w:r>
            <w:fldChar w:fldCharType="end"/>
          </w:r>
          <w:r>
            <w:rPr>
              <w:rFonts w:hint="eastAsia"/>
            </w:rPr>
            <w:fldChar w:fldCharType="end"/>
          </w:r>
        </w:p>
        <w:p w14:paraId="634E73E0">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pPr>
          <w:r>
            <w:rPr>
              <w:rFonts w:hint="eastAsia"/>
            </w:rPr>
            <w:fldChar w:fldCharType="begin"/>
          </w:r>
          <w:r>
            <w:rPr>
              <w:rFonts w:hint="eastAsia"/>
            </w:rPr>
            <w:instrText xml:space="preserve"> HYPERLINK \l _Toc25369 </w:instrText>
          </w:r>
          <w:r>
            <w:rPr>
              <w:rFonts w:hint="eastAsia"/>
            </w:rPr>
            <w:fldChar w:fldCharType="separate"/>
          </w:r>
          <w:r>
            <w:rPr>
              <w:rFonts w:hint="eastAsia"/>
            </w:rPr>
            <w:t>4.2.3. 回收水池</w:t>
          </w:r>
          <w:r>
            <w:tab/>
          </w:r>
          <w:r>
            <w:fldChar w:fldCharType="begin"/>
          </w:r>
          <w:r>
            <w:instrText xml:space="preserve"> PAGEREF _Toc25369 \h </w:instrText>
          </w:r>
          <w:r>
            <w:fldChar w:fldCharType="separate"/>
          </w:r>
          <w:r>
            <w:t>13</w:t>
          </w:r>
          <w:r>
            <w:fldChar w:fldCharType="end"/>
          </w:r>
          <w:r>
            <w:rPr>
              <w:rFonts w:hint="eastAsia"/>
            </w:rPr>
            <w:fldChar w:fldCharType="end"/>
          </w:r>
        </w:p>
        <w:p w14:paraId="22E83825">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pPr>
          <w:r>
            <w:rPr>
              <w:rFonts w:hint="eastAsia"/>
            </w:rPr>
            <w:fldChar w:fldCharType="begin"/>
          </w:r>
          <w:r>
            <w:rPr>
              <w:rFonts w:hint="eastAsia"/>
            </w:rPr>
            <w:instrText xml:space="preserve"> HYPERLINK \l _Toc13819 </w:instrText>
          </w:r>
          <w:r>
            <w:rPr>
              <w:rFonts w:hint="eastAsia"/>
            </w:rPr>
            <w:fldChar w:fldCharType="separate"/>
          </w:r>
          <w:r>
            <w:rPr>
              <w:rFonts w:hint="eastAsia"/>
            </w:rPr>
            <w:t xml:space="preserve">4.2.4. </w:t>
          </w:r>
          <w:r>
            <w:rPr>
              <w:rFonts w:hint="eastAsia"/>
              <w:lang w:val="en-US" w:eastAsia="zh-CN"/>
            </w:rPr>
            <w:t>消毒池</w:t>
          </w:r>
          <w:r>
            <w:tab/>
          </w:r>
          <w:r>
            <w:fldChar w:fldCharType="begin"/>
          </w:r>
          <w:r>
            <w:instrText xml:space="preserve"> PAGEREF _Toc13819 \h </w:instrText>
          </w:r>
          <w:r>
            <w:fldChar w:fldCharType="separate"/>
          </w:r>
          <w:r>
            <w:t>14</w:t>
          </w:r>
          <w:r>
            <w:fldChar w:fldCharType="end"/>
          </w:r>
          <w:r>
            <w:rPr>
              <w:rFonts w:hint="eastAsia"/>
            </w:rPr>
            <w:fldChar w:fldCharType="end"/>
          </w:r>
        </w:p>
        <w:p w14:paraId="76D5AA26">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pPr>
          <w:r>
            <w:rPr>
              <w:rFonts w:hint="eastAsia"/>
            </w:rPr>
            <w:fldChar w:fldCharType="begin"/>
          </w:r>
          <w:r>
            <w:rPr>
              <w:rFonts w:hint="eastAsia"/>
            </w:rPr>
            <w:instrText xml:space="preserve"> HYPERLINK \l _Toc11731 </w:instrText>
          </w:r>
          <w:r>
            <w:rPr>
              <w:rFonts w:hint="eastAsia"/>
            </w:rPr>
            <w:fldChar w:fldCharType="separate"/>
          </w:r>
          <w:r>
            <w:rPr>
              <w:rFonts w:hint="eastAsia"/>
            </w:rPr>
            <w:t xml:space="preserve">4.2.5. </w:t>
          </w:r>
          <w:r>
            <w:rPr>
              <w:rFonts w:hint="eastAsia"/>
              <w:lang w:val="en-US" w:eastAsia="zh-CN"/>
            </w:rPr>
            <w:t>出水管道</w:t>
          </w:r>
          <w:r>
            <w:tab/>
          </w:r>
          <w:r>
            <w:fldChar w:fldCharType="begin"/>
          </w:r>
          <w:r>
            <w:instrText xml:space="preserve"> PAGEREF _Toc11731 \h </w:instrText>
          </w:r>
          <w:r>
            <w:fldChar w:fldCharType="separate"/>
          </w:r>
          <w:r>
            <w:t>14</w:t>
          </w:r>
          <w:r>
            <w:fldChar w:fldCharType="end"/>
          </w:r>
          <w:r>
            <w:rPr>
              <w:rFonts w:hint="eastAsia"/>
            </w:rPr>
            <w:fldChar w:fldCharType="end"/>
          </w:r>
        </w:p>
        <w:p w14:paraId="70C66FDB">
          <w:pPr>
            <w:pStyle w:val="14"/>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pPr>
          <w:r>
            <w:rPr>
              <w:rFonts w:hint="eastAsia"/>
            </w:rPr>
            <w:fldChar w:fldCharType="begin"/>
          </w:r>
          <w:r>
            <w:rPr>
              <w:rFonts w:hint="eastAsia"/>
            </w:rPr>
            <w:instrText xml:space="preserve"> HYPERLINK \l _Toc25801 </w:instrText>
          </w:r>
          <w:r>
            <w:rPr>
              <w:rFonts w:hint="eastAsia"/>
            </w:rPr>
            <w:fldChar w:fldCharType="separate"/>
          </w:r>
          <w:r>
            <w:rPr>
              <w:rFonts w:hint="eastAsia"/>
            </w:rPr>
            <w:t>五、 设备寿命及维护</w:t>
          </w:r>
          <w:r>
            <w:tab/>
          </w:r>
          <w:r>
            <w:fldChar w:fldCharType="begin"/>
          </w:r>
          <w:r>
            <w:instrText xml:space="preserve"> PAGEREF _Toc25801 \h </w:instrText>
          </w:r>
          <w:r>
            <w:fldChar w:fldCharType="separate"/>
          </w:r>
          <w:r>
            <w:t>15</w:t>
          </w:r>
          <w:r>
            <w:fldChar w:fldCharType="end"/>
          </w:r>
          <w:r>
            <w:rPr>
              <w:rFonts w:hint="eastAsia"/>
            </w:rPr>
            <w:fldChar w:fldCharType="end"/>
          </w:r>
        </w:p>
        <w:p w14:paraId="4E5AB8DD">
          <w:pPr>
            <w:pStyle w:val="1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pPr>
          <w:r>
            <w:rPr>
              <w:rFonts w:hint="eastAsia"/>
            </w:rPr>
            <w:fldChar w:fldCharType="begin"/>
          </w:r>
          <w:r>
            <w:rPr>
              <w:rFonts w:hint="eastAsia"/>
            </w:rPr>
            <w:instrText xml:space="preserve"> HYPERLINK \l _Toc21660 </w:instrText>
          </w:r>
          <w:r>
            <w:rPr>
              <w:rFonts w:hint="eastAsia"/>
            </w:rPr>
            <w:fldChar w:fldCharType="separate"/>
          </w:r>
          <w:r>
            <w:rPr>
              <w:rFonts w:hint="eastAsia"/>
            </w:rPr>
            <w:t>5.1. 设备寿命周期与维护周期表</w:t>
          </w:r>
          <w:r>
            <w:tab/>
          </w:r>
          <w:r>
            <w:fldChar w:fldCharType="begin"/>
          </w:r>
          <w:r>
            <w:instrText xml:space="preserve"> PAGEREF _Toc21660 \h </w:instrText>
          </w:r>
          <w:r>
            <w:fldChar w:fldCharType="separate"/>
          </w:r>
          <w:r>
            <w:t>15</w:t>
          </w:r>
          <w:r>
            <w:fldChar w:fldCharType="end"/>
          </w:r>
          <w:r>
            <w:rPr>
              <w:rFonts w:hint="eastAsia"/>
            </w:rPr>
            <w:fldChar w:fldCharType="end"/>
          </w:r>
        </w:p>
        <w:p w14:paraId="0FCEFDE8">
          <w:pPr>
            <w:pStyle w:val="1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pPr>
          <w:r>
            <w:rPr>
              <w:rFonts w:hint="eastAsia"/>
            </w:rPr>
            <w:fldChar w:fldCharType="begin"/>
          </w:r>
          <w:r>
            <w:rPr>
              <w:rFonts w:hint="eastAsia"/>
            </w:rPr>
            <w:instrText xml:space="preserve"> HYPERLINK \l _Toc13940 </w:instrText>
          </w:r>
          <w:r>
            <w:rPr>
              <w:rFonts w:hint="eastAsia"/>
            </w:rPr>
            <w:fldChar w:fldCharType="separate"/>
          </w:r>
          <w:r>
            <w:rPr>
              <w:rFonts w:hint="eastAsia"/>
            </w:rPr>
            <w:t xml:space="preserve">5.2. </w:t>
          </w:r>
          <w:r>
            <w:rPr>
              <w:rFonts w:hint="eastAsia"/>
              <w:lang w:val="en-US" w:eastAsia="zh-CN"/>
            </w:rPr>
            <w:t>设备</w:t>
          </w:r>
          <w:r>
            <w:rPr>
              <w:rFonts w:hint="eastAsia"/>
            </w:rPr>
            <w:t>日常维护</w:t>
          </w:r>
          <w:r>
            <w:tab/>
          </w:r>
          <w:r>
            <w:fldChar w:fldCharType="begin"/>
          </w:r>
          <w:r>
            <w:instrText xml:space="preserve"> PAGEREF _Toc13940 \h </w:instrText>
          </w:r>
          <w:r>
            <w:fldChar w:fldCharType="separate"/>
          </w:r>
          <w:r>
            <w:t>16</w:t>
          </w:r>
          <w:r>
            <w:fldChar w:fldCharType="end"/>
          </w:r>
          <w:r>
            <w:rPr>
              <w:rFonts w:hint="eastAsia"/>
            </w:rPr>
            <w:fldChar w:fldCharType="end"/>
          </w:r>
        </w:p>
        <w:p w14:paraId="0FAB1676">
          <w:pPr>
            <w:pStyle w:val="1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pPr>
          <w:r>
            <w:rPr>
              <w:rFonts w:hint="eastAsia"/>
            </w:rPr>
            <w:fldChar w:fldCharType="begin"/>
          </w:r>
          <w:r>
            <w:rPr>
              <w:rFonts w:hint="eastAsia"/>
            </w:rPr>
            <w:instrText xml:space="preserve"> HYPERLINK \l _Toc28330 </w:instrText>
          </w:r>
          <w:r>
            <w:rPr>
              <w:rFonts w:hint="eastAsia"/>
            </w:rPr>
            <w:fldChar w:fldCharType="separate"/>
          </w:r>
          <w:r>
            <w:rPr>
              <w:rFonts w:hint="eastAsia"/>
            </w:rPr>
            <w:t xml:space="preserve">5.3. </w:t>
          </w:r>
          <w:r>
            <w:rPr>
              <w:rFonts w:hint="eastAsia"/>
              <w:lang w:val="en-US" w:eastAsia="zh-CN"/>
            </w:rPr>
            <w:t>设备</w:t>
          </w:r>
          <w:r>
            <w:rPr>
              <w:rFonts w:hint="eastAsia"/>
            </w:rPr>
            <w:t>维护注意事项</w:t>
          </w:r>
          <w:r>
            <w:tab/>
          </w:r>
          <w:r>
            <w:fldChar w:fldCharType="begin"/>
          </w:r>
          <w:r>
            <w:instrText xml:space="preserve"> PAGEREF _Toc28330 \h </w:instrText>
          </w:r>
          <w:r>
            <w:fldChar w:fldCharType="separate"/>
          </w:r>
          <w:r>
            <w:t>20</w:t>
          </w:r>
          <w:r>
            <w:fldChar w:fldCharType="end"/>
          </w:r>
          <w:r>
            <w:rPr>
              <w:rFonts w:hint="eastAsia"/>
            </w:rPr>
            <w:fldChar w:fldCharType="end"/>
          </w:r>
        </w:p>
        <w:p w14:paraId="4EDBE158">
          <w:pPr>
            <w:pStyle w:val="14"/>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pPr>
          <w:r>
            <w:rPr>
              <w:rFonts w:hint="eastAsia"/>
            </w:rPr>
            <w:fldChar w:fldCharType="begin"/>
          </w:r>
          <w:r>
            <w:rPr>
              <w:rFonts w:hint="eastAsia"/>
            </w:rPr>
            <w:instrText xml:space="preserve"> HYPERLINK \l _Toc6078 </w:instrText>
          </w:r>
          <w:r>
            <w:rPr>
              <w:rFonts w:hint="eastAsia"/>
            </w:rPr>
            <w:fldChar w:fldCharType="separate"/>
          </w:r>
          <w:r>
            <w:rPr>
              <w:rFonts w:hint="eastAsia"/>
            </w:rPr>
            <w:t>六、 案例展示</w:t>
          </w:r>
          <w:r>
            <w:tab/>
          </w:r>
          <w:r>
            <w:fldChar w:fldCharType="begin"/>
          </w:r>
          <w:r>
            <w:instrText xml:space="preserve"> PAGEREF _Toc6078 \h </w:instrText>
          </w:r>
          <w:r>
            <w:fldChar w:fldCharType="separate"/>
          </w:r>
          <w:r>
            <w:t>25</w:t>
          </w:r>
          <w:r>
            <w:fldChar w:fldCharType="end"/>
          </w:r>
          <w:r>
            <w:rPr>
              <w:rFonts w:hint="eastAsia"/>
            </w:rPr>
            <w:fldChar w:fldCharType="end"/>
          </w:r>
        </w:p>
        <w:p w14:paraId="47F0BF3B">
          <w:pPr>
            <w:pStyle w:val="1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pPr>
          <w:r>
            <w:rPr>
              <w:rFonts w:hint="eastAsia"/>
            </w:rPr>
            <w:fldChar w:fldCharType="begin"/>
          </w:r>
          <w:r>
            <w:rPr>
              <w:rFonts w:hint="eastAsia"/>
            </w:rPr>
            <w:instrText xml:space="preserve"> HYPERLINK \l _Toc9871 </w:instrText>
          </w:r>
          <w:r>
            <w:rPr>
              <w:rFonts w:hint="eastAsia"/>
            </w:rPr>
            <w:fldChar w:fldCharType="separate"/>
          </w:r>
          <w:r>
            <w:rPr>
              <w:rFonts w:hint="eastAsia"/>
            </w:rPr>
            <w:t xml:space="preserve">6.1. </w:t>
          </w:r>
          <w:r>
            <w:rPr>
              <w:rFonts w:hint="eastAsia"/>
              <w:bCs/>
            </w:rPr>
            <w:t>案例一：</w:t>
          </w:r>
          <w:r>
            <w:rPr>
              <w:rFonts w:hint="eastAsia"/>
            </w:rPr>
            <w:t>某镇</w:t>
          </w:r>
          <w:r>
            <w:rPr>
              <w:rFonts w:hint="eastAsia"/>
              <w:lang w:val="en-US" w:eastAsia="zh-CN"/>
            </w:rPr>
            <w:t>供水站</w:t>
          </w:r>
          <w:r>
            <w:rPr>
              <w:rFonts w:hint="eastAsia"/>
            </w:rPr>
            <w:t>水质微站系统。</w:t>
          </w:r>
          <w:r>
            <w:tab/>
          </w:r>
          <w:r>
            <w:fldChar w:fldCharType="begin"/>
          </w:r>
          <w:r>
            <w:instrText xml:space="preserve"> PAGEREF _Toc9871 \h </w:instrText>
          </w:r>
          <w:r>
            <w:fldChar w:fldCharType="separate"/>
          </w:r>
          <w:r>
            <w:t>25</w:t>
          </w:r>
          <w:r>
            <w:fldChar w:fldCharType="end"/>
          </w:r>
          <w:r>
            <w:rPr>
              <w:rFonts w:hint="eastAsia"/>
            </w:rPr>
            <w:fldChar w:fldCharType="end"/>
          </w:r>
        </w:p>
        <w:p w14:paraId="4F2CB5AC">
          <w:pPr>
            <w:pStyle w:val="1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pPr>
          <w:r>
            <w:rPr>
              <w:rFonts w:hint="eastAsia"/>
            </w:rPr>
            <w:fldChar w:fldCharType="begin"/>
          </w:r>
          <w:r>
            <w:rPr>
              <w:rFonts w:hint="eastAsia"/>
            </w:rPr>
            <w:instrText xml:space="preserve"> HYPERLINK \l _Toc7777 </w:instrText>
          </w:r>
          <w:r>
            <w:rPr>
              <w:rFonts w:hint="eastAsia"/>
            </w:rPr>
            <w:fldChar w:fldCharType="separate"/>
          </w:r>
          <w:r>
            <w:rPr>
              <w:rFonts w:hint="eastAsia"/>
            </w:rPr>
            <w:t xml:space="preserve">6.2. </w:t>
          </w:r>
          <w:r>
            <w:rPr>
              <w:rFonts w:hint="eastAsia"/>
              <w:bCs/>
            </w:rPr>
            <w:t>案例二：</w:t>
          </w:r>
          <w:r>
            <w:rPr>
              <w:rFonts w:hint="eastAsia"/>
            </w:rPr>
            <w:t>农村供水泵房</w:t>
          </w:r>
          <w:r>
            <w:rPr>
              <w:rFonts w:hint="eastAsia"/>
              <w:lang w:val="en-US" w:eastAsia="zh-CN"/>
            </w:rPr>
            <w:t>落地式</w:t>
          </w:r>
          <w:r>
            <w:rPr>
              <w:rFonts w:hint="eastAsia"/>
            </w:rPr>
            <w:t>供水水质微站系统。</w:t>
          </w:r>
          <w:r>
            <w:tab/>
          </w:r>
          <w:r>
            <w:fldChar w:fldCharType="begin"/>
          </w:r>
          <w:r>
            <w:instrText xml:space="preserve"> PAGEREF _Toc7777 \h </w:instrText>
          </w:r>
          <w:r>
            <w:fldChar w:fldCharType="separate"/>
          </w:r>
          <w:r>
            <w:t>26</w:t>
          </w:r>
          <w:r>
            <w:fldChar w:fldCharType="end"/>
          </w:r>
          <w:r>
            <w:rPr>
              <w:rFonts w:hint="eastAsia"/>
            </w:rPr>
            <w:fldChar w:fldCharType="end"/>
          </w:r>
        </w:p>
        <w:p w14:paraId="35E7229E">
          <w:pPr>
            <w:ind w:firstLine="480"/>
            <w:rPr>
              <w:rFonts w:hint="eastAsia"/>
            </w:rPr>
          </w:pPr>
          <w:r>
            <w:rPr>
              <w:rFonts w:hint="eastAsia"/>
            </w:rPr>
            <w:fldChar w:fldCharType="end"/>
          </w:r>
        </w:p>
      </w:sdtContent>
    </w:sdt>
    <w:p w14:paraId="357973BC">
      <w:pPr>
        <w:ind w:firstLine="480"/>
        <w:rPr>
          <w:rFonts w:hint="eastAsia"/>
        </w:rPr>
        <w:sectPr>
          <w:headerReference r:id="rId11" w:type="default"/>
          <w:footerReference r:id="rId12" w:type="default"/>
          <w:pgSz w:w="11906" w:h="16838"/>
          <w:pgMar w:top="1440" w:right="1800" w:bottom="1440" w:left="1800" w:header="851" w:footer="992" w:gutter="0"/>
          <w:pgNumType w:start="1"/>
          <w:cols w:space="425" w:num="1"/>
          <w:docGrid w:type="lines" w:linePitch="312" w:charSpace="0"/>
        </w:sectPr>
      </w:pPr>
    </w:p>
    <w:p w14:paraId="35103454">
      <w:pPr>
        <w:pStyle w:val="2"/>
        <w:rPr>
          <w:rFonts w:hint="eastAsia"/>
        </w:rPr>
      </w:pPr>
      <w:bookmarkStart w:id="0" w:name="_Toc3865"/>
      <w:bookmarkStart w:id="1" w:name="_Toc11410"/>
      <w:r>
        <w:rPr>
          <w:rFonts w:hint="eastAsia"/>
        </w:rPr>
        <w:t>公司简介</w:t>
      </w:r>
      <w:bookmarkEnd w:id="0"/>
      <w:bookmarkEnd w:id="1"/>
    </w:p>
    <w:p w14:paraId="49B44D29">
      <w:pPr>
        <w:ind w:firstLine="480"/>
        <w:rPr>
          <w:rFonts w:hint="eastAsia"/>
        </w:rPr>
      </w:pPr>
    </w:p>
    <w:p w14:paraId="25010526">
      <w:pPr>
        <w:ind w:firstLine="0" w:firstLineChars="0"/>
        <w:jc w:val="center"/>
        <w:rPr>
          <w:rFonts w:hint="eastAsia"/>
        </w:rPr>
      </w:pPr>
      <w:r>
        <w:drawing>
          <wp:inline distT="0" distB="0" distL="0" distR="0">
            <wp:extent cx="4585970" cy="3395980"/>
            <wp:effectExtent l="0" t="0" r="1270"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4" cstate="print"/>
                    <a:stretch>
                      <a:fillRect/>
                    </a:stretch>
                  </pic:blipFill>
                  <pic:spPr>
                    <a:xfrm>
                      <a:off x="0" y="0"/>
                      <a:ext cx="4585970" cy="3395980"/>
                    </a:xfrm>
                    <a:prstGeom prst="rect">
                      <a:avLst/>
                    </a:prstGeom>
                  </pic:spPr>
                </pic:pic>
              </a:graphicData>
            </a:graphic>
          </wp:inline>
        </w:drawing>
      </w:r>
    </w:p>
    <w:p w14:paraId="332F41D2">
      <w:pPr>
        <w:ind w:firstLine="0" w:firstLineChars="0"/>
        <w:jc w:val="left"/>
        <w:rPr>
          <w:rFonts w:hint="eastAsia"/>
        </w:rPr>
      </w:pPr>
    </w:p>
    <w:p w14:paraId="36FCE5EA">
      <w:pPr>
        <w:ind w:firstLine="480"/>
        <w:rPr>
          <w:rFonts w:hint="eastAsia"/>
        </w:rPr>
      </w:pPr>
      <w:r>
        <w:rPr>
          <w:rFonts w:hint="eastAsia"/>
          <w:lang w:val="en-US" w:eastAsia="zh-CN"/>
        </w:rPr>
        <w:t>青岛精诚仪器仪表</w:t>
      </w:r>
      <w:r>
        <w:rPr>
          <w:rFonts w:hint="eastAsia"/>
        </w:rPr>
        <w:t>有限公司（简称</w:t>
      </w:r>
      <w:r>
        <w:rPr>
          <w:rFonts w:hint="eastAsia"/>
          <w:lang w:val="en-US" w:eastAsia="zh-CN"/>
        </w:rPr>
        <w:t>青岛精诚</w:t>
      </w:r>
      <w:r>
        <w:rPr>
          <w:rFonts w:hint="eastAsia"/>
        </w:rPr>
        <w:t>），是一家专业从事生态环境、水利水务、工业过程控制、智慧农业、海洋监测等应用的水质分析仪器研发制造商，以自主研发生产的水质自动监测仪器为核心，应用自动化控制与系统集成技术，为客户提供自动化、智能化的环境监测系统解决方案，并为客户提供环境监测设施的第三方运营服务。</w:t>
      </w:r>
    </w:p>
    <w:p w14:paraId="1F0D0692">
      <w:pPr>
        <w:ind w:firstLine="480"/>
        <w:rPr>
          <w:rFonts w:hint="eastAsia"/>
        </w:rPr>
      </w:pPr>
      <w:r>
        <w:rPr>
          <w:rFonts w:hint="eastAsia"/>
          <w:lang w:val="en-US" w:eastAsia="zh-CN"/>
        </w:rPr>
        <w:t>我公司</w:t>
      </w:r>
      <w:bookmarkStart w:id="29" w:name="_GoBack"/>
      <w:bookmarkEnd w:id="29"/>
      <w:r>
        <w:rPr>
          <w:rFonts w:hint="eastAsia"/>
        </w:rPr>
        <w:t>拥有完善的研发、生产、销售和技术服务团队，是国内水质数字传感领导品牌，为国内近百个市、县（区）政府和生态环境部门提供水环境监测技术支撑。</w:t>
      </w:r>
    </w:p>
    <w:p w14:paraId="51C1CA3B">
      <w:pPr>
        <w:ind w:firstLine="480"/>
        <w:rPr>
          <w:rFonts w:hint="eastAsia"/>
        </w:rPr>
      </w:pPr>
    </w:p>
    <w:p w14:paraId="36C43EAC">
      <w:pPr>
        <w:ind w:firstLine="480"/>
        <w:rPr>
          <w:rFonts w:hint="eastAsia"/>
        </w:rPr>
        <w:sectPr>
          <w:pgSz w:w="11906" w:h="16838"/>
          <w:pgMar w:top="1440" w:right="1800" w:bottom="1440" w:left="1800" w:header="851" w:footer="992" w:gutter="0"/>
          <w:cols w:space="425" w:num="1"/>
          <w:docGrid w:type="lines" w:linePitch="312" w:charSpace="0"/>
        </w:sectPr>
      </w:pPr>
    </w:p>
    <w:p w14:paraId="26625541">
      <w:pPr>
        <w:pStyle w:val="2"/>
        <w:rPr>
          <w:rFonts w:hint="eastAsia"/>
        </w:rPr>
      </w:pPr>
      <w:bookmarkStart w:id="2" w:name="_Toc23081"/>
      <w:bookmarkStart w:id="3" w:name="_Toc28553"/>
      <w:r>
        <w:rPr>
          <w:rFonts w:hint="eastAsia"/>
        </w:rPr>
        <w:t>农村供水水质监测概述</w:t>
      </w:r>
      <w:bookmarkEnd w:id="2"/>
      <w:bookmarkEnd w:id="3"/>
    </w:p>
    <w:p w14:paraId="256D6D11">
      <w:pPr>
        <w:pStyle w:val="3"/>
        <w:rPr>
          <w:rFonts w:hint="eastAsia"/>
        </w:rPr>
      </w:pPr>
      <w:bookmarkStart w:id="4" w:name="_Toc21440"/>
      <w:r>
        <w:rPr>
          <w:rFonts w:hint="eastAsia"/>
        </w:rPr>
        <w:t>农村供水行业背景</w:t>
      </w:r>
      <w:bookmarkEnd w:id="4"/>
    </w:p>
    <w:p w14:paraId="71FDDF78">
      <w:pPr>
        <w:ind w:firstLine="0" w:firstLineChars="0"/>
        <w:jc w:val="left"/>
        <w:rPr>
          <w:rFonts w:hint="eastAsia"/>
          <w:b/>
          <w:bCs/>
        </w:rPr>
      </w:pPr>
      <w:r>
        <w:rPr>
          <w:rFonts w:hint="eastAsia"/>
          <w:b/>
          <w:bCs/>
        </w:rPr>
        <w:t>水质监测核心痛点</w:t>
      </w:r>
    </w:p>
    <w:p w14:paraId="3372E492">
      <w:pPr>
        <w:ind w:firstLine="480"/>
        <w:rPr>
          <w:rFonts w:hint="eastAsia"/>
        </w:rPr>
      </w:pPr>
      <w:r>
        <w:rPr>
          <w:rFonts w:hint="eastAsia"/>
        </w:rPr>
        <w:t>随着工业、农业和城市产生的污染，导致越来越多的淡水无法被利用，也给生态系统健康带来挑战。面对愈发严重的水污染现象，水质在线监测可以帮助我们全面、及时地掌握水质信息，有效消除农村用水隐患。</w:t>
      </w:r>
    </w:p>
    <w:p w14:paraId="59B7971E">
      <w:pPr>
        <w:ind w:firstLine="480"/>
        <w:rPr>
          <w:rFonts w:hint="eastAsia"/>
        </w:rPr>
      </w:pPr>
      <w:r>
        <w:rPr>
          <w:rFonts w:hint="eastAsia"/>
        </w:rPr>
        <w:t xml:space="preserve">乡镇当前供水工程仍采用较传统的水质监测方法，传统的人工水质监测工作量大且有滞后性、工作效率低的问题，为进一步提升饮用水水质，保障群众的饮用水水质安全，我司推出的一站式乡镇生活饮用水在线监测解决方案，可对饮用水水质进行24小时不间断监测和预警。 </w:t>
      </w:r>
    </w:p>
    <w:p w14:paraId="03B8D9C1">
      <w:pPr>
        <w:ind w:firstLine="480"/>
        <w:rPr>
          <w:rFonts w:hint="eastAsia" w:eastAsia="宋体"/>
          <w:lang w:eastAsia="zh-CN"/>
        </w:rPr>
      </w:pPr>
      <w:r>
        <w:rPr>
          <w:rFonts w:hint="eastAsia" w:eastAsia="宋体"/>
          <w:lang w:eastAsia="zh-CN"/>
        </w:rPr>
        <w:drawing>
          <wp:inline distT="0" distB="0" distL="114300" distR="114300">
            <wp:extent cx="5267325" cy="3666490"/>
            <wp:effectExtent l="0" t="0" r="5715" b="6350"/>
            <wp:docPr id="24" name="图片 24" descr="lQLPKHz5g02jeh_NAn_NA5awSU7blgkxHRAHmjdjG7kNAA_918_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lQLPKHz5g02jeh_NAn_NA5awSU7blgkxHRAHmjdjG7kNAA_918_639"/>
                    <pic:cNvPicPr>
                      <a:picLocks noChangeAspect="1"/>
                    </pic:cNvPicPr>
                  </pic:nvPicPr>
                  <pic:blipFill>
                    <a:blip r:embed="rId15"/>
                    <a:stretch>
                      <a:fillRect/>
                    </a:stretch>
                  </pic:blipFill>
                  <pic:spPr>
                    <a:xfrm>
                      <a:off x="0" y="0"/>
                      <a:ext cx="5267325" cy="3666490"/>
                    </a:xfrm>
                    <a:prstGeom prst="rect">
                      <a:avLst/>
                    </a:prstGeom>
                  </pic:spPr>
                </pic:pic>
              </a:graphicData>
            </a:graphic>
          </wp:inline>
        </w:drawing>
      </w:r>
    </w:p>
    <w:p w14:paraId="732D512E">
      <w:pPr>
        <w:ind w:firstLine="0" w:firstLineChars="0"/>
        <w:jc w:val="left"/>
        <w:rPr>
          <w:rFonts w:hint="eastAsia"/>
          <w:b/>
          <w:bCs/>
        </w:rPr>
      </w:pPr>
      <w:r>
        <w:rPr>
          <w:rFonts w:hint="eastAsia"/>
          <w:b/>
          <w:bCs/>
        </w:rPr>
        <w:t>政策支持：</w:t>
      </w:r>
    </w:p>
    <w:p w14:paraId="3749199F">
      <w:pPr>
        <w:ind w:left="0" w:leftChars="0" w:firstLine="0" w:firstLineChars="0"/>
        <w:rPr>
          <w:rFonts w:hint="eastAsia"/>
        </w:rPr>
      </w:pPr>
      <w:r>
        <w:rPr>
          <w:rFonts w:hint="default"/>
        </w:rPr>
        <w:t>《水利部关于加快推动农村供水高质量发展的指导意见》（2023年）</w:t>
      </w:r>
    </w:p>
    <w:p w14:paraId="06898C0F">
      <w:pPr>
        <w:ind w:firstLine="480"/>
        <w:rPr>
          <w:rFonts w:hint="eastAsia"/>
        </w:rPr>
      </w:pPr>
      <w:r>
        <w:rPr>
          <w:rFonts w:hint="default"/>
          <w:b/>
          <w:bCs/>
          <w:lang w:val="en-US" w:eastAsia="zh-CN"/>
        </w:rPr>
        <w:t>政策内容：</w:t>
      </w:r>
      <w:r>
        <w:rPr>
          <w:rFonts w:hint="default"/>
          <w:lang w:val="en-US" w:eastAsia="zh-CN"/>
        </w:rPr>
        <w:t>提出通过3-5年时间，初步形成体系布局完善、设施集约安全、管护规范专业、服务优质高效的农村供水高质量发展格局。</w:t>
      </w:r>
    </w:p>
    <w:p w14:paraId="34F0B4A6">
      <w:pPr>
        <w:ind w:firstLine="480"/>
        <w:rPr>
          <w:rFonts w:hint="default"/>
        </w:rPr>
      </w:pPr>
      <w:r>
        <w:rPr>
          <w:rFonts w:hint="default"/>
          <w:b/>
          <w:bCs/>
          <w:lang w:val="en-US" w:eastAsia="zh-CN"/>
        </w:rPr>
        <w:t>目标：</w:t>
      </w:r>
      <w:r>
        <w:rPr>
          <w:rFonts w:hint="default"/>
          <w:lang w:val="en-US" w:eastAsia="zh-CN"/>
        </w:rPr>
        <w:t>到2035年，基本实现农村供水现代化。</w:t>
      </w:r>
    </w:p>
    <w:p w14:paraId="0CB7B0DF">
      <w:pPr>
        <w:ind w:left="0" w:leftChars="0" w:firstLine="0" w:firstLineChars="0"/>
        <w:rPr>
          <w:rFonts w:hint="eastAsia"/>
        </w:rPr>
      </w:pPr>
      <w:r>
        <w:rPr>
          <w:rFonts w:hint="default"/>
        </w:rPr>
        <w:t>《乡村全面振兴规划（2024—2027年）》</w:t>
      </w:r>
    </w:p>
    <w:p w14:paraId="5A3DCBB2">
      <w:pPr>
        <w:ind w:firstLine="480"/>
        <w:rPr>
          <w:rFonts w:hint="eastAsia"/>
        </w:rPr>
      </w:pPr>
      <w:r>
        <w:rPr>
          <w:rFonts w:hint="default"/>
          <w:b/>
          <w:bCs/>
          <w:lang w:val="en-US" w:eastAsia="zh-CN"/>
        </w:rPr>
        <w:t>政策内容：</w:t>
      </w:r>
      <w:r>
        <w:rPr>
          <w:rFonts w:hint="default"/>
          <w:lang w:val="en-US" w:eastAsia="zh-CN"/>
        </w:rPr>
        <w:t>强化农村供水安全保障，推进城乡供水一体化、集中供水规模化发展，实施小型供水工程规范化建设和改造，加强中小型水源保障工程建设。</w:t>
      </w:r>
    </w:p>
    <w:p w14:paraId="3D251FFF">
      <w:pPr>
        <w:ind w:firstLine="480"/>
        <w:rPr>
          <w:rFonts w:hint="default"/>
        </w:rPr>
      </w:pPr>
      <w:r>
        <w:rPr>
          <w:rFonts w:hint="default"/>
          <w:b/>
          <w:bCs/>
          <w:lang w:val="en-US" w:eastAsia="zh-CN"/>
        </w:rPr>
        <w:t>目标：</w:t>
      </w:r>
      <w:r>
        <w:rPr>
          <w:rFonts w:hint="default"/>
          <w:lang w:val="en-US" w:eastAsia="zh-CN"/>
        </w:rPr>
        <w:t>到2025年，农村自来水普及率达到94%，农村供水水质基本达到当地县城水平。</w:t>
      </w:r>
    </w:p>
    <w:p w14:paraId="7659157D">
      <w:pPr>
        <w:ind w:left="0" w:leftChars="0" w:firstLine="0" w:firstLineChars="0"/>
        <w:rPr>
          <w:rFonts w:hint="eastAsia"/>
        </w:rPr>
      </w:pPr>
      <w:r>
        <w:rPr>
          <w:rFonts w:hint="default"/>
        </w:rPr>
        <w:t>《关于全面推进农村供水县域统管的指导意见》（2024年）</w:t>
      </w:r>
    </w:p>
    <w:p w14:paraId="6C4900BE">
      <w:pPr>
        <w:ind w:firstLine="480"/>
        <w:rPr>
          <w:rFonts w:hint="eastAsia"/>
        </w:rPr>
      </w:pPr>
      <w:r>
        <w:rPr>
          <w:rFonts w:hint="default"/>
          <w:b/>
          <w:bCs/>
          <w:lang w:val="en-US" w:eastAsia="zh-CN"/>
        </w:rPr>
        <w:t>政策内容：</w:t>
      </w:r>
      <w:r>
        <w:rPr>
          <w:rFonts w:hint="default"/>
          <w:lang w:val="en-US" w:eastAsia="zh-CN"/>
        </w:rPr>
        <w:t>推进农村供水县域统管，建立县级专业化运维服务体系，实现农村供水统一管理、统一运维、统一服务。</w:t>
      </w:r>
    </w:p>
    <w:p w14:paraId="3DF1A19D">
      <w:pPr>
        <w:ind w:firstLine="480"/>
        <w:rPr>
          <w:rFonts w:hint="eastAsia"/>
        </w:rPr>
      </w:pPr>
      <w:r>
        <w:rPr>
          <w:rFonts w:hint="default"/>
          <w:b/>
          <w:bCs/>
          <w:lang w:val="en-US" w:eastAsia="zh-CN"/>
        </w:rPr>
        <w:t>目标：</w:t>
      </w:r>
      <w:r>
        <w:rPr>
          <w:rFonts w:hint="default"/>
          <w:lang w:val="en-US" w:eastAsia="zh-CN"/>
        </w:rPr>
        <w:t>到2025年底，县域统一管理、统一运维、统一服务农村供水人口比例不低于80%；到2027年底，全面实现县域统管。</w:t>
      </w:r>
    </w:p>
    <w:p w14:paraId="79D1CE96">
      <w:pPr>
        <w:pStyle w:val="3"/>
        <w:rPr>
          <w:rFonts w:hint="eastAsia"/>
        </w:rPr>
      </w:pPr>
      <w:bookmarkStart w:id="5" w:name="_Toc32473"/>
      <w:bookmarkStart w:id="6" w:name="_Toc16844"/>
      <w:r>
        <w:rPr>
          <w:rFonts w:hint="eastAsia"/>
        </w:rPr>
        <w:t>农村供水水质监测特点</w:t>
      </w:r>
      <w:bookmarkEnd w:id="5"/>
      <w:bookmarkEnd w:id="6"/>
    </w:p>
    <w:p w14:paraId="00EF466F">
      <w:pPr>
        <w:ind w:firstLine="480"/>
        <w:rPr>
          <w:rFonts w:hint="eastAsia"/>
        </w:rPr>
      </w:pPr>
      <w:r>
        <w:rPr>
          <w:rFonts w:hint="eastAsia"/>
        </w:rPr>
        <w:t>根据水利部农村水利水电司发布的村镇供水工程技术规范（SL 310-2019）：</w:t>
      </w:r>
    </w:p>
    <w:p w14:paraId="766DC033">
      <w:pPr>
        <w:ind w:firstLine="480"/>
        <w:rPr>
          <w:rFonts w:hint="eastAsia"/>
        </w:rPr>
      </w:pPr>
      <w:r>
        <w:rPr>
          <w:rFonts w:hint="eastAsia"/>
        </w:rPr>
        <w:t>村镇集中供水工程的消毒工艺选择，应根据原水水质出水水质要求、消毒剂或原料来源方便程度、消毒剂运输与储存安全要求、消毒副产物、净水处理工艺，以及供水规模、管网条件、管理条件等，参照相似条件水厂的运行经验或通过试验，经过技术经济比较确定，并应符合下列规定:</w:t>
      </w:r>
    </w:p>
    <w:p w14:paraId="6B73675A">
      <w:pPr>
        <w:ind w:firstLine="480"/>
        <w:rPr>
          <w:rFonts w:hint="eastAsia"/>
        </w:rPr>
      </w:pPr>
      <w:r>
        <w:rPr>
          <w:rFonts w:hint="eastAsia"/>
        </w:rPr>
        <w:t>1.宜优先选择氯或二氧化氯消毒。pH值不超过8.0时，宜选择氯消毒;pH值超过8.0或水源受到污染时，宜采用二氧化氯消毒。</w:t>
      </w:r>
    </w:p>
    <w:p w14:paraId="4550D29E">
      <w:pPr>
        <w:ind w:firstLine="480"/>
        <w:rPr>
          <w:rFonts w:hint="eastAsia"/>
        </w:rPr>
      </w:pPr>
      <w:r>
        <w:rPr>
          <w:rFonts w:hint="eastAsia"/>
        </w:rPr>
        <w:t>2.单村供水工程，也可选择臭氧、紫外线或其他消毒，但应有保持持续消毒的措施。原水水质略差时，可选择臭氧消毒;水质良好时，可选择紫外线消毒，宜采用臭氧或氯对管网每隔15~30d进行一次维护性消毒。</w:t>
      </w:r>
    </w:p>
    <w:p w14:paraId="48ACD908">
      <w:pPr>
        <w:ind w:firstLine="480"/>
        <w:rPr>
          <w:rFonts w:hint="eastAsia"/>
        </w:rPr>
      </w:pPr>
      <w:r>
        <w:rPr>
          <w:rFonts w:hint="eastAsia"/>
        </w:rPr>
        <w:t>水厂的消毒剂设计投加量，应根据原水水质、管网长度和相似条件水厂的运行经验或通过试验确定，出厂水和管网末梢水微生物指标应符合GB5749的要求。</w:t>
      </w:r>
    </w:p>
    <w:p w14:paraId="2A0ED562">
      <w:pPr>
        <w:ind w:firstLine="480"/>
        <w:rPr>
          <w:rFonts w:hint="eastAsia"/>
        </w:rPr>
      </w:pPr>
      <w:r>
        <w:rPr>
          <w:rFonts w:hint="eastAsia"/>
        </w:rPr>
        <w:t>根据国家市场监督管理总局、国家标准化管理委员会于2022年3月15日发布生活饮用水卫生标准（GB 5749-2022）：</w:t>
      </w:r>
    </w:p>
    <w:p w14:paraId="161CE366">
      <w:pPr>
        <w:ind w:firstLine="420"/>
        <w:jc w:val="center"/>
        <w:rPr>
          <w:rFonts w:hint="eastAsia"/>
        </w:rPr>
      </w:pPr>
      <w:r>
        <w:rPr>
          <w:rFonts w:hint="eastAsia"/>
          <w:sz w:val="21"/>
          <w:szCs w:val="21"/>
        </w:rPr>
        <w:t>表1生活饮用水水质常规指标及限值</w:t>
      </w:r>
    </w:p>
    <w:tbl>
      <w:tblPr>
        <w:tblStyle w:val="20"/>
        <w:tblW w:w="852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5"/>
        <w:gridCol w:w="4752"/>
        <w:gridCol w:w="2965"/>
      </w:tblGrid>
      <w:tr w14:paraId="7FD6F7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6D4C8EE0">
            <w:pPr>
              <w:spacing w:line="240" w:lineRule="auto"/>
              <w:ind w:firstLine="0" w:firstLineChars="0"/>
              <w:jc w:val="center"/>
              <w:rPr>
                <w:rFonts w:hint="eastAsia"/>
                <w:b/>
                <w:bCs/>
                <w:sz w:val="21"/>
                <w:szCs w:val="21"/>
              </w:rPr>
            </w:pPr>
            <w:r>
              <w:rPr>
                <w:rFonts w:hint="eastAsia"/>
                <w:b/>
                <w:bCs/>
                <w:sz w:val="21"/>
                <w:szCs w:val="21"/>
              </w:rPr>
              <w:t>序号</w:t>
            </w:r>
          </w:p>
        </w:tc>
        <w:tc>
          <w:tcPr>
            <w:tcW w:w="4752" w:type="dxa"/>
            <w:vAlign w:val="center"/>
          </w:tcPr>
          <w:p w14:paraId="2D122AE0">
            <w:pPr>
              <w:spacing w:line="240" w:lineRule="auto"/>
              <w:ind w:firstLine="0" w:firstLineChars="0"/>
              <w:jc w:val="center"/>
              <w:rPr>
                <w:rFonts w:hint="eastAsia"/>
                <w:b/>
                <w:bCs/>
                <w:sz w:val="21"/>
                <w:szCs w:val="21"/>
              </w:rPr>
            </w:pPr>
            <w:r>
              <w:rPr>
                <w:rFonts w:hint="eastAsia"/>
                <w:b/>
                <w:bCs/>
                <w:sz w:val="21"/>
                <w:szCs w:val="21"/>
              </w:rPr>
              <w:t>指标</w:t>
            </w:r>
          </w:p>
        </w:tc>
        <w:tc>
          <w:tcPr>
            <w:tcW w:w="2965" w:type="dxa"/>
            <w:vAlign w:val="center"/>
          </w:tcPr>
          <w:p w14:paraId="2D03A4D3">
            <w:pPr>
              <w:spacing w:line="240" w:lineRule="auto"/>
              <w:ind w:firstLine="0" w:firstLineChars="0"/>
              <w:jc w:val="center"/>
              <w:rPr>
                <w:rFonts w:hint="eastAsia"/>
                <w:b/>
                <w:bCs/>
                <w:sz w:val="21"/>
                <w:szCs w:val="21"/>
              </w:rPr>
            </w:pPr>
            <w:r>
              <w:rPr>
                <w:rFonts w:hint="eastAsia"/>
                <w:b/>
                <w:bCs/>
                <w:sz w:val="21"/>
                <w:szCs w:val="21"/>
              </w:rPr>
              <w:t>限制</w:t>
            </w:r>
          </w:p>
        </w:tc>
      </w:tr>
      <w:tr w14:paraId="30E5B9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74D3D44D">
            <w:pPr>
              <w:spacing w:line="240" w:lineRule="auto"/>
              <w:ind w:firstLine="0" w:firstLineChars="0"/>
              <w:jc w:val="center"/>
              <w:rPr>
                <w:rFonts w:hint="eastAsia"/>
                <w:sz w:val="21"/>
                <w:szCs w:val="21"/>
              </w:rPr>
            </w:pPr>
            <w:r>
              <w:rPr>
                <w:rFonts w:hint="eastAsia"/>
                <w:sz w:val="21"/>
                <w:szCs w:val="21"/>
              </w:rPr>
              <w:t>1</w:t>
            </w:r>
          </w:p>
        </w:tc>
        <w:tc>
          <w:tcPr>
            <w:tcW w:w="4752" w:type="dxa"/>
            <w:vAlign w:val="center"/>
          </w:tcPr>
          <w:p w14:paraId="7D847F09">
            <w:pPr>
              <w:spacing w:line="240" w:lineRule="auto"/>
              <w:ind w:firstLine="0" w:firstLineChars="0"/>
              <w:jc w:val="center"/>
              <w:rPr>
                <w:rFonts w:hint="eastAsia"/>
                <w:sz w:val="21"/>
                <w:szCs w:val="21"/>
              </w:rPr>
            </w:pPr>
            <w:r>
              <w:rPr>
                <w:rFonts w:hint="eastAsia"/>
                <w:sz w:val="21"/>
                <w:szCs w:val="21"/>
              </w:rPr>
              <w:t>总大肠菌群/（MPN/100mL或CFU/100mL）</w:t>
            </w:r>
          </w:p>
        </w:tc>
        <w:tc>
          <w:tcPr>
            <w:tcW w:w="2965" w:type="dxa"/>
            <w:vAlign w:val="center"/>
          </w:tcPr>
          <w:p w14:paraId="5F0A8037">
            <w:pPr>
              <w:spacing w:line="240" w:lineRule="auto"/>
              <w:ind w:firstLine="0" w:firstLineChars="0"/>
              <w:jc w:val="center"/>
              <w:rPr>
                <w:rFonts w:hint="eastAsia"/>
                <w:sz w:val="21"/>
                <w:szCs w:val="21"/>
              </w:rPr>
            </w:pPr>
            <w:r>
              <w:rPr>
                <w:rFonts w:hint="eastAsia"/>
                <w:sz w:val="21"/>
                <w:szCs w:val="21"/>
              </w:rPr>
              <w:t>不应检出</w:t>
            </w:r>
          </w:p>
        </w:tc>
      </w:tr>
      <w:tr w14:paraId="0B54D5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78002B47">
            <w:pPr>
              <w:spacing w:line="240" w:lineRule="auto"/>
              <w:ind w:firstLine="0" w:firstLineChars="0"/>
              <w:jc w:val="center"/>
              <w:rPr>
                <w:rFonts w:hint="eastAsia"/>
                <w:sz w:val="21"/>
                <w:szCs w:val="21"/>
              </w:rPr>
            </w:pPr>
            <w:r>
              <w:rPr>
                <w:rFonts w:hint="eastAsia"/>
                <w:sz w:val="21"/>
                <w:szCs w:val="21"/>
              </w:rPr>
              <w:t>2</w:t>
            </w:r>
          </w:p>
        </w:tc>
        <w:tc>
          <w:tcPr>
            <w:tcW w:w="4752" w:type="dxa"/>
            <w:vAlign w:val="center"/>
          </w:tcPr>
          <w:p w14:paraId="398945FE">
            <w:pPr>
              <w:spacing w:line="240" w:lineRule="auto"/>
              <w:ind w:firstLine="0" w:firstLineChars="0"/>
              <w:jc w:val="center"/>
              <w:rPr>
                <w:rFonts w:hint="eastAsia"/>
                <w:sz w:val="21"/>
                <w:szCs w:val="21"/>
              </w:rPr>
            </w:pPr>
            <w:r>
              <w:rPr>
                <w:rFonts w:hint="eastAsia"/>
                <w:sz w:val="21"/>
                <w:szCs w:val="21"/>
              </w:rPr>
              <w:t>大肠埃希氏菌/（MPN/100mL或CFU/100mL）</w:t>
            </w:r>
          </w:p>
        </w:tc>
        <w:tc>
          <w:tcPr>
            <w:tcW w:w="2965" w:type="dxa"/>
            <w:vAlign w:val="center"/>
          </w:tcPr>
          <w:p w14:paraId="624EFD35">
            <w:pPr>
              <w:spacing w:line="240" w:lineRule="auto"/>
              <w:ind w:firstLine="0" w:firstLineChars="0"/>
              <w:jc w:val="center"/>
              <w:rPr>
                <w:rFonts w:hint="eastAsia"/>
                <w:sz w:val="21"/>
                <w:szCs w:val="21"/>
              </w:rPr>
            </w:pPr>
            <w:r>
              <w:rPr>
                <w:rFonts w:hint="eastAsia"/>
                <w:sz w:val="21"/>
                <w:szCs w:val="21"/>
              </w:rPr>
              <w:t>不应检出</w:t>
            </w:r>
          </w:p>
        </w:tc>
      </w:tr>
      <w:tr w14:paraId="56C90C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5092B495">
            <w:pPr>
              <w:spacing w:line="240" w:lineRule="auto"/>
              <w:ind w:firstLine="0" w:firstLineChars="0"/>
              <w:jc w:val="center"/>
              <w:rPr>
                <w:rFonts w:hint="eastAsia"/>
                <w:sz w:val="21"/>
                <w:szCs w:val="21"/>
              </w:rPr>
            </w:pPr>
            <w:r>
              <w:rPr>
                <w:rFonts w:hint="eastAsia"/>
                <w:sz w:val="21"/>
                <w:szCs w:val="21"/>
              </w:rPr>
              <w:t>3</w:t>
            </w:r>
          </w:p>
        </w:tc>
        <w:tc>
          <w:tcPr>
            <w:tcW w:w="4752" w:type="dxa"/>
            <w:vAlign w:val="center"/>
          </w:tcPr>
          <w:p w14:paraId="272690D9">
            <w:pPr>
              <w:spacing w:line="240" w:lineRule="auto"/>
              <w:ind w:firstLine="0" w:firstLineChars="0"/>
              <w:jc w:val="center"/>
              <w:rPr>
                <w:rFonts w:hint="eastAsia"/>
                <w:sz w:val="21"/>
                <w:szCs w:val="21"/>
              </w:rPr>
            </w:pPr>
            <w:r>
              <w:rPr>
                <w:rFonts w:hint="eastAsia"/>
                <w:sz w:val="21"/>
                <w:szCs w:val="21"/>
              </w:rPr>
              <w:t>菌落总数/（MPN/mL或CFU/mL）</w:t>
            </w:r>
          </w:p>
        </w:tc>
        <w:tc>
          <w:tcPr>
            <w:tcW w:w="2965" w:type="dxa"/>
            <w:vAlign w:val="center"/>
          </w:tcPr>
          <w:p w14:paraId="0D8F8AB5">
            <w:pPr>
              <w:spacing w:line="240" w:lineRule="auto"/>
              <w:ind w:firstLine="0" w:firstLineChars="0"/>
              <w:jc w:val="center"/>
              <w:rPr>
                <w:rFonts w:hint="eastAsia"/>
                <w:sz w:val="21"/>
                <w:szCs w:val="21"/>
              </w:rPr>
            </w:pPr>
            <w:r>
              <w:rPr>
                <w:rFonts w:hint="eastAsia"/>
                <w:sz w:val="21"/>
                <w:szCs w:val="21"/>
              </w:rPr>
              <w:t>100</w:t>
            </w:r>
          </w:p>
        </w:tc>
      </w:tr>
      <w:tr w14:paraId="14D187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79E72266">
            <w:pPr>
              <w:spacing w:line="240" w:lineRule="auto"/>
              <w:ind w:firstLine="0" w:firstLineChars="0"/>
              <w:jc w:val="center"/>
              <w:rPr>
                <w:rFonts w:hint="eastAsia"/>
                <w:sz w:val="21"/>
                <w:szCs w:val="21"/>
              </w:rPr>
            </w:pPr>
            <w:r>
              <w:rPr>
                <w:rFonts w:hint="eastAsia"/>
                <w:sz w:val="21"/>
                <w:szCs w:val="21"/>
              </w:rPr>
              <w:t>4</w:t>
            </w:r>
          </w:p>
        </w:tc>
        <w:tc>
          <w:tcPr>
            <w:tcW w:w="4752" w:type="dxa"/>
            <w:vAlign w:val="center"/>
          </w:tcPr>
          <w:p w14:paraId="331FA3A2">
            <w:pPr>
              <w:spacing w:line="240" w:lineRule="auto"/>
              <w:ind w:firstLine="0" w:firstLineChars="0"/>
              <w:jc w:val="center"/>
              <w:rPr>
                <w:rFonts w:hint="eastAsia"/>
                <w:sz w:val="21"/>
                <w:szCs w:val="21"/>
              </w:rPr>
            </w:pPr>
            <w:r>
              <w:rPr>
                <w:rFonts w:hint="eastAsia"/>
                <w:sz w:val="21"/>
                <w:szCs w:val="21"/>
              </w:rPr>
              <w:t>色度（铂钻色度单位）/度</w:t>
            </w:r>
          </w:p>
        </w:tc>
        <w:tc>
          <w:tcPr>
            <w:tcW w:w="2965" w:type="dxa"/>
            <w:vAlign w:val="center"/>
          </w:tcPr>
          <w:p w14:paraId="5FD54C00">
            <w:pPr>
              <w:spacing w:line="240" w:lineRule="auto"/>
              <w:ind w:firstLine="0" w:firstLineChars="0"/>
              <w:jc w:val="center"/>
              <w:rPr>
                <w:rFonts w:hint="eastAsia"/>
                <w:sz w:val="21"/>
                <w:szCs w:val="21"/>
              </w:rPr>
            </w:pPr>
            <w:r>
              <w:rPr>
                <w:rFonts w:hint="eastAsia"/>
                <w:sz w:val="21"/>
                <w:szCs w:val="21"/>
              </w:rPr>
              <w:t>15</w:t>
            </w:r>
          </w:p>
        </w:tc>
      </w:tr>
      <w:tr w14:paraId="2F415A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453A8CE7">
            <w:pPr>
              <w:spacing w:line="240" w:lineRule="auto"/>
              <w:ind w:firstLine="0" w:firstLineChars="0"/>
              <w:jc w:val="center"/>
              <w:rPr>
                <w:rFonts w:hint="eastAsia"/>
                <w:sz w:val="21"/>
                <w:szCs w:val="21"/>
              </w:rPr>
            </w:pPr>
            <w:r>
              <w:rPr>
                <w:rFonts w:hint="eastAsia"/>
                <w:sz w:val="21"/>
                <w:szCs w:val="21"/>
              </w:rPr>
              <w:t>5</w:t>
            </w:r>
          </w:p>
        </w:tc>
        <w:tc>
          <w:tcPr>
            <w:tcW w:w="4752" w:type="dxa"/>
            <w:vAlign w:val="center"/>
          </w:tcPr>
          <w:p w14:paraId="723C5A6C">
            <w:pPr>
              <w:spacing w:line="240" w:lineRule="auto"/>
              <w:ind w:firstLine="0" w:firstLineChars="0"/>
              <w:jc w:val="center"/>
              <w:rPr>
                <w:rFonts w:hint="eastAsia"/>
                <w:sz w:val="21"/>
                <w:szCs w:val="21"/>
              </w:rPr>
            </w:pPr>
            <w:r>
              <w:rPr>
                <w:rFonts w:hint="eastAsia"/>
                <w:sz w:val="21"/>
                <w:szCs w:val="21"/>
              </w:rPr>
              <w:t>浑浊度（散射浑浊度单位）/NTU</w:t>
            </w:r>
          </w:p>
        </w:tc>
        <w:tc>
          <w:tcPr>
            <w:tcW w:w="2965" w:type="dxa"/>
            <w:vAlign w:val="center"/>
          </w:tcPr>
          <w:p w14:paraId="1065DFA4">
            <w:pPr>
              <w:spacing w:line="240" w:lineRule="auto"/>
              <w:ind w:firstLine="0" w:firstLineChars="0"/>
              <w:jc w:val="center"/>
              <w:rPr>
                <w:rFonts w:hint="eastAsia"/>
                <w:sz w:val="21"/>
                <w:szCs w:val="21"/>
              </w:rPr>
            </w:pPr>
            <w:r>
              <w:rPr>
                <w:rFonts w:hint="eastAsia"/>
                <w:sz w:val="21"/>
                <w:szCs w:val="21"/>
              </w:rPr>
              <w:t>1</w:t>
            </w:r>
          </w:p>
        </w:tc>
      </w:tr>
      <w:tr w14:paraId="44695B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793B304E">
            <w:pPr>
              <w:spacing w:line="240" w:lineRule="auto"/>
              <w:ind w:firstLine="0" w:firstLineChars="0"/>
              <w:jc w:val="center"/>
              <w:rPr>
                <w:rFonts w:hint="eastAsia"/>
                <w:sz w:val="21"/>
                <w:szCs w:val="21"/>
              </w:rPr>
            </w:pPr>
            <w:r>
              <w:rPr>
                <w:rFonts w:hint="eastAsia"/>
                <w:sz w:val="21"/>
                <w:szCs w:val="21"/>
              </w:rPr>
              <w:t>6</w:t>
            </w:r>
          </w:p>
        </w:tc>
        <w:tc>
          <w:tcPr>
            <w:tcW w:w="4752" w:type="dxa"/>
            <w:vAlign w:val="center"/>
          </w:tcPr>
          <w:p w14:paraId="6EB907CF">
            <w:pPr>
              <w:spacing w:line="240" w:lineRule="auto"/>
              <w:ind w:firstLine="0" w:firstLineChars="0"/>
              <w:jc w:val="center"/>
              <w:rPr>
                <w:rFonts w:hint="eastAsia"/>
                <w:sz w:val="21"/>
                <w:szCs w:val="21"/>
              </w:rPr>
            </w:pPr>
            <w:r>
              <w:rPr>
                <w:rFonts w:hint="eastAsia"/>
                <w:sz w:val="21"/>
                <w:szCs w:val="21"/>
              </w:rPr>
              <w:t>臭和味</w:t>
            </w:r>
          </w:p>
        </w:tc>
        <w:tc>
          <w:tcPr>
            <w:tcW w:w="2965" w:type="dxa"/>
            <w:vAlign w:val="center"/>
          </w:tcPr>
          <w:p w14:paraId="4B6D8A8F">
            <w:pPr>
              <w:spacing w:line="240" w:lineRule="auto"/>
              <w:ind w:firstLine="0" w:firstLineChars="0"/>
              <w:jc w:val="center"/>
              <w:rPr>
                <w:rFonts w:hint="eastAsia"/>
                <w:sz w:val="21"/>
                <w:szCs w:val="21"/>
              </w:rPr>
            </w:pPr>
            <w:r>
              <w:rPr>
                <w:rFonts w:hint="eastAsia"/>
                <w:sz w:val="21"/>
                <w:szCs w:val="21"/>
              </w:rPr>
              <w:t>无异臭、异味</w:t>
            </w:r>
          </w:p>
        </w:tc>
      </w:tr>
      <w:tr w14:paraId="6C50BD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18DE9526">
            <w:pPr>
              <w:spacing w:line="240" w:lineRule="auto"/>
              <w:ind w:firstLine="0" w:firstLineChars="0"/>
              <w:jc w:val="center"/>
              <w:rPr>
                <w:rFonts w:hint="eastAsia"/>
                <w:sz w:val="21"/>
                <w:szCs w:val="21"/>
              </w:rPr>
            </w:pPr>
            <w:r>
              <w:rPr>
                <w:rFonts w:hint="eastAsia"/>
                <w:sz w:val="21"/>
                <w:szCs w:val="21"/>
              </w:rPr>
              <w:t>7</w:t>
            </w:r>
          </w:p>
        </w:tc>
        <w:tc>
          <w:tcPr>
            <w:tcW w:w="4752" w:type="dxa"/>
            <w:vAlign w:val="center"/>
          </w:tcPr>
          <w:p w14:paraId="2E0C7FB0">
            <w:pPr>
              <w:spacing w:line="240" w:lineRule="auto"/>
              <w:ind w:firstLine="0" w:firstLineChars="0"/>
              <w:jc w:val="center"/>
              <w:rPr>
                <w:rFonts w:hint="eastAsia"/>
                <w:sz w:val="21"/>
                <w:szCs w:val="21"/>
              </w:rPr>
            </w:pPr>
            <w:r>
              <w:rPr>
                <w:rFonts w:hint="eastAsia"/>
                <w:sz w:val="21"/>
                <w:szCs w:val="21"/>
              </w:rPr>
              <w:t>肉眼可见物</w:t>
            </w:r>
          </w:p>
        </w:tc>
        <w:tc>
          <w:tcPr>
            <w:tcW w:w="2965" w:type="dxa"/>
            <w:vAlign w:val="center"/>
          </w:tcPr>
          <w:p w14:paraId="308B5536">
            <w:pPr>
              <w:spacing w:line="240" w:lineRule="auto"/>
              <w:ind w:firstLine="0" w:firstLineChars="0"/>
              <w:jc w:val="center"/>
              <w:rPr>
                <w:rFonts w:hint="eastAsia"/>
                <w:sz w:val="21"/>
                <w:szCs w:val="21"/>
              </w:rPr>
            </w:pPr>
            <w:r>
              <w:rPr>
                <w:rFonts w:hint="eastAsia"/>
                <w:sz w:val="21"/>
                <w:szCs w:val="21"/>
              </w:rPr>
              <w:t>无</w:t>
            </w:r>
          </w:p>
        </w:tc>
      </w:tr>
      <w:tr w14:paraId="2C6F77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70708929">
            <w:pPr>
              <w:spacing w:line="240" w:lineRule="auto"/>
              <w:ind w:firstLine="0" w:firstLineChars="0"/>
              <w:jc w:val="center"/>
              <w:rPr>
                <w:rFonts w:hint="eastAsia"/>
                <w:sz w:val="21"/>
                <w:szCs w:val="21"/>
              </w:rPr>
            </w:pPr>
            <w:r>
              <w:rPr>
                <w:rFonts w:hint="eastAsia"/>
                <w:sz w:val="21"/>
                <w:szCs w:val="21"/>
              </w:rPr>
              <w:t>8</w:t>
            </w:r>
          </w:p>
        </w:tc>
        <w:tc>
          <w:tcPr>
            <w:tcW w:w="4752" w:type="dxa"/>
            <w:vAlign w:val="center"/>
          </w:tcPr>
          <w:p w14:paraId="284ADF02">
            <w:pPr>
              <w:spacing w:line="240" w:lineRule="auto"/>
              <w:ind w:firstLine="0" w:firstLineChars="0"/>
              <w:jc w:val="center"/>
              <w:rPr>
                <w:rFonts w:hint="eastAsia"/>
                <w:sz w:val="21"/>
                <w:szCs w:val="21"/>
              </w:rPr>
            </w:pPr>
            <w:r>
              <w:rPr>
                <w:rFonts w:hint="eastAsia"/>
                <w:sz w:val="21"/>
                <w:szCs w:val="21"/>
              </w:rPr>
              <w:t>PH</w:t>
            </w:r>
          </w:p>
        </w:tc>
        <w:tc>
          <w:tcPr>
            <w:tcW w:w="2965" w:type="dxa"/>
            <w:vAlign w:val="center"/>
          </w:tcPr>
          <w:p w14:paraId="5B5A25F8">
            <w:pPr>
              <w:spacing w:line="240" w:lineRule="auto"/>
              <w:ind w:firstLine="0" w:firstLineChars="0"/>
              <w:jc w:val="center"/>
              <w:rPr>
                <w:rFonts w:hint="eastAsia"/>
                <w:sz w:val="21"/>
                <w:szCs w:val="21"/>
              </w:rPr>
            </w:pPr>
            <w:r>
              <w:rPr>
                <w:rFonts w:hint="eastAsia"/>
                <w:sz w:val="21"/>
                <w:szCs w:val="21"/>
              </w:rPr>
              <w:t>不小于6.5且不大于8.5</w:t>
            </w:r>
          </w:p>
        </w:tc>
      </w:tr>
      <w:tr w14:paraId="24BC60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4B4A61F8">
            <w:pPr>
              <w:spacing w:line="240" w:lineRule="auto"/>
              <w:ind w:firstLine="0" w:firstLineChars="0"/>
              <w:jc w:val="center"/>
              <w:rPr>
                <w:rFonts w:hint="eastAsia"/>
                <w:sz w:val="21"/>
                <w:szCs w:val="21"/>
              </w:rPr>
            </w:pPr>
            <w:r>
              <w:rPr>
                <w:rFonts w:hint="eastAsia"/>
                <w:sz w:val="21"/>
                <w:szCs w:val="21"/>
              </w:rPr>
              <w:t>9</w:t>
            </w:r>
          </w:p>
        </w:tc>
        <w:tc>
          <w:tcPr>
            <w:tcW w:w="4752" w:type="dxa"/>
            <w:vAlign w:val="center"/>
          </w:tcPr>
          <w:p w14:paraId="7F9D49B2">
            <w:pPr>
              <w:spacing w:line="240" w:lineRule="auto"/>
              <w:ind w:firstLine="0" w:firstLineChars="0"/>
              <w:jc w:val="center"/>
              <w:rPr>
                <w:rFonts w:hint="eastAsia"/>
                <w:sz w:val="21"/>
                <w:szCs w:val="21"/>
              </w:rPr>
            </w:pPr>
            <w:r>
              <w:rPr>
                <w:rFonts w:hint="eastAsia"/>
                <w:sz w:val="21"/>
                <w:szCs w:val="21"/>
              </w:rPr>
              <w:t>氯化物/（mg/L）</w:t>
            </w:r>
          </w:p>
        </w:tc>
        <w:tc>
          <w:tcPr>
            <w:tcW w:w="2965" w:type="dxa"/>
            <w:vAlign w:val="center"/>
          </w:tcPr>
          <w:p w14:paraId="5021335D">
            <w:pPr>
              <w:spacing w:line="240" w:lineRule="auto"/>
              <w:ind w:firstLine="0" w:firstLineChars="0"/>
              <w:jc w:val="center"/>
              <w:rPr>
                <w:rFonts w:hint="eastAsia"/>
                <w:sz w:val="21"/>
                <w:szCs w:val="21"/>
              </w:rPr>
            </w:pPr>
            <w:r>
              <w:rPr>
                <w:rFonts w:hint="eastAsia"/>
                <w:sz w:val="21"/>
                <w:szCs w:val="21"/>
              </w:rPr>
              <w:t>250</w:t>
            </w:r>
          </w:p>
        </w:tc>
      </w:tr>
      <w:tr w14:paraId="5E3839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69DABFDC">
            <w:pPr>
              <w:spacing w:line="240" w:lineRule="auto"/>
              <w:ind w:firstLine="0" w:firstLineChars="0"/>
              <w:jc w:val="center"/>
              <w:rPr>
                <w:rFonts w:hint="eastAsia"/>
                <w:sz w:val="21"/>
                <w:szCs w:val="21"/>
              </w:rPr>
            </w:pPr>
            <w:r>
              <w:rPr>
                <w:rFonts w:hint="eastAsia"/>
                <w:sz w:val="21"/>
                <w:szCs w:val="21"/>
              </w:rPr>
              <w:t>10</w:t>
            </w:r>
          </w:p>
        </w:tc>
        <w:tc>
          <w:tcPr>
            <w:tcW w:w="4752" w:type="dxa"/>
            <w:vAlign w:val="center"/>
          </w:tcPr>
          <w:p w14:paraId="07FF52E3">
            <w:pPr>
              <w:spacing w:line="240" w:lineRule="auto"/>
              <w:ind w:firstLine="0" w:firstLineChars="0"/>
              <w:jc w:val="center"/>
              <w:rPr>
                <w:rFonts w:hint="eastAsia"/>
                <w:sz w:val="21"/>
                <w:szCs w:val="21"/>
              </w:rPr>
            </w:pPr>
            <w:r>
              <w:rPr>
                <w:rFonts w:hint="eastAsia"/>
                <w:sz w:val="21"/>
                <w:szCs w:val="21"/>
              </w:rPr>
              <w:t>硫酸盐/（mg/L）</w:t>
            </w:r>
          </w:p>
        </w:tc>
        <w:tc>
          <w:tcPr>
            <w:tcW w:w="2965" w:type="dxa"/>
            <w:vAlign w:val="center"/>
          </w:tcPr>
          <w:p w14:paraId="691B7A85">
            <w:pPr>
              <w:spacing w:line="240" w:lineRule="auto"/>
              <w:ind w:firstLine="0" w:firstLineChars="0"/>
              <w:jc w:val="center"/>
              <w:rPr>
                <w:rFonts w:hint="eastAsia"/>
                <w:sz w:val="21"/>
                <w:szCs w:val="21"/>
              </w:rPr>
            </w:pPr>
            <w:r>
              <w:rPr>
                <w:rFonts w:hint="eastAsia"/>
                <w:sz w:val="21"/>
                <w:szCs w:val="21"/>
              </w:rPr>
              <w:t>250</w:t>
            </w:r>
          </w:p>
        </w:tc>
      </w:tr>
      <w:tr w14:paraId="62825D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2DF08CEC">
            <w:pPr>
              <w:spacing w:line="240" w:lineRule="auto"/>
              <w:ind w:firstLine="0" w:firstLineChars="0"/>
              <w:jc w:val="center"/>
              <w:rPr>
                <w:rFonts w:hint="eastAsia"/>
                <w:sz w:val="21"/>
                <w:szCs w:val="21"/>
              </w:rPr>
            </w:pPr>
            <w:r>
              <w:rPr>
                <w:rFonts w:hint="eastAsia"/>
                <w:sz w:val="21"/>
                <w:szCs w:val="21"/>
              </w:rPr>
              <w:t>11</w:t>
            </w:r>
          </w:p>
        </w:tc>
        <w:tc>
          <w:tcPr>
            <w:tcW w:w="4752" w:type="dxa"/>
            <w:vAlign w:val="center"/>
          </w:tcPr>
          <w:p w14:paraId="005B093D">
            <w:pPr>
              <w:spacing w:line="240" w:lineRule="auto"/>
              <w:ind w:firstLine="0" w:firstLineChars="0"/>
              <w:jc w:val="center"/>
              <w:rPr>
                <w:rFonts w:hint="eastAsia"/>
                <w:sz w:val="21"/>
                <w:szCs w:val="21"/>
              </w:rPr>
            </w:pPr>
            <w:r>
              <w:rPr>
                <w:rFonts w:hint="eastAsia"/>
                <w:sz w:val="21"/>
                <w:szCs w:val="21"/>
              </w:rPr>
              <w:t>总硬度（以CaCO计）/（mg/L）</w:t>
            </w:r>
          </w:p>
        </w:tc>
        <w:tc>
          <w:tcPr>
            <w:tcW w:w="2965" w:type="dxa"/>
            <w:vAlign w:val="center"/>
          </w:tcPr>
          <w:p w14:paraId="3F7E11EC">
            <w:pPr>
              <w:spacing w:line="240" w:lineRule="auto"/>
              <w:ind w:firstLine="0" w:firstLineChars="0"/>
              <w:jc w:val="center"/>
              <w:rPr>
                <w:rFonts w:hint="eastAsia"/>
                <w:sz w:val="21"/>
                <w:szCs w:val="21"/>
              </w:rPr>
            </w:pPr>
            <w:r>
              <w:rPr>
                <w:rFonts w:hint="eastAsia"/>
                <w:sz w:val="21"/>
                <w:szCs w:val="21"/>
              </w:rPr>
              <w:t>1000</w:t>
            </w:r>
          </w:p>
        </w:tc>
      </w:tr>
      <w:tr w14:paraId="240AF3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3E4547E0">
            <w:pPr>
              <w:spacing w:line="240" w:lineRule="auto"/>
              <w:ind w:firstLine="0" w:firstLineChars="0"/>
              <w:jc w:val="center"/>
              <w:rPr>
                <w:rFonts w:hint="eastAsia"/>
                <w:sz w:val="21"/>
                <w:szCs w:val="21"/>
              </w:rPr>
            </w:pPr>
            <w:r>
              <w:rPr>
                <w:rFonts w:hint="eastAsia"/>
                <w:sz w:val="21"/>
                <w:szCs w:val="21"/>
              </w:rPr>
              <w:t>12</w:t>
            </w:r>
          </w:p>
        </w:tc>
        <w:tc>
          <w:tcPr>
            <w:tcW w:w="4752" w:type="dxa"/>
            <w:vAlign w:val="center"/>
          </w:tcPr>
          <w:p w14:paraId="02E33CF6">
            <w:pPr>
              <w:spacing w:line="240" w:lineRule="auto"/>
              <w:ind w:firstLine="0" w:firstLineChars="0"/>
              <w:jc w:val="center"/>
              <w:rPr>
                <w:rFonts w:hint="eastAsia"/>
                <w:sz w:val="21"/>
                <w:szCs w:val="21"/>
              </w:rPr>
            </w:pPr>
            <w:r>
              <w:rPr>
                <w:rFonts w:hint="eastAsia"/>
                <w:sz w:val="21"/>
                <w:szCs w:val="21"/>
              </w:rPr>
              <w:t>高锰酸盐指数（以O计)/（mg/L)</w:t>
            </w:r>
          </w:p>
        </w:tc>
        <w:tc>
          <w:tcPr>
            <w:tcW w:w="2965" w:type="dxa"/>
            <w:vAlign w:val="center"/>
          </w:tcPr>
          <w:p w14:paraId="62A66203">
            <w:pPr>
              <w:spacing w:line="240" w:lineRule="auto"/>
              <w:ind w:firstLine="0" w:firstLineChars="0"/>
              <w:jc w:val="center"/>
              <w:rPr>
                <w:rFonts w:hint="eastAsia"/>
                <w:sz w:val="21"/>
                <w:szCs w:val="21"/>
              </w:rPr>
            </w:pPr>
            <w:r>
              <w:rPr>
                <w:rFonts w:hint="eastAsia"/>
                <w:sz w:val="21"/>
                <w:szCs w:val="21"/>
              </w:rPr>
              <w:t>450</w:t>
            </w:r>
          </w:p>
        </w:tc>
      </w:tr>
      <w:tr w14:paraId="4872BF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53218BED">
            <w:pPr>
              <w:spacing w:line="240" w:lineRule="auto"/>
              <w:ind w:firstLine="0" w:firstLineChars="0"/>
              <w:jc w:val="center"/>
              <w:rPr>
                <w:rFonts w:hint="eastAsia"/>
                <w:sz w:val="21"/>
                <w:szCs w:val="21"/>
              </w:rPr>
            </w:pPr>
            <w:r>
              <w:rPr>
                <w:rFonts w:hint="eastAsia"/>
                <w:sz w:val="21"/>
                <w:szCs w:val="21"/>
              </w:rPr>
              <w:t>13</w:t>
            </w:r>
          </w:p>
        </w:tc>
        <w:tc>
          <w:tcPr>
            <w:tcW w:w="4752" w:type="dxa"/>
            <w:vAlign w:val="center"/>
          </w:tcPr>
          <w:p w14:paraId="4901E21B">
            <w:pPr>
              <w:spacing w:line="240" w:lineRule="auto"/>
              <w:ind w:firstLine="0" w:firstLineChars="0"/>
              <w:jc w:val="center"/>
              <w:rPr>
                <w:rFonts w:hint="eastAsia"/>
                <w:sz w:val="21"/>
                <w:szCs w:val="21"/>
              </w:rPr>
            </w:pPr>
            <w:r>
              <w:rPr>
                <w:rFonts w:hint="eastAsia"/>
                <w:sz w:val="21"/>
                <w:szCs w:val="21"/>
              </w:rPr>
              <w:t>氨（以N计）/（mg/L）</w:t>
            </w:r>
          </w:p>
        </w:tc>
        <w:tc>
          <w:tcPr>
            <w:tcW w:w="2965" w:type="dxa"/>
            <w:vAlign w:val="center"/>
          </w:tcPr>
          <w:p w14:paraId="684C0BEF">
            <w:pPr>
              <w:spacing w:line="240" w:lineRule="auto"/>
              <w:ind w:firstLine="0" w:firstLineChars="0"/>
              <w:jc w:val="center"/>
              <w:rPr>
                <w:rFonts w:hint="eastAsia"/>
                <w:sz w:val="21"/>
                <w:szCs w:val="21"/>
              </w:rPr>
            </w:pPr>
            <w:r>
              <w:rPr>
                <w:rFonts w:hint="eastAsia"/>
                <w:sz w:val="21"/>
                <w:szCs w:val="21"/>
              </w:rPr>
              <w:t>3</w:t>
            </w:r>
          </w:p>
        </w:tc>
      </w:tr>
    </w:tbl>
    <w:p w14:paraId="7533AA47">
      <w:pPr>
        <w:ind w:firstLine="420"/>
        <w:jc w:val="center"/>
        <w:rPr>
          <w:rFonts w:hint="eastAsia" w:ascii="微软雅黑" w:hAnsi="微软雅黑" w:eastAsia="微软雅黑" w:cs="微软雅黑"/>
          <w:b/>
          <w:bCs/>
          <w:sz w:val="38"/>
          <w:szCs w:val="38"/>
          <w:shd w:val="clear" w:color="auto" w:fill="FFFFFF"/>
        </w:rPr>
      </w:pPr>
      <w:r>
        <w:rPr>
          <w:rFonts w:hint="eastAsia"/>
          <w:sz w:val="21"/>
          <w:szCs w:val="21"/>
        </w:rPr>
        <w:t>表2生活饮用水消毒剂常规指标及要求：</w:t>
      </w:r>
    </w:p>
    <w:tbl>
      <w:tblPr>
        <w:tblStyle w:val="20"/>
        <w:tblW w:w="852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60"/>
        <w:gridCol w:w="1416"/>
        <w:gridCol w:w="1692"/>
        <w:gridCol w:w="1512"/>
        <w:gridCol w:w="1933"/>
      </w:tblGrid>
      <w:tr w14:paraId="690E57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5A184B18">
            <w:pPr>
              <w:spacing w:line="240" w:lineRule="auto"/>
              <w:ind w:firstLine="0" w:firstLineChars="0"/>
              <w:jc w:val="center"/>
              <w:rPr>
                <w:rFonts w:hint="eastAsia"/>
                <w:sz w:val="21"/>
                <w:szCs w:val="21"/>
              </w:rPr>
            </w:pPr>
            <w:r>
              <w:rPr>
                <w:rFonts w:hint="eastAsia"/>
                <w:sz w:val="21"/>
                <w:szCs w:val="21"/>
              </w:rPr>
              <w:t>序号</w:t>
            </w:r>
          </w:p>
        </w:tc>
        <w:tc>
          <w:tcPr>
            <w:tcW w:w="1260" w:type="dxa"/>
            <w:vAlign w:val="center"/>
          </w:tcPr>
          <w:p w14:paraId="7105C7BC">
            <w:pPr>
              <w:spacing w:line="240" w:lineRule="auto"/>
              <w:ind w:firstLine="0" w:firstLineChars="0"/>
              <w:jc w:val="center"/>
              <w:rPr>
                <w:rFonts w:hint="eastAsia"/>
                <w:sz w:val="21"/>
                <w:szCs w:val="21"/>
              </w:rPr>
            </w:pPr>
            <w:r>
              <w:rPr>
                <w:rFonts w:hint="eastAsia"/>
                <w:sz w:val="21"/>
                <w:szCs w:val="21"/>
              </w:rPr>
              <w:t>指标</w:t>
            </w:r>
          </w:p>
        </w:tc>
        <w:tc>
          <w:tcPr>
            <w:tcW w:w="1416" w:type="dxa"/>
            <w:vAlign w:val="center"/>
          </w:tcPr>
          <w:p w14:paraId="05CC6658">
            <w:pPr>
              <w:spacing w:line="240" w:lineRule="auto"/>
              <w:ind w:firstLine="0" w:firstLineChars="0"/>
              <w:jc w:val="center"/>
              <w:rPr>
                <w:rFonts w:hint="eastAsia"/>
                <w:sz w:val="21"/>
                <w:szCs w:val="21"/>
              </w:rPr>
            </w:pPr>
            <w:r>
              <w:rPr>
                <w:rFonts w:hint="eastAsia"/>
                <w:sz w:val="21"/>
                <w:szCs w:val="21"/>
              </w:rPr>
              <w:t>与水接触时间/min</w:t>
            </w:r>
          </w:p>
        </w:tc>
        <w:tc>
          <w:tcPr>
            <w:tcW w:w="1692" w:type="dxa"/>
            <w:vAlign w:val="center"/>
          </w:tcPr>
          <w:p w14:paraId="0D7EF8F1">
            <w:pPr>
              <w:spacing w:line="240" w:lineRule="auto"/>
              <w:ind w:firstLine="0" w:firstLineChars="0"/>
              <w:jc w:val="center"/>
              <w:rPr>
                <w:rFonts w:hint="eastAsia"/>
                <w:sz w:val="21"/>
                <w:szCs w:val="21"/>
              </w:rPr>
            </w:pPr>
            <w:r>
              <w:rPr>
                <w:rFonts w:hint="eastAsia"/>
                <w:sz w:val="21"/>
                <w:szCs w:val="21"/>
              </w:rPr>
              <w:t>出厂水和末梢水限值/(mg/L)</w:t>
            </w:r>
          </w:p>
        </w:tc>
        <w:tc>
          <w:tcPr>
            <w:tcW w:w="1512" w:type="dxa"/>
            <w:vAlign w:val="center"/>
          </w:tcPr>
          <w:p w14:paraId="5B20E727">
            <w:pPr>
              <w:spacing w:line="240" w:lineRule="auto"/>
              <w:ind w:firstLine="0" w:firstLineChars="0"/>
              <w:jc w:val="center"/>
              <w:rPr>
                <w:rFonts w:hint="eastAsia"/>
                <w:sz w:val="21"/>
                <w:szCs w:val="21"/>
              </w:rPr>
            </w:pPr>
            <w:r>
              <w:rPr>
                <w:rFonts w:hint="eastAsia"/>
                <w:sz w:val="21"/>
                <w:szCs w:val="21"/>
              </w:rPr>
              <w:t>出厂水余量/(mg/L)</w:t>
            </w:r>
          </w:p>
        </w:tc>
        <w:tc>
          <w:tcPr>
            <w:tcW w:w="1933" w:type="dxa"/>
            <w:vAlign w:val="center"/>
          </w:tcPr>
          <w:p w14:paraId="1850A673">
            <w:pPr>
              <w:spacing w:line="240" w:lineRule="auto"/>
              <w:ind w:firstLine="0" w:firstLineChars="0"/>
              <w:jc w:val="center"/>
              <w:rPr>
                <w:rFonts w:hint="eastAsia"/>
                <w:sz w:val="21"/>
                <w:szCs w:val="21"/>
              </w:rPr>
            </w:pPr>
            <w:r>
              <w:rPr>
                <w:rFonts w:hint="eastAsia"/>
                <w:sz w:val="21"/>
                <w:szCs w:val="21"/>
              </w:rPr>
              <w:t>末梢水余量/(mg/L.)</w:t>
            </w:r>
          </w:p>
        </w:tc>
      </w:tr>
      <w:tr w14:paraId="0EA52D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tcPr>
          <w:p w14:paraId="66306BAA">
            <w:pPr>
              <w:spacing w:line="240" w:lineRule="auto"/>
              <w:ind w:firstLine="0" w:firstLineChars="0"/>
              <w:jc w:val="center"/>
              <w:rPr>
                <w:rFonts w:hint="eastAsia"/>
                <w:sz w:val="21"/>
                <w:szCs w:val="21"/>
              </w:rPr>
            </w:pPr>
            <w:r>
              <w:rPr>
                <w:rFonts w:hint="eastAsia"/>
                <w:sz w:val="21"/>
                <w:szCs w:val="21"/>
              </w:rPr>
              <w:t>1</w:t>
            </w:r>
          </w:p>
        </w:tc>
        <w:tc>
          <w:tcPr>
            <w:tcW w:w="1260" w:type="dxa"/>
          </w:tcPr>
          <w:p w14:paraId="6A9F562F">
            <w:pPr>
              <w:spacing w:line="240" w:lineRule="auto"/>
              <w:ind w:firstLine="0" w:firstLineChars="0"/>
              <w:jc w:val="center"/>
              <w:rPr>
                <w:rFonts w:hint="eastAsia"/>
                <w:sz w:val="21"/>
                <w:szCs w:val="21"/>
              </w:rPr>
            </w:pPr>
            <w:r>
              <w:rPr>
                <w:rFonts w:hint="eastAsia"/>
                <w:sz w:val="21"/>
                <w:szCs w:val="21"/>
              </w:rPr>
              <w:t>游离氯</w:t>
            </w:r>
          </w:p>
        </w:tc>
        <w:tc>
          <w:tcPr>
            <w:tcW w:w="1416" w:type="dxa"/>
          </w:tcPr>
          <w:p w14:paraId="7DBA4BD2">
            <w:pPr>
              <w:spacing w:line="240" w:lineRule="auto"/>
              <w:ind w:firstLine="0" w:firstLineChars="0"/>
              <w:jc w:val="center"/>
              <w:rPr>
                <w:rFonts w:hint="eastAsia"/>
                <w:sz w:val="21"/>
                <w:szCs w:val="21"/>
              </w:rPr>
            </w:pPr>
            <w:r>
              <w:rPr>
                <w:rFonts w:hint="eastAsia"/>
                <w:sz w:val="21"/>
                <w:szCs w:val="21"/>
              </w:rPr>
              <w:t>≥30</w:t>
            </w:r>
          </w:p>
        </w:tc>
        <w:tc>
          <w:tcPr>
            <w:tcW w:w="1692" w:type="dxa"/>
          </w:tcPr>
          <w:p w14:paraId="6EFBB611">
            <w:pPr>
              <w:spacing w:line="240" w:lineRule="auto"/>
              <w:ind w:firstLine="0" w:firstLineChars="0"/>
              <w:jc w:val="center"/>
              <w:rPr>
                <w:rFonts w:hint="eastAsia"/>
                <w:sz w:val="21"/>
                <w:szCs w:val="21"/>
              </w:rPr>
            </w:pPr>
            <w:r>
              <w:rPr>
                <w:rFonts w:hint="eastAsia"/>
                <w:sz w:val="21"/>
                <w:szCs w:val="21"/>
              </w:rPr>
              <w:t>≤2</w:t>
            </w:r>
          </w:p>
        </w:tc>
        <w:tc>
          <w:tcPr>
            <w:tcW w:w="1512" w:type="dxa"/>
          </w:tcPr>
          <w:p w14:paraId="498490E7">
            <w:pPr>
              <w:spacing w:line="240" w:lineRule="auto"/>
              <w:ind w:firstLine="0" w:firstLineChars="0"/>
              <w:jc w:val="center"/>
              <w:rPr>
                <w:rFonts w:hint="eastAsia"/>
                <w:sz w:val="21"/>
                <w:szCs w:val="21"/>
              </w:rPr>
            </w:pPr>
            <w:r>
              <w:rPr>
                <w:rFonts w:hint="eastAsia"/>
                <w:sz w:val="21"/>
                <w:szCs w:val="21"/>
              </w:rPr>
              <w:t>≥0.3</w:t>
            </w:r>
          </w:p>
        </w:tc>
        <w:tc>
          <w:tcPr>
            <w:tcW w:w="1933" w:type="dxa"/>
          </w:tcPr>
          <w:p w14:paraId="7DB7C8F4">
            <w:pPr>
              <w:spacing w:line="240" w:lineRule="auto"/>
              <w:ind w:firstLine="0" w:firstLineChars="0"/>
              <w:jc w:val="center"/>
              <w:rPr>
                <w:rFonts w:hint="eastAsia"/>
                <w:sz w:val="21"/>
                <w:szCs w:val="21"/>
              </w:rPr>
            </w:pPr>
            <w:r>
              <w:rPr>
                <w:rFonts w:hint="eastAsia"/>
                <w:sz w:val="21"/>
                <w:szCs w:val="21"/>
              </w:rPr>
              <w:t>≥0.05</w:t>
            </w:r>
          </w:p>
        </w:tc>
      </w:tr>
      <w:tr w14:paraId="08D6A1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tcPr>
          <w:p w14:paraId="71BF3C98">
            <w:pPr>
              <w:spacing w:line="240" w:lineRule="auto"/>
              <w:ind w:firstLine="0" w:firstLineChars="0"/>
              <w:jc w:val="center"/>
              <w:rPr>
                <w:rFonts w:hint="eastAsia"/>
                <w:sz w:val="21"/>
                <w:szCs w:val="21"/>
              </w:rPr>
            </w:pPr>
            <w:r>
              <w:rPr>
                <w:rFonts w:hint="eastAsia"/>
                <w:sz w:val="21"/>
                <w:szCs w:val="21"/>
              </w:rPr>
              <w:t>2</w:t>
            </w:r>
          </w:p>
        </w:tc>
        <w:tc>
          <w:tcPr>
            <w:tcW w:w="1260" w:type="dxa"/>
          </w:tcPr>
          <w:p w14:paraId="50847560">
            <w:pPr>
              <w:spacing w:line="240" w:lineRule="auto"/>
              <w:ind w:firstLine="0" w:firstLineChars="0"/>
              <w:jc w:val="center"/>
              <w:rPr>
                <w:rFonts w:hint="eastAsia"/>
                <w:sz w:val="21"/>
                <w:szCs w:val="21"/>
              </w:rPr>
            </w:pPr>
            <w:r>
              <w:rPr>
                <w:rFonts w:hint="eastAsia"/>
                <w:sz w:val="21"/>
                <w:szCs w:val="21"/>
              </w:rPr>
              <w:t>总氯</w:t>
            </w:r>
          </w:p>
        </w:tc>
        <w:tc>
          <w:tcPr>
            <w:tcW w:w="1416" w:type="dxa"/>
          </w:tcPr>
          <w:p w14:paraId="0497BBEB">
            <w:pPr>
              <w:spacing w:line="240" w:lineRule="auto"/>
              <w:ind w:firstLine="0" w:firstLineChars="0"/>
              <w:jc w:val="center"/>
              <w:rPr>
                <w:rFonts w:hint="eastAsia"/>
                <w:sz w:val="21"/>
                <w:szCs w:val="21"/>
              </w:rPr>
            </w:pPr>
            <w:r>
              <w:rPr>
                <w:rFonts w:hint="eastAsia"/>
                <w:sz w:val="21"/>
                <w:szCs w:val="21"/>
              </w:rPr>
              <w:t>≥120</w:t>
            </w:r>
          </w:p>
        </w:tc>
        <w:tc>
          <w:tcPr>
            <w:tcW w:w="1692" w:type="dxa"/>
          </w:tcPr>
          <w:p w14:paraId="4C10EA41">
            <w:pPr>
              <w:spacing w:line="240" w:lineRule="auto"/>
              <w:ind w:firstLine="0" w:firstLineChars="0"/>
              <w:jc w:val="center"/>
              <w:rPr>
                <w:rFonts w:hint="eastAsia"/>
                <w:sz w:val="21"/>
                <w:szCs w:val="21"/>
              </w:rPr>
            </w:pPr>
            <w:r>
              <w:rPr>
                <w:rFonts w:hint="eastAsia"/>
                <w:sz w:val="21"/>
                <w:szCs w:val="21"/>
              </w:rPr>
              <w:t>≤3</w:t>
            </w:r>
          </w:p>
        </w:tc>
        <w:tc>
          <w:tcPr>
            <w:tcW w:w="1512" w:type="dxa"/>
          </w:tcPr>
          <w:p w14:paraId="3FF7AF2F">
            <w:pPr>
              <w:spacing w:line="240" w:lineRule="auto"/>
              <w:ind w:firstLine="0" w:firstLineChars="0"/>
              <w:jc w:val="center"/>
              <w:rPr>
                <w:rFonts w:hint="eastAsia"/>
                <w:sz w:val="21"/>
                <w:szCs w:val="21"/>
              </w:rPr>
            </w:pPr>
            <w:r>
              <w:rPr>
                <w:rFonts w:hint="eastAsia"/>
                <w:sz w:val="21"/>
                <w:szCs w:val="21"/>
              </w:rPr>
              <w:t>≥0.5</w:t>
            </w:r>
          </w:p>
        </w:tc>
        <w:tc>
          <w:tcPr>
            <w:tcW w:w="1933" w:type="dxa"/>
          </w:tcPr>
          <w:p w14:paraId="1C08634F">
            <w:pPr>
              <w:spacing w:line="240" w:lineRule="auto"/>
              <w:ind w:firstLine="0" w:firstLineChars="0"/>
              <w:jc w:val="center"/>
              <w:rPr>
                <w:rFonts w:hint="eastAsia"/>
                <w:sz w:val="21"/>
                <w:szCs w:val="21"/>
              </w:rPr>
            </w:pPr>
            <w:r>
              <w:rPr>
                <w:rFonts w:hint="eastAsia"/>
                <w:sz w:val="21"/>
                <w:szCs w:val="21"/>
              </w:rPr>
              <w:t>≥0.05</w:t>
            </w:r>
          </w:p>
        </w:tc>
      </w:tr>
      <w:tr w14:paraId="42B6FB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2CF4B5AB">
            <w:pPr>
              <w:spacing w:line="240" w:lineRule="auto"/>
              <w:ind w:firstLine="0" w:firstLineChars="0"/>
              <w:jc w:val="center"/>
              <w:rPr>
                <w:rFonts w:hint="eastAsia"/>
                <w:sz w:val="21"/>
                <w:szCs w:val="21"/>
              </w:rPr>
            </w:pPr>
            <w:r>
              <w:rPr>
                <w:rFonts w:hint="eastAsia"/>
                <w:sz w:val="21"/>
                <w:szCs w:val="21"/>
              </w:rPr>
              <w:t>3</w:t>
            </w:r>
          </w:p>
        </w:tc>
        <w:tc>
          <w:tcPr>
            <w:tcW w:w="1260" w:type="dxa"/>
            <w:vAlign w:val="center"/>
          </w:tcPr>
          <w:p w14:paraId="42EA3B69">
            <w:pPr>
              <w:spacing w:line="240" w:lineRule="auto"/>
              <w:ind w:firstLine="0" w:firstLineChars="0"/>
              <w:jc w:val="center"/>
              <w:rPr>
                <w:rFonts w:hint="eastAsia"/>
                <w:sz w:val="21"/>
                <w:szCs w:val="21"/>
              </w:rPr>
            </w:pPr>
            <w:r>
              <w:rPr>
                <w:rFonts w:hint="eastAsia"/>
                <w:sz w:val="21"/>
                <w:szCs w:val="21"/>
              </w:rPr>
              <w:t>臭氧</w:t>
            </w:r>
          </w:p>
        </w:tc>
        <w:tc>
          <w:tcPr>
            <w:tcW w:w="1416" w:type="dxa"/>
            <w:vAlign w:val="center"/>
          </w:tcPr>
          <w:p w14:paraId="2EF60044">
            <w:pPr>
              <w:spacing w:line="240" w:lineRule="auto"/>
              <w:ind w:firstLine="0" w:firstLineChars="0"/>
              <w:jc w:val="center"/>
              <w:rPr>
                <w:rFonts w:hint="eastAsia"/>
                <w:sz w:val="21"/>
                <w:szCs w:val="21"/>
              </w:rPr>
            </w:pPr>
            <w:r>
              <w:rPr>
                <w:rFonts w:hint="eastAsia"/>
                <w:sz w:val="21"/>
                <w:szCs w:val="21"/>
              </w:rPr>
              <w:t>≥12</w:t>
            </w:r>
          </w:p>
        </w:tc>
        <w:tc>
          <w:tcPr>
            <w:tcW w:w="1692" w:type="dxa"/>
            <w:vAlign w:val="center"/>
          </w:tcPr>
          <w:p w14:paraId="2E74F15E">
            <w:pPr>
              <w:spacing w:line="240" w:lineRule="auto"/>
              <w:ind w:firstLine="0" w:firstLineChars="0"/>
              <w:jc w:val="center"/>
              <w:rPr>
                <w:rFonts w:hint="eastAsia"/>
                <w:sz w:val="21"/>
                <w:szCs w:val="21"/>
              </w:rPr>
            </w:pPr>
            <w:r>
              <w:rPr>
                <w:rFonts w:hint="eastAsia"/>
                <w:sz w:val="21"/>
                <w:szCs w:val="21"/>
              </w:rPr>
              <w:t>≤0.3</w:t>
            </w:r>
          </w:p>
        </w:tc>
        <w:tc>
          <w:tcPr>
            <w:tcW w:w="1512" w:type="dxa"/>
            <w:vAlign w:val="center"/>
          </w:tcPr>
          <w:p w14:paraId="575C739F">
            <w:pPr>
              <w:spacing w:line="240" w:lineRule="auto"/>
              <w:ind w:firstLine="0" w:firstLineChars="0"/>
              <w:jc w:val="center"/>
              <w:rPr>
                <w:rFonts w:hint="eastAsia"/>
                <w:sz w:val="21"/>
                <w:szCs w:val="21"/>
              </w:rPr>
            </w:pPr>
            <w:r>
              <w:rPr>
                <w:rFonts w:hint="eastAsia"/>
                <w:sz w:val="21"/>
                <w:szCs w:val="21"/>
              </w:rPr>
              <w:t>-</w:t>
            </w:r>
          </w:p>
        </w:tc>
        <w:tc>
          <w:tcPr>
            <w:tcW w:w="1933" w:type="dxa"/>
          </w:tcPr>
          <w:p w14:paraId="10CC77C0">
            <w:pPr>
              <w:spacing w:line="240" w:lineRule="auto"/>
              <w:ind w:firstLine="0" w:firstLineChars="0"/>
              <w:jc w:val="center"/>
              <w:rPr>
                <w:rFonts w:hint="eastAsia"/>
                <w:sz w:val="21"/>
                <w:szCs w:val="21"/>
              </w:rPr>
            </w:pPr>
            <w:r>
              <w:rPr>
                <w:rFonts w:hint="eastAsia"/>
                <w:sz w:val="21"/>
                <w:szCs w:val="21"/>
              </w:rPr>
              <w:t>≥0.02</w:t>
            </w:r>
          </w:p>
          <w:p w14:paraId="0F1AC430">
            <w:pPr>
              <w:spacing w:line="240" w:lineRule="auto"/>
              <w:ind w:firstLine="0" w:firstLineChars="0"/>
              <w:jc w:val="center"/>
              <w:rPr>
                <w:rFonts w:hint="eastAsia"/>
                <w:sz w:val="21"/>
                <w:szCs w:val="21"/>
              </w:rPr>
            </w:pPr>
            <w:r>
              <w:rPr>
                <w:rFonts w:hint="eastAsia"/>
                <w:sz w:val="21"/>
                <w:szCs w:val="21"/>
              </w:rPr>
              <w:t>如采用其他协同消毒方式,消毒剂限值及余量应满足相应要求</w:t>
            </w:r>
          </w:p>
          <w:p w14:paraId="10E52B33">
            <w:pPr>
              <w:spacing w:line="240" w:lineRule="auto"/>
              <w:ind w:firstLine="0" w:firstLineChars="0"/>
              <w:jc w:val="center"/>
              <w:rPr>
                <w:rFonts w:hint="eastAsia"/>
                <w:sz w:val="21"/>
                <w:szCs w:val="21"/>
              </w:rPr>
            </w:pPr>
          </w:p>
        </w:tc>
      </w:tr>
      <w:tr w14:paraId="79EC3F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tcPr>
          <w:p w14:paraId="00CCCBED">
            <w:pPr>
              <w:spacing w:line="240" w:lineRule="auto"/>
              <w:ind w:firstLine="0" w:firstLineChars="0"/>
              <w:jc w:val="center"/>
              <w:rPr>
                <w:rFonts w:hint="eastAsia"/>
                <w:sz w:val="21"/>
                <w:szCs w:val="21"/>
              </w:rPr>
            </w:pPr>
            <w:r>
              <w:rPr>
                <w:rFonts w:hint="eastAsia"/>
                <w:sz w:val="21"/>
                <w:szCs w:val="21"/>
              </w:rPr>
              <w:t>4</w:t>
            </w:r>
          </w:p>
        </w:tc>
        <w:tc>
          <w:tcPr>
            <w:tcW w:w="1260" w:type="dxa"/>
          </w:tcPr>
          <w:p w14:paraId="4BB7F9A5">
            <w:pPr>
              <w:spacing w:line="240" w:lineRule="auto"/>
              <w:ind w:firstLine="0" w:firstLineChars="0"/>
              <w:jc w:val="center"/>
              <w:rPr>
                <w:rFonts w:hint="eastAsia"/>
                <w:sz w:val="21"/>
                <w:szCs w:val="21"/>
              </w:rPr>
            </w:pPr>
            <w:r>
              <w:rPr>
                <w:rFonts w:hint="eastAsia"/>
                <w:sz w:val="21"/>
                <w:szCs w:val="21"/>
              </w:rPr>
              <w:t>二氧化氯</w:t>
            </w:r>
          </w:p>
        </w:tc>
        <w:tc>
          <w:tcPr>
            <w:tcW w:w="1416" w:type="dxa"/>
          </w:tcPr>
          <w:p w14:paraId="6BF111C5">
            <w:pPr>
              <w:spacing w:line="240" w:lineRule="auto"/>
              <w:ind w:firstLine="0" w:firstLineChars="0"/>
              <w:jc w:val="center"/>
              <w:rPr>
                <w:rFonts w:hint="eastAsia"/>
                <w:sz w:val="21"/>
                <w:szCs w:val="21"/>
              </w:rPr>
            </w:pPr>
            <w:r>
              <w:rPr>
                <w:rFonts w:hint="eastAsia"/>
                <w:sz w:val="21"/>
                <w:szCs w:val="21"/>
              </w:rPr>
              <w:t>≥30</w:t>
            </w:r>
          </w:p>
        </w:tc>
        <w:tc>
          <w:tcPr>
            <w:tcW w:w="1692" w:type="dxa"/>
          </w:tcPr>
          <w:p w14:paraId="1A43AE47">
            <w:pPr>
              <w:spacing w:line="240" w:lineRule="auto"/>
              <w:ind w:firstLine="0" w:firstLineChars="0"/>
              <w:jc w:val="center"/>
              <w:rPr>
                <w:rFonts w:hint="eastAsia"/>
                <w:sz w:val="21"/>
                <w:szCs w:val="21"/>
              </w:rPr>
            </w:pPr>
            <w:r>
              <w:rPr>
                <w:rFonts w:hint="eastAsia"/>
                <w:sz w:val="21"/>
                <w:szCs w:val="21"/>
              </w:rPr>
              <w:t>≤0.8</w:t>
            </w:r>
          </w:p>
        </w:tc>
        <w:tc>
          <w:tcPr>
            <w:tcW w:w="1512" w:type="dxa"/>
          </w:tcPr>
          <w:p w14:paraId="31818913">
            <w:pPr>
              <w:spacing w:line="240" w:lineRule="auto"/>
              <w:ind w:firstLine="0" w:firstLineChars="0"/>
              <w:jc w:val="center"/>
              <w:rPr>
                <w:rFonts w:hint="eastAsia"/>
                <w:sz w:val="21"/>
                <w:szCs w:val="21"/>
              </w:rPr>
            </w:pPr>
            <w:r>
              <w:rPr>
                <w:rFonts w:hint="eastAsia"/>
                <w:sz w:val="21"/>
                <w:szCs w:val="21"/>
              </w:rPr>
              <w:t>≥0.1</w:t>
            </w:r>
          </w:p>
        </w:tc>
        <w:tc>
          <w:tcPr>
            <w:tcW w:w="1933" w:type="dxa"/>
          </w:tcPr>
          <w:p w14:paraId="517468FB">
            <w:pPr>
              <w:spacing w:line="240" w:lineRule="auto"/>
              <w:ind w:firstLine="0" w:firstLineChars="0"/>
              <w:jc w:val="center"/>
              <w:rPr>
                <w:rFonts w:hint="eastAsia"/>
                <w:sz w:val="21"/>
                <w:szCs w:val="21"/>
              </w:rPr>
            </w:pPr>
            <w:r>
              <w:rPr>
                <w:rFonts w:hint="eastAsia"/>
                <w:sz w:val="21"/>
                <w:szCs w:val="21"/>
              </w:rPr>
              <w:t>≥0.02</w:t>
            </w:r>
          </w:p>
        </w:tc>
      </w:tr>
      <w:tr w14:paraId="168485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22" w:type="dxa"/>
            <w:gridSpan w:val="6"/>
          </w:tcPr>
          <w:p w14:paraId="77405A97">
            <w:pPr>
              <w:spacing w:line="240" w:lineRule="auto"/>
              <w:ind w:firstLine="0" w:firstLineChars="0"/>
              <w:jc w:val="left"/>
              <w:rPr>
                <w:rFonts w:hint="eastAsia"/>
                <w:sz w:val="21"/>
                <w:szCs w:val="21"/>
              </w:rPr>
            </w:pPr>
            <w:r>
              <w:rPr>
                <w:rFonts w:hint="eastAsia"/>
                <w:sz w:val="21"/>
                <w:szCs w:val="21"/>
              </w:rPr>
              <w:t>采用液氯、次氯酸钠、次氯酸钙消毒方式时,应测定游离氣。</w:t>
            </w:r>
          </w:p>
          <w:p w14:paraId="7AE04A5D">
            <w:pPr>
              <w:spacing w:line="240" w:lineRule="auto"/>
              <w:ind w:firstLine="0" w:firstLineChars="0"/>
              <w:jc w:val="left"/>
              <w:rPr>
                <w:rFonts w:hint="eastAsia"/>
                <w:sz w:val="21"/>
                <w:szCs w:val="21"/>
              </w:rPr>
            </w:pPr>
            <w:r>
              <w:rPr>
                <w:rFonts w:hint="eastAsia"/>
                <w:sz w:val="21"/>
                <w:szCs w:val="21"/>
              </w:rPr>
              <w:t>采用氯胺消毒方式时,应测定总氯。</w:t>
            </w:r>
          </w:p>
          <w:p w14:paraId="0991C734">
            <w:pPr>
              <w:spacing w:line="240" w:lineRule="auto"/>
              <w:ind w:firstLine="0" w:firstLineChars="0"/>
              <w:jc w:val="left"/>
              <w:rPr>
                <w:rFonts w:hint="eastAsia"/>
                <w:sz w:val="21"/>
                <w:szCs w:val="21"/>
              </w:rPr>
            </w:pPr>
            <w:r>
              <w:rPr>
                <w:rFonts w:hint="eastAsia"/>
                <w:sz w:val="21"/>
                <w:szCs w:val="21"/>
              </w:rPr>
              <w:t>采用臭氧消毒方式时,应测定臭氧。</w:t>
            </w:r>
          </w:p>
          <w:p w14:paraId="3893BB48">
            <w:pPr>
              <w:spacing w:line="240" w:lineRule="auto"/>
              <w:ind w:firstLine="0" w:firstLineChars="0"/>
              <w:jc w:val="left"/>
              <w:rPr>
                <w:rFonts w:hint="eastAsia"/>
                <w:sz w:val="21"/>
                <w:szCs w:val="21"/>
              </w:rPr>
            </w:pPr>
            <w:r>
              <w:rPr>
                <w:rFonts w:hint="eastAsia"/>
                <w:sz w:val="21"/>
                <w:szCs w:val="21"/>
              </w:rPr>
              <w:t>采用二氧化氯消毒方式时,应测定二氧化氣:采用二氧化氣与氣混合消毒剂发生器消毒方式时,应测定二氧化氯和游离氯。两项指标均应满足限值要求,至少一项指标应满足余量要求。</w:t>
            </w:r>
          </w:p>
        </w:tc>
      </w:tr>
    </w:tbl>
    <w:p w14:paraId="74F44A3B">
      <w:pPr>
        <w:ind w:firstLine="480"/>
        <w:rPr>
          <w:rFonts w:hint="eastAsia"/>
        </w:rPr>
      </w:pPr>
      <w:r>
        <w:rPr>
          <w:rFonts w:hint="eastAsia"/>
        </w:rPr>
        <w:t>根据指标要求农水供水水质监测参数应有：大肠杆菌、微生物、菌落总数、色度、浊度、氟化物、总硬度、高锰酸盐指数、氨。以不同的消毒方式可选择余氯、二氧化氯、臭氧。</w:t>
      </w:r>
    </w:p>
    <w:p w14:paraId="5AD0B451">
      <w:pPr>
        <w:ind w:firstLine="480"/>
        <w:rPr>
          <w:rFonts w:hint="eastAsia"/>
        </w:rPr>
      </w:pPr>
    </w:p>
    <w:p w14:paraId="13A25D12">
      <w:pPr>
        <w:pStyle w:val="2"/>
        <w:rPr>
          <w:rFonts w:hint="eastAsia"/>
        </w:rPr>
      </w:pPr>
      <w:bookmarkStart w:id="7" w:name="_Toc15099"/>
      <w:bookmarkStart w:id="8" w:name="_Toc6434"/>
      <w:r>
        <w:rPr>
          <w:rFonts w:hint="eastAsia"/>
        </w:rPr>
        <w:t>建设方案设计</w:t>
      </w:r>
      <w:bookmarkEnd w:id="7"/>
      <w:bookmarkEnd w:id="8"/>
    </w:p>
    <w:p w14:paraId="56D9469E">
      <w:pPr>
        <w:pStyle w:val="3"/>
        <w:rPr>
          <w:rFonts w:hint="eastAsia"/>
        </w:rPr>
      </w:pPr>
      <w:bookmarkStart w:id="9" w:name="_Toc3583"/>
      <w:r>
        <w:rPr>
          <w:rFonts w:hint="eastAsia"/>
        </w:rPr>
        <w:t>系统框架图</w:t>
      </w:r>
      <w:bookmarkEnd w:id="9"/>
    </w:p>
    <w:p w14:paraId="6876F563">
      <w:pPr>
        <w:ind w:firstLine="0" w:firstLineChars="0"/>
        <w:jc w:val="center"/>
        <w:rPr>
          <w:rFonts w:hint="eastAsia"/>
        </w:rPr>
      </w:pPr>
      <w:r>
        <w:rPr>
          <w:rFonts w:hint="eastAsia"/>
        </w:rPr>
        <w:drawing>
          <wp:inline distT="0" distB="0" distL="114300" distR="114300">
            <wp:extent cx="5273040" cy="3337560"/>
            <wp:effectExtent l="0" t="0" r="0" b="0"/>
            <wp:docPr id="10" name="图片 10" descr="lQLPJwt9J4MyEX3NAbbNArSwXvGa5HxCpjIHip7_r9GTAA_692_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lQLPJwt9J4MyEX3NAbbNArSwXvGa5HxCpjIHip7_r9GTAA_692_438"/>
                    <pic:cNvPicPr>
                      <a:picLocks noChangeAspect="1"/>
                    </pic:cNvPicPr>
                  </pic:nvPicPr>
                  <pic:blipFill>
                    <a:blip r:embed="rId16"/>
                    <a:stretch>
                      <a:fillRect/>
                    </a:stretch>
                  </pic:blipFill>
                  <pic:spPr>
                    <a:xfrm>
                      <a:off x="0" y="0"/>
                      <a:ext cx="5273040" cy="3337560"/>
                    </a:xfrm>
                    <a:prstGeom prst="rect">
                      <a:avLst/>
                    </a:prstGeom>
                  </pic:spPr>
                </pic:pic>
              </a:graphicData>
            </a:graphic>
          </wp:inline>
        </w:drawing>
      </w:r>
    </w:p>
    <w:p w14:paraId="36B0B693">
      <w:pPr>
        <w:ind w:firstLine="0" w:firstLineChars="0"/>
        <w:jc w:val="center"/>
        <w:rPr>
          <w:rFonts w:hint="eastAsia"/>
        </w:rPr>
      </w:pPr>
    </w:p>
    <w:p w14:paraId="3458F68D">
      <w:pPr>
        <w:ind w:firstLine="480"/>
        <w:rPr>
          <w:rFonts w:hint="eastAsia"/>
        </w:rPr>
      </w:pPr>
      <w:r>
        <w:t>一站式乡镇、</w:t>
      </w:r>
      <w:r>
        <w:rPr>
          <w:rFonts w:hint="eastAsia"/>
        </w:rPr>
        <w:t>农村供水</w:t>
      </w:r>
      <w:r>
        <w:t>数字化解决方案设计基于物联网理念，是以物联网、云计算和地理空间信息平台为技术支撑，通过对农村饮水安全信息的智能采集、智能处理和智能应用，在全市范围内建成农村饮水安全管理信息采集监控系统和资源共享服务系统，通过对供水工程监测信息的自动采集和综合分析，实现农村饮水安全监管的信息自动化，全面提升农村饮水安全监管水平和工作效率。</w:t>
      </w:r>
    </w:p>
    <w:p w14:paraId="53F74E32">
      <w:pPr>
        <w:ind w:firstLine="480"/>
        <w:rPr>
          <w:rFonts w:hint="eastAsia"/>
        </w:rPr>
      </w:pPr>
      <w:r>
        <w:t>主要功能包括：一张图、基础信息、运行监控、水质监管、监督管理、精准扶贫、信息填报、统计分析等。系统由监控中心、传输单元、供水站点等组成，具备系统运行状态监控、视频监控、供水状态监控、远程控制、远程操作等功能。</w:t>
      </w:r>
    </w:p>
    <w:p w14:paraId="517FBF3C">
      <w:pPr>
        <w:ind w:firstLine="480"/>
        <w:rPr>
          <w:rFonts w:hint="eastAsia"/>
        </w:rPr>
      </w:pPr>
      <w:r>
        <w:rPr>
          <w:rFonts w:hint="eastAsia"/>
        </w:rPr>
        <w:t>监测中心由系统服务器、工作站、打印机、太阳能供电、无线通信等组成。测控中心连接无线网络，通过2G/3G/4G方式，将供水站与测控中心无线连接，完成水站数据采集及中心命令下发。测控中心还可通过Internet连接至云服务器，将汇总数据和实时数据提交到水务信息平台，各级水务人员可通过平台按权限查看农饮水信息，实现了省、市、县各级水务部门的垂直管理。</w:t>
      </w:r>
    </w:p>
    <w:p w14:paraId="2CD8504B">
      <w:pPr>
        <w:ind w:firstLine="480"/>
        <w:rPr>
          <w:rFonts w:hint="eastAsia"/>
        </w:rPr>
      </w:pPr>
      <w:r>
        <w:rPr>
          <w:rFonts w:hint="eastAsia"/>
        </w:rPr>
        <w:t>供水站由测控柜（测控终端）、无线数据采集传输终端、水源井控制柜、变频器控制柜、PLC控制柜、电源控制柜及相关供水设备、测量仪表等组成。供水站由测控终端采集供水设备和各测量仪表的各种运行信息，通过RTU上报测控中心；同时接收并执行测控中心下发的控制命令和任务。</w:t>
      </w:r>
    </w:p>
    <w:p w14:paraId="018D0B84">
      <w:pPr>
        <w:pStyle w:val="3"/>
        <w:rPr>
          <w:rFonts w:hint="eastAsia"/>
        </w:rPr>
      </w:pPr>
      <w:bookmarkStart w:id="10" w:name="_Toc24817"/>
      <w:r>
        <w:rPr>
          <w:rFonts w:hint="eastAsia"/>
        </w:rPr>
        <w:t>设备选型策略</w:t>
      </w:r>
      <w:bookmarkEnd w:id="10"/>
    </w:p>
    <w:p w14:paraId="1AFF7842">
      <w:pPr>
        <w:numPr>
          <w:ilvl w:val="0"/>
          <w:numId w:val="2"/>
        </w:numPr>
        <w:ind w:firstLine="480"/>
        <w:rPr>
          <w:rFonts w:hint="eastAsia"/>
        </w:rPr>
      </w:pPr>
      <w:r>
        <w:rPr>
          <w:rFonts w:hint="eastAsia"/>
        </w:rPr>
        <w:t>核心监测参数与设备对应</w:t>
      </w:r>
    </w:p>
    <w:tbl>
      <w:tblPr>
        <w:tblStyle w:val="20"/>
        <w:tblpPr w:leftFromText="180" w:rightFromText="180" w:vertAnchor="text" w:horzAnchor="page" w:tblpX="1762" w:tblpY="469"/>
        <w:tblOverlap w:val="never"/>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71"/>
        <w:gridCol w:w="3278"/>
        <w:gridCol w:w="3070"/>
      </w:tblGrid>
      <w:tr w14:paraId="7898C3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74" w:type="pct"/>
            <w:vAlign w:val="center"/>
          </w:tcPr>
          <w:p w14:paraId="0FC561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b/>
                <w:bCs/>
                <w:sz w:val="21"/>
                <w:szCs w:val="21"/>
              </w:rPr>
            </w:pPr>
            <w:r>
              <w:rPr>
                <w:rFonts w:hint="eastAsia"/>
                <w:b/>
                <w:bCs/>
                <w:sz w:val="21"/>
                <w:szCs w:val="21"/>
              </w:rPr>
              <w:t>核心监测参数</w:t>
            </w:r>
          </w:p>
        </w:tc>
        <w:tc>
          <w:tcPr>
            <w:tcW w:w="1923" w:type="pct"/>
            <w:vAlign w:val="center"/>
          </w:tcPr>
          <w:p w14:paraId="224B82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b/>
                <w:bCs/>
                <w:sz w:val="21"/>
                <w:szCs w:val="21"/>
              </w:rPr>
            </w:pPr>
            <w:r>
              <w:rPr>
                <w:rFonts w:hint="eastAsia"/>
                <w:b/>
                <w:bCs/>
                <w:sz w:val="21"/>
                <w:szCs w:val="21"/>
              </w:rPr>
              <w:t>设备名称</w:t>
            </w:r>
          </w:p>
        </w:tc>
        <w:tc>
          <w:tcPr>
            <w:tcW w:w="1801" w:type="pct"/>
            <w:vAlign w:val="center"/>
          </w:tcPr>
          <w:p w14:paraId="45E18A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b/>
                <w:bCs/>
                <w:sz w:val="21"/>
                <w:szCs w:val="21"/>
              </w:rPr>
            </w:pPr>
            <w:r>
              <w:rPr>
                <w:rFonts w:hint="eastAsia"/>
                <w:b/>
                <w:bCs/>
                <w:sz w:val="21"/>
                <w:szCs w:val="21"/>
              </w:rPr>
              <w:t>设备原理</w:t>
            </w:r>
          </w:p>
        </w:tc>
      </w:tr>
      <w:tr w14:paraId="61AB31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74" w:type="pct"/>
            <w:shd w:val="clear" w:color="auto" w:fill="auto"/>
            <w:vAlign w:val="center"/>
          </w:tcPr>
          <w:p w14:paraId="1782C5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大肠杆菌</w:t>
            </w:r>
          </w:p>
        </w:tc>
        <w:tc>
          <w:tcPr>
            <w:tcW w:w="1923" w:type="pct"/>
            <w:shd w:val="clear" w:color="auto" w:fill="auto"/>
            <w:vAlign w:val="center"/>
          </w:tcPr>
          <w:p w14:paraId="0EDD75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大肠杆菌在线分析仪</w:t>
            </w:r>
          </w:p>
        </w:tc>
        <w:tc>
          <w:tcPr>
            <w:tcW w:w="1801" w:type="pct"/>
            <w:shd w:val="clear" w:color="auto" w:fill="auto"/>
            <w:vAlign w:val="center"/>
          </w:tcPr>
          <w:p w14:paraId="60DEE2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酶底物法</w:t>
            </w:r>
          </w:p>
        </w:tc>
      </w:tr>
      <w:tr w14:paraId="6748A7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74" w:type="pct"/>
            <w:shd w:val="clear" w:color="auto" w:fill="auto"/>
            <w:vAlign w:val="center"/>
          </w:tcPr>
          <w:p w14:paraId="7F8F86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生物毒性</w:t>
            </w:r>
          </w:p>
        </w:tc>
        <w:tc>
          <w:tcPr>
            <w:tcW w:w="1923" w:type="pct"/>
            <w:shd w:val="clear" w:color="auto" w:fill="auto"/>
            <w:vAlign w:val="center"/>
          </w:tcPr>
          <w:p w14:paraId="4025F9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生物毒性在线分析仪</w:t>
            </w:r>
          </w:p>
        </w:tc>
        <w:tc>
          <w:tcPr>
            <w:tcW w:w="1801" w:type="pct"/>
            <w:shd w:val="clear" w:color="auto" w:fill="auto"/>
            <w:vAlign w:val="center"/>
          </w:tcPr>
          <w:p w14:paraId="0BDE39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发光细菌法</w:t>
            </w:r>
          </w:p>
        </w:tc>
      </w:tr>
      <w:tr w14:paraId="2422B4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74" w:type="pct"/>
            <w:shd w:val="clear" w:color="auto" w:fill="auto"/>
            <w:vAlign w:val="center"/>
          </w:tcPr>
          <w:p w14:paraId="6946D9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色度</w:t>
            </w:r>
          </w:p>
        </w:tc>
        <w:tc>
          <w:tcPr>
            <w:tcW w:w="1923" w:type="pct"/>
            <w:shd w:val="clear" w:color="auto" w:fill="auto"/>
            <w:vAlign w:val="center"/>
          </w:tcPr>
          <w:p w14:paraId="5E05EF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在线色度传感器</w:t>
            </w:r>
          </w:p>
        </w:tc>
        <w:tc>
          <w:tcPr>
            <w:tcW w:w="1801" w:type="pct"/>
            <w:shd w:val="clear" w:color="auto" w:fill="auto"/>
            <w:vAlign w:val="center"/>
          </w:tcPr>
          <w:p w14:paraId="24CE94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双波长可见光吸收法</w:t>
            </w:r>
          </w:p>
        </w:tc>
      </w:tr>
      <w:tr w14:paraId="327EEF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74" w:type="pct"/>
            <w:shd w:val="clear" w:color="auto" w:fill="auto"/>
            <w:vAlign w:val="center"/>
          </w:tcPr>
          <w:p w14:paraId="6272BA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浊度</w:t>
            </w:r>
          </w:p>
        </w:tc>
        <w:tc>
          <w:tcPr>
            <w:tcW w:w="1923" w:type="pct"/>
            <w:shd w:val="clear" w:color="auto" w:fill="auto"/>
            <w:vAlign w:val="center"/>
          </w:tcPr>
          <w:p w14:paraId="66624A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在线浊度传感器</w:t>
            </w:r>
          </w:p>
        </w:tc>
        <w:tc>
          <w:tcPr>
            <w:tcW w:w="1801" w:type="pct"/>
            <w:shd w:val="clear" w:color="auto" w:fill="auto"/>
            <w:vAlign w:val="center"/>
          </w:tcPr>
          <w:p w14:paraId="63D30B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散射光法</w:t>
            </w:r>
          </w:p>
        </w:tc>
      </w:tr>
      <w:tr w14:paraId="7CD9F8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74" w:type="pct"/>
            <w:shd w:val="clear" w:color="auto" w:fill="auto"/>
            <w:vAlign w:val="center"/>
          </w:tcPr>
          <w:p w14:paraId="4AB7DD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PH</w:t>
            </w:r>
          </w:p>
        </w:tc>
        <w:tc>
          <w:tcPr>
            <w:tcW w:w="1923" w:type="pct"/>
            <w:shd w:val="clear" w:color="auto" w:fill="auto"/>
            <w:vAlign w:val="center"/>
          </w:tcPr>
          <w:p w14:paraId="0ACC2B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在线PH传感器</w:t>
            </w:r>
          </w:p>
        </w:tc>
        <w:tc>
          <w:tcPr>
            <w:tcW w:w="1801" w:type="pct"/>
            <w:shd w:val="clear" w:color="auto" w:fill="auto"/>
            <w:vAlign w:val="center"/>
          </w:tcPr>
          <w:p w14:paraId="55BADD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玻璃电极法</w:t>
            </w:r>
          </w:p>
        </w:tc>
      </w:tr>
      <w:tr w14:paraId="4DBB56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74" w:type="pct"/>
            <w:shd w:val="clear" w:color="auto" w:fill="auto"/>
            <w:vAlign w:val="center"/>
          </w:tcPr>
          <w:p w14:paraId="524AD5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电导率</w:t>
            </w:r>
          </w:p>
        </w:tc>
        <w:tc>
          <w:tcPr>
            <w:tcW w:w="1923" w:type="pct"/>
            <w:shd w:val="clear" w:color="auto" w:fill="auto"/>
            <w:vAlign w:val="center"/>
          </w:tcPr>
          <w:p w14:paraId="4A824E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在线电导率传感器</w:t>
            </w:r>
          </w:p>
        </w:tc>
        <w:tc>
          <w:tcPr>
            <w:tcW w:w="1801" w:type="pct"/>
            <w:shd w:val="clear" w:color="auto" w:fill="auto"/>
            <w:vAlign w:val="center"/>
          </w:tcPr>
          <w:p w14:paraId="778538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sz w:val="21"/>
                <w:szCs w:val="21"/>
              </w:rPr>
              <w:t>接触式电极法</w:t>
            </w:r>
          </w:p>
        </w:tc>
      </w:tr>
      <w:tr w14:paraId="18C630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74" w:type="pct"/>
            <w:shd w:val="clear" w:color="auto" w:fill="auto"/>
            <w:vAlign w:val="center"/>
          </w:tcPr>
          <w:p w14:paraId="51157F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硬度</w:t>
            </w:r>
          </w:p>
        </w:tc>
        <w:tc>
          <w:tcPr>
            <w:tcW w:w="1923" w:type="pct"/>
            <w:shd w:val="clear" w:color="auto" w:fill="auto"/>
            <w:vAlign w:val="center"/>
          </w:tcPr>
          <w:p w14:paraId="40C919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在线硬度传感器/在线硬度分析仪</w:t>
            </w:r>
          </w:p>
        </w:tc>
        <w:tc>
          <w:tcPr>
            <w:tcW w:w="1801" w:type="pct"/>
            <w:shd w:val="clear" w:color="auto" w:fill="auto"/>
            <w:vAlign w:val="center"/>
          </w:tcPr>
          <w:p w14:paraId="7DEA18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离子选择法/比色滴定</w:t>
            </w:r>
          </w:p>
        </w:tc>
      </w:tr>
      <w:tr w14:paraId="570D1F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74" w:type="pct"/>
            <w:shd w:val="clear" w:color="auto" w:fill="auto"/>
            <w:vAlign w:val="center"/>
          </w:tcPr>
          <w:p w14:paraId="06521C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氨氮</w:t>
            </w:r>
          </w:p>
        </w:tc>
        <w:tc>
          <w:tcPr>
            <w:tcW w:w="1923" w:type="pct"/>
            <w:shd w:val="clear" w:color="auto" w:fill="auto"/>
            <w:vAlign w:val="center"/>
          </w:tcPr>
          <w:p w14:paraId="171D06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在线氨氮传感器/在线氨氮分析仪/在线全光谱多参数传感器/便携式多参数分析仪</w:t>
            </w:r>
          </w:p>
        </w:tc>
        <w:tc>
          <w:tcPr>
            <w:tcW w:w="1801" w:type="pct"/>
            <w:shd w:val="clear" w:color="auto" w:fill="auto"/>
            <w:vAlign w:val="center"/>
          </w:tcPr>
          <w:p w14:paraId="4F8FB4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离子选择法/水杨酸法/全光谱法/光电比色法</w:t>
            </w:r>
          </w:p>
        </w:tc>
      </w:tr>
      <w:tr w14:paraId="417E10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74" w:type="pct"/>
            <w:shd w:val="clear" w:color="auto" w:fill="auto"/>
            <w:vAlign w:val="center"/>
          </w:tcPr>
          <w:p w14:paraId="5BE599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硝氮</w:t>
            </w:r>
          </w:p>
        </w:tc>
        <w:tc>
          <w:tcPr>
            <w:tcW w:w="1923" w:type="pct"/>
            <w:shd w:val="clear" w:color="auto" w:fill="auto"/>
            <w:vAlign w:val="center"/>
          </w:tcPr>
          <w:p w14:paraId="5D928F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cs="宋体"/>
                <w:i w:val="0"/>
                <w:iCs w:val="0"/>
                <w:color w:val="000000"/>
                <w:kern w:val="0"/>
                <w:sz w:val="21"/>
                <w:szCs w:val="21"/>
                <w:u w:val="none"/>
                <w:lang w:val="en-US" w:eastAsia="zh-CN" w:bidi="ar"/>
              </w:rPr>
              <w:t>在线光学硝氮传感器</w:t>
            </w:r>
          </w:p>
        </w:tc>
        <w:tc>
          <w:tcPr>
            <w:tcW w:w="1801" w:type="pct"/>
            <w:shd w:val="clear" w:color="auto" w:fill="auto"/>
            <w:vAlign w:val="center"/>
          </w:tcPr>
          <w:p w14:paraId="6CB9DA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双波长可见光吸收法</w:t>
            </w:r>
          </w:p>
        </w:tc>
      </w:tr>
      <w:tr w14:paraId="77AB45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74" w:type="pct"/>
            <w:shd w:val="clear" w:color="auto" w:fill="auto"/>
            <w:vAlign w:val="center"/>
          </w:tcPr>
          <w:p w14:paraId="2D7E02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高锰酸盐指数</w:t>
            </w:r>
          </w:p>
        </w:tc>
        <w:tc>
          <w:tcPr>
            <w:tcW w:w="1923" w:type="pct"/>
            <w:shd w:val="clear" w:color="auto" w:fill="auto"/>
            <w:vAlign w:val="center"/>
          </w:tcPr>
          <w:p w14:paraId="5621D8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在线高锰酸盐指数分析</w:t>
            </w:r>
            <w:r>
              <w:rPr>
                <w:rFonts w:hint="eastAsia" w:cs="宋体"/>
                <w:i w:val="0"/>
                <w:iCs w:val="0"/>
                <w:color w:val="000000"/>
                <w:kern w:val="0"/>
                <w:sz w:val="21"/>
                <w:szCs w:val="21"/>
                <w:u w:val="none"/>
                <w:lang w:val="en-US" w:eastAsia="zh-CN" w:bidi="ar"/>
              </w:rPr>
              <w:t>仪</w:t>
            </w:r>
            <w:r>
              <w:rPr>
                <w:rFonts w:hint="eastAsia" w:ascii="宋体" w:hAnsi="宋体" w:eastAsia="宋体" w:cs="宋体"/>
                <w:i w:val="0"/>
                <w:iCs w:val="0"/>
                <w:color w:val="000000"/>
                <w:kern w:val="0"/>
                <w:sz w:val="21"/>
                <w:szCs w:val="21"/>
                <w:u w:val="none"/>
                <w:lang w:val="en-US" w:eastAsia="zh-CN" w:bidi="ar"/>
              </w:rPr>
              <w:t>/在线全光谱多参数传感器/便携式多参数分析仪</w:t>
            </w:r>
          </w:p>
        </w:tc>
        <w:tc>
          <w:tcPr>
            <w:tcW w:w="1801" w:type="pct"/>
            <w:shd w:val="clear" w:color="auto" w:fill="auto"/>
            <w:vAlign w:val="center"/>
          </w:tcPr>
          <w:p w14:paraId="6B8566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高锰酸钾氧化法/全光谱法/光电比色法</w:t>
            </w:r>
          </w:p>
        </w:tc>
      </w:tr>
      <w:tr w14:paraId="5C08AB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74" w:type="pct"/>
            <w:shd w:val="clear" w:color="auto" w:fill="auto"/>
            <w:vAlign w:val="center"/>
          </w:tcPr>
          <w:p w14:paraId="00A90B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余氯</w:t>
            </w:r>
          </w:p>
        </w:tc>
        <w:tc>
          <w:tcPr>
            <w:tcW w:w="1923" w:type="pct"/>
            <w:shd w:val="clear" w:color="auto" w:fill="auto"/>
            <w:vAlign w:val="center"/>
          </w:tcPr>
          <w:p w14:paraId="7017BD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在线余氯传感器/在线余氯分析仪/便携式多参数分析仪</w:t>
            </w:r>
          </w:p>
        </w:tc>
        <w:tc>
          <w:tcPr>
            <w:tcW w:w="1801" w:type="pct"/>
            <w:shd w:val="clear" w:color="auto" w:fill="auto"/>
            <w:vAlign w:val="center"/>
          </w:tcPr>
          <w:p w14:paraId="59DBB0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sz w:val="21"/>
                <w:szCs w:val="21"/>
              </w:rPr>
              <w:t>恒压法</w:t>
            </w:r>
            <w:r>
              <w:rPr>
                <w:rFonts w:hint="eastAsia" w:ascii="宋体" w:hAnsi="宋体" w:eastAsia="宋体" w:cs="宋体"/>
                <w:i w:val="0"/>
                <w:iCs w:val="0"/>
                <w:color w:val="000000"/>
                <w:kern w:val="0"/>
                <w:sz w:val="21"/>
                <w:szCs w:val="21"/>
                <w:u w:val="none"/>
                <w:lang w:val="en-US" w:eastAsia="zh-CN" w:bidi="ar"/>
              </w:rPr>
              <w:t>/DPD</w:t>
            </w:r>
            <w:r>
              <w:rPr>
                <w:rFonts w:hint="eastAsia" w:cs="宋体"/>
                <w:i w:val="0"/>
                <w:iCs w:val="0"/>
                <w:color w:val="000000"/>
                <w:kern w:val="0"/>
                <w:sz w:val="21"/>
                <w:szCs w:val="21"/>
                <w:u w:val="none"/>
                <w:lang w:val="en-US" w:eastAsia="zh-CN" w:bidi="ar"/>
              </w:rPr>
              <w:t>吸光度法</w:t>
            </w:r>
            <w:r>
              <w:rPr>
                <w:rFonts w:hint="eastAsia" w:ascii="宋体" w:hAnsi="宋体" w:eastAsia="宋体" w:cs="宋体"/>
                <w:i w:val="0"/>
                <w:iCs w:val="0"/>
                <w:color w:val="000000"/>
                <w:kern w:val="0"/>
                <w:sz w:val="21"/>
                <w:szCs w:val="21"/>
                <w:u w:val="none"/>
                <w:lang w:val="en-US" w:eastAsia="zh-CN" w:bidi="ar"/>
              </w:rPr>
              <w:t>/光电比色法</w:t>
            </w:r>
          </w:p>
        </w:tc>
      </w:tr>
      <w:tr w14:paraId="619C3C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74" w:type="pct"/>
            <w:shd w:val="clear" w:color="auto" w:fill="auto"/>
            <w:vAlign w:val="center"/>
          </w:tcPr>
          <w:p w14:paraId="53AB52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二氧化氯</w:t>
            </w:r>
          </w:p>
        </w:tc>
        <w:tc>
          <w:tcPr>
            <w:tcW w:w="1923" w:type="pct"/>
            <w:shd w:val="clear" w:color="auto" w:fill="auto"/>
            <w:vAlign w:val="center"/>
          </w:tcPr>
          <w:p w14:paraId="6E97AD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在线二氧化氯传感器/便携式多参数分析仪</w:t>
            </w:r>
          </w:p>
        </w:tc>
        <w:tc>
          <w:tcPr>
            <w:tcW w:w="1801" w:type="pct"/>
            <w:shd w:val="clear" w:color="auto" w:fill="auto"/>
            <w:vAlign w:val="center"/>
          </w:tcPr>
          <w:p w14:paraId="4BE9C0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sz w:val="21"/>
                <w:szCs w:val="21"/>
              </w:rPr>
              <w:t>恒压法</w:t>
            </w:r>
            <w:r>
              <w:rPr>
                <w:rFonts w:hint="eastAsia" w:ascii="宋体" w:hAnsi="宋体" w:eastAsia="宋体" w:cs="宋体"/>
                <w:i w:val="0"/>
                <w:iCs w:val="0"/>
                <w:color w:val="000000"/>
                <w:kern w:val="0"/>
                <w:sz w:val="21"/>
                <w:szCs w:val="21"/>
                <w:u w:val="none"/>
                <w:lang w:val="en-US" w:eastAsia="zh-CN" w:bidi="ar"/>
              </w:rPr>
              <w:t>/光电比色法</w:t>
            </w:r>
          </w:p>
        </w:tc>
      </w:tr>
      <w:tr w14:paraId="719462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1274" w:type="pct"/>
            <w:shd w:val="clear" w:color="auto" w:fill="auto"/>
            <w:vAlign w:val="center"/>
          </w:tcPr>
          <w:p w14:paraId="41C863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臭氧</w:t>
            </w:r>
          </w:p>
        </w:tc>
        <w:tc>
          <w:tcPr>
            <w:tcW w:w="1923" w:type="pct"/>
            <w:shd w:val="clear" w:color="auto" w:fill="auto"/>
            <w:vAlign w:val="center"/>
          </w:tcPr>
          <w:p w14:paraId="3F96FC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在线臭氧传感器</w:t>
            </w:r>
          </w:p>
        </w:tc>
        <w:tc>
          <w:tcPr>
            <w:tcW w:w="1801" w:type="pct"/>
            <w:shd w:val="clear" w:color="auto" w:fill="auto"/>
            <w:vAlign w:val="center"/>
          </w:tcPr>
          <w:p w14:paraId="1E5658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sz w:val="21"/>
                <w:szCs w:val="21"/>
              </w:rPr>
              <w:t>恒压法</w:t>
            </w:r>
          </w:p>
        </w:tc>
      </w:tr>
      <w:tr w14:paraId="728087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74" w:type="pct"/>
            <w:shd w:val="clear" w:color="auto" w:fill="auto"/>
            <w:vAlign w:val="center"/>
          </w:tcPr>
          <w:p w14:paraId="649A56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流量</w:t>
            </w:r>
          </w:p>
        </w:tc>
        <w:tc>
          <w:tcPr>
            <w:tcW w:w="1923" w:type="pct"/>
            <w:shd w:val="clear" w:color="auto" w:fill="auto"/>
            <w:vAlign w:val="center"/>
          </w:tcPr>
          <w:p w14:paraId="0FF243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电磁流量计</w:t>
            </w:r>
          </w:p>
        </w:tc>
        <w:tc>
          <w:tcPr>
            <w:tcW w:w="1801" w:type="pct"/>
            <w:shd w:val="clear" w:color="auto" w:fill="auto"/>
            <w:vAlign w:val="center"/>
          </w:tcPr>
          <w:p w14:paraId="5C137B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sz w:val="21"/>
                <w:szCs w:val="21"/>
              </w:rPr>
            </w:pPr>
            <w:r>
              <w:rPr>
                <w:rFonts w:hint="eastAsia" w:ascii="宋体" w:hAnsi="宋体" w:eastAsia="宋体" w:cs="宋体"/>
                <w:i w:val="0"/>
                <w:iCs w:val="0"/>
                <w:color w:val="000000"/>
                <w:kern w:val="0"/>
                <w:sz w:val="21"/>
                <w:szCs w:val="21"/>
                <w:u w:val="none"/>
                <w:lang w:val="en-US" w:eastAsia="zh-CN" w:bidi="ar"/>
              </w:rPr>
              <w:t>法拉第电磁感应</w:t>
            </w:r>
          </w:p>
        </w:tc>
      </w:tr>
      <w:tr w14:paraId="113661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74" w:type="pct"/>
            <w:shd w:val="clear" w:color="auto" w:fill="auto"/>
            <w:vAlign w:val="center"/>
          </w:tcPr>
          <w:p w14:paraId="47C96D3D">
            <w:pPr>
              <w:spacing w:line="240" w:lineRule="auto"/>
              <w:ind w:firstLine="0" w:firstLineChars="0"/>
              <w:jc w:val="center"/>
              <w:rPr>
                <w:rFonts w:hint="eastAsia" w:ascii="宋体" w:hAnsi="宋体" w:eastAsia="宋体" w:cs="宋体"/>
                <w:kern w:val="2"/>
                <w:sz w:val="21"/>
                <w:szCs w:val="21"/>
                <w:lang w:val="en-US" w:eastAsia="zh-CN" w:bidi="ar-SA"/>
              </w:rPr>
            </w:pPr>
            <w:r>
              <w:rPr>
                <w:rFonts w:hint="eastAsia"/>
                <w:sz w:val="21"/>
                <w:szCs w:val="21"/>
                <w:lang w:val="en-US" w:eastAsia="zh-CN"/>
              </w:rPr>
              <w:t>水位</w:t>
            </w:r>
          </w:p>
        </w:tc>
        <w:tc>
          <w:tcPr>
            <w:tcW w:w="1923" w:type="pct"/>
            <w:shd w:val="clear" w:color="auto" w:fill="auto"/>
            <w:vAlign w:val="center"/>
          </w:tcPr>
          <w:p w14:paraId="15709880">
            <w:pPr>
              <w:spacing w:line="240" w:lineRule="auto"/>
              <w:ind w:firstLine="0" w:firstLineChars="0"/>
              <w:jc w:val="center"/>
              <w:rPr>
                <w:rFonts w:hint="eastAsia" w:ascii="宋体" w:hAnsi="宋体" w:eastAsia="宋体" w:cs="宋体"/>
                <w:kern w:val="2"/>
                <w:sz w:val="21"/>
                <w:szCs w:val="21"/>
                <w:lang w:val="en-US" w:eastAsia="zh-CN" w:bidi="ar-SA"/>
              </w:rPr>
            </w:pPr>
            <w:r>
              <w:rPr>
                <w:rFonts w:hint="eastAsia"/>
                <w:sz w:val="21"/>
                <w:szCs w:val="21"/>
                <w:lang w:val="en-US" w:eastAsia="zh-CN"/>
              </w:rPr>
              <w:t>超声波液位计</w:t>
            </w:r>
          </w:p>
        </w:tc>
        <w:tc>
          <w:tcPr>
            <w:tcW w:w="1801" w:type="pct"/>
            <w:shd w:val="clear" w:color="auto" w:fill="auto"/>
            <w:vAlign w:val="center"/>
          </w:tcPr>
          <w:p w14:paraId="1B972A16">
            <w:pPr>
              <w:spacing w:line="240" w:lineRule="auto"/>
              <w:ind w:firstLine="0" w:firstLineChars="0"/>
              <w:jc w:val="center"/>
              <w:rPr>
                <w:rFonts w:hint="eastAsia" w:ascii="宋体" w:hAnsi="宋体" w:eastAsia="宋体" w:cstheme="minorBidi"/>
                <w:kern w:val="2"/>
                <w:sz w:val="21"/>
                <w:szCs w:val="21"/>
                <w:lang w:val="en-US" w:eastAsia="zh-CN" w:bidi="ar-SA"/>
              </w:rPr>
            </w:pPr>
            <w:r>
              <w:rPr>
                <w:rFonts w:hint="eastAsia" w:cstheme="minorBidi"/>
                <w:sz w:val="21"/>
                <w:szCs w:val="21"/>
                <w:lang w:val="en-US" w:eastAsia="zh-CN"/>
              </w:rPr>
              <w:t>超声波</w:t>
            </w:r>
          </w:p>
        </w:tc>
      </w:tr>
      <w:tr w14:paraId="4F23AA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74" w:type="pct"/>
            <w:shd w:val="clear" w:color="auto" w:fill="auto"/>
            <w:vAlign w:val="center"/>
          </w:tcPr>
          <w:p w14:paraId="6E4E72A7">
            <w:pPr>
              <w:spacing w:line="240" w:lineRule="auto"/>
              <w:ind w:firstLine="0" w:firstLineChars="0"/>
              <w:jc w:val="center"/>
              <w:rPr>
                <w:rFonts w:hint="eastAsia" w:ascii="宋体" w:hAnsi="宋体" w:eastAsia="宋体" w:cs="宋体"/>
                <w:kern w:val="2"/>
                <w:sz w:val="21"/>
                <w:szCs w:val="21"/>
                <w:lang w:val="en-US" w:eastAsia="zh-CN" w:bidi="ar-SA"/>
              </w:rPr>
            </w:pPr>
            <w:r>
              <w:rPr>
                <w:rFonts w:hint="eastAsia"/>
                <w:sz w:val="21"/>
                <w:szCs w:val="21"/>
                <w:lang w:val="en-US" w:eastAsia="zh-CN"/>
              </w:rPr>
              <w:t>泥位高度</w:t>
            </w:r>
          </w:p>
        </w:tc>
        <w:tc>
          <w:tcPr>
            <w:tcW w:w="1923" w:type="pct"/>
            <w:shd w:val="clear" w:color="auto" w:fill="auto"/>
            <w:vAlign w:val="center"/>
          </w:tcPr>
          <w:p w14:paraId="52916914">
            <w:pPr>
              <w:spacing w:line="240" w:lineRule="auto"/>
              <w:ind w:firstLine="0" w:firstLineChars="0"/>
              <w:jc w:val="center"/>
              <w:rPr>
                <w:rFonts w:hint="eastAsia" w:ascii="宋体" w:hAnsi="宋体" w:eastAsia="宋体" w:cs="宋体"/>
                <w:kern w:val="2"/>
                <w:sz w:val="21"/>
                <w:szCs w:val="21"/>
                <w:lang w:val="en-US" w:eastAsia="zh-CN" w:bidi="ar-SA"/>
              </w:rPr>
            </w:pPr>
            <w:r>
              <w:rPr>
                <w:rFonts w:hint="eastAsia"/>
                <w:sz w:val="21"/>
                <w:szCs w:val="21"/>
                <w:lang w:val="en-US" w:eastAsia="zh-CN"/>
              </w:rPr>
              <w:t>污泥界面仪</w:t>
            </w:r>
          </w:p>
        </w:tc>
        <w:tc>
          <w:tcPr>
            <w:tcW w:w="1801" w:type="pct"/>
            <w:shd w:val="clear" w:color="auto" w:fill="auto"/>
            <w:vAlign w:val="center"/>
          </w:tcPr>
          <w:p w14:paraId="2F78FA36">
            <w:pPr>
              <w:spacing w:line="240" w:lineRule="auto"/>
              <w:ind w:firstLine="0" w:firstLineChars="0"/>
              <w:jc w:val="center"/>
              <w:rPr>
                <w:rFonts w:hint="eastAsia" w:ascii="宋体" w:hAnsi="宋体" w:eastAsia="宋体" w:cstheme="minorBidi"/>
                <w:kern w:val="2"/>
                <w:sz w:val="21"/>
                <w:szCs w:val="21"/>
                <w:lang w:val="en-US" w:eastAsia="zh-CN" w:bidi="ar-SA"/>
              </w:rPr>
            </w:pPr>
            <w:r>
              <w:rPr>
                <w:rFonts w:hint="eastAsia" w:cstheme="minorBidi"/>
                <w:sz w:val="21"/>
                <w:szCs w:val="21"/>
                <w:lang w:val="en-US" w:eastAsia="zh-CN"/>
              </w:rPr>
              <w:t>超声波</w:t>
            </w:r>
          </w:p>
        </w:tc>
      </w:tr>
    </w:tbl>
    <w:p w14:paraId="6CA67D3D">
      <w:pPr>
        <w:widowControl w:val="0"/>
        <w:numPr>
          <w:ilvl w:val="0"/>
          <w:numId w:val="0"/>
        </w:numPr>
        <w:spacing w:line="360" w:lineRule="auto"/>
        <w:jc w:val="both"/>
        <w:rPr>
          <w:rFonts w:hint="eastAsia"/>
        </w:rPr>
      </w:pPr>
    </w:p>
    <w:p w14:paraId="739F5D97">
      <w:pPr>
        <w:widowControl w:val="0"/>
        <w:numPr>
          <w:ilvl w:val="0"/>
          <w:numId w:val="0"/>
        </w:numPr>
        <w:spacing w:line="360" w:lineRule="auto"/>
        <w:jc w:val="both"/>
        <w:rPr>
          <w:rFonts w:hint="eastAsia"/>
        </w:rPr>
      </w:pPr>
    </w:p>
    <w:p w14:paraId="07D7ED0B">
      <w:pPr>
        <w:widowControl w:val="0"/>
        <w:numPr>
          <w:ilvl w:val="0"/>
          <w:numId w:val="0"/>
        </w:numPr>
        <w:spacing w:line="360" w:lineRule="auto"/>
        <w:jc w:val="both"/>
        <w:rPr>
          <w:rFonts w:hint="eastAsia"/>
        </w:rPr>
      </w:pPr>
    </w:p>
    <w:p w14:paraId="63299EB7">
      <w:pPr>
        <w:widowControl w:val="0"/>
        <w:numPr>
          <w:ilvl w:val="0"/>
          <w:numId w:val="0"/>
        </w:numPr>
        <w:spacing w:line="360" w:lineRule="auto"/>
        <w:jc w:val="both"/>
        <w:rPr>
          <w:rFonts w:hint="eastAsia"/>
        </w:rPr>
      </w:pPr>
    </w:p>
    <w:p w14:paraId="63C4958E">
      <w:pPr>
        <w:widowControl w:val="0"/>
        <w:numPr>
          <w:ilvl w:val="0"/>
          <w:numId w:val="0"/>
        </w:numPr>
        <w:spacing w:line="360" w:lineRule="auto"/>
        <w:jc w:val="both"/>
        <w:rPr>
          <w:rFonts w:hint="eastAsia"/>
        </w:rPr>
      </w:pPr>
    </w:p>
    <w:p w14:paraId="37C1EDB6">
      <w:pPr>
        <w:widowControl w:val="0"/>
        <w:numPr>
          <w:ilvl w:val="0"/>
          <w:numId w:val="0"/>
        </w:numPr>
        <w:spacing w:line="360" w:lineRule="auto"/>
        <w:jc w:val="both"/>
        <w:rPr>
          <w:rFonts w:hint="eastAsia"/>
        </w:rPr>
      </w:pPr>
    </w:p>
    <w:p w14:paraId="51841C0C">
      <w:pPr>
        <w:widowControl w:val="0"/>
        <w:numPr>
          <w:ilvl w:val="0"/>
          <w:numId w:val="0"/>
        </w:numPr>
        <w:spacing w:line="360" w:lineRule="auto"/>
        <w:jc w:val="both"/>
        <w:rPr>
          <w:rFonts w:hint="eastAsia"/>
        </w:rPr>
      </w:pPr>
    </w:p>
    <w:p w14:paraId="2BB9A735">
      <w:pPr>
        <w:widowControl w:val="0"/>
        <w:numPr>
          <w:ilvl w:val="0"/>
          <w:numId w:val="0"/>
        </w:numPr>
        <w:spacing w:line="360" w:lineRule="auto"/>
        <w:jc w:val="both"/>
        <w:rPr>
          <w:rFonts w:hint="eastAsia"/>
        </w:rPr>
      </w:pPr>
    </w:p>
    <w:p w14:paraId="5C706071">
      <w:pPr>
        <w:numPr>
          <w:ilvl w:val="0"/>
          <w:numId w:val="2"/>
        </w:numPr>
        <w:ind w:firstLine="480"/>
        <w:rPr>
          <w:rFonts w:hint="eastAsia"/>
        </w:rPr>
      </w:pPr>
      <w:r>
        <w:rPr>
          <w:rFonts w:hint="eastAsia"/>
        </w:rPr>
        <w:t>设备类型选择</w:t>
      </w:r>
    </w:p>
    <w:p w14:paraId="090DADEC">
      <w:pPr>
        <w:ind w:firstLine="0" w:firstLineChars="0"/>
        <w:rPr>
          <w:rFonts w:hint="eastAsia"/>
        </w:rPr>
      </w:pPr>
      <w:r>
        <w:rPr>
          <w:rFonts w:hint="eastAsia"/>
        </w:rPr>
        <w:t>集成产品：</w:t>
      </w:r>
    </w:p>
    <w:p w14:paraId="6CD5E723">
      <w:pPr>
        <w:ind w:firstLine="0" w:firstLineChars="0"/>
      </w:pPr>
      <w:r>
        <w:rPr>
          <w:rFonts w:hint="eastAsia"/>
        </w:rPr>
        <w:t xml:space="preserve">        </w:t>
      </w:r>
      <w:r>
        <w:drawing>
          <wp:inline distT="0" distB="0" distL="114300" distR="114300">
            <wp:extent cx="1421765" cy="1938020"/>
            <wp:effectExtent l="0" t="0" r="6985" b="508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17"/>
                    <a:srcRect t="10130" r="65367"/>
                    <a:stretch>
                      <a:fillRect/>
                    </a:stretch>
                  </pic:blipFill>
                  <pic:spPr>
                    <a:xfrm>
                      <a:off x="0" y="0"/>
                      <a:ext cx="1421765" cy="193802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260475" cy="1578610"/>
            <wp:effectExtent l="0" t="0" r="15875" b="2540"/>
            <wp:docPr id="6" name="图片 1" descr="/tmp/webword_663558690/upload_post_object_v2_24972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tmp/webword_663558690/upload_post_object_v2_249722887"/>
                    <pic:cNvPicPr>
                      <a:picLocks noChangeAspect="1"/>
                    </pic:cNvPicPr>
                  </pic:nvPicPr>
                  <pic:blipFill>
                    <a:blip r:embed="rId18"/>
                    <a:srcRect/>
                    <a:stretch>
                      <a:fillRect/>
                    </a:stretch>
                  </pic:blipFill>
                  <pic:spPr>
                    <a:xfrm>
                      <a:off x="0" y="0"/>
                      <a:ext cx="1260475" cy="157861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27150" cy="2068830"/>
            <wp:effectExtent l="0" t="0" r="6350" b="762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9"/>
                    <a:srcRect l="67672" b="4064"/>
                    <a:stretch>
                      <a:fillRect/>
                    </a:stretch>
                  </pic:blipFill>
                  <pic:spPr>
                    <a:xfrm>
                      <a:off x="0" y="0"/>
                      <a:ext cx="1327150" cy="2068830"/>
                    </a:xfrm>
                    <a:prstGeom prst="rect">
                      <a:avLst/>
                    </a:prstGeom>
                    <a:noFill/>
                    <a:ln>
                      <a:noFill/>
                    </a:ln>
                  </pic:spPr>
                </pic:pic>
              </a:graphicData>
            </a:graphic>
          </wp:inline>
        </w:drawing>
      </w:r>
    </w:p>
    <w:p w14:paraId="53E67BCD">
      <w:pPr>
        <w:ind w:firstLine="0" w:firstLineChars="0"/>
        <w:rPr>
          <w:rFonts w:hint="eastAsia"/>
        </w:rPr>
      </w:pPr>
    </w:p>
    <w:p w14:paraId="65111097">
      <w:pPr>
        <w:jc w:val="center"/>
        <w:rPr>
          <w:rFonts w:hint="eastAsia"/>
          <w:b/>
          <w:bCs/>
        </w:rPr>
      </w:pPr>
      <w:r>
        <w:rPr>
          <w:rFonts w:hint="eastAsia"/>
          <w:b/>
          <w:bCs/>
          <w:lang w:val="en-US" w:eastAsia="zh-CN"/>
        </w:rPr>
        <w:t>供水水质监测微系统</w:t>
      </w:r>
    </w:p>
    <w:p w14:paraId="5AB659D4">
      <w:pPr>
        <w:ind w:firstLine="0" w:firstLineChars="0"/>
        <w:rPr>
          <w:rFonts w:hint="eastAsia"/>
        </w:rPr>
      </w:pPr>
      <w:r>
        <w:rPr>
          <w:rFonts w:hint="eastAsia"/>
        </w:rPr>
        <w:t>传感器类产品：</w:t>
      </w:r>
    </w:p>
    <w:p w14:paraId="5C782A8B">
      <w:pPr>
        <w:ind w:firstLine="0" w:firstLineChars="0"/>
        <w:jc w:val="center"/>
        <w:rPr>
          <w:rFonts w:hint="eastAsia"/>
        </w:rPr>
      </w:pPr>
      <w:r>
        <w:drawing>
          <wp:inline distT="0" distB="0" distL="114300" distR="114300">
            <wp:extent cx="4268470" cy="1600200"/>
            <wp:effectExtent l="0" t="0" r="1397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20"/>
                    <a:stretch>
                      <a:fillRect/>
                    </a:stretch>
                  </pic:blipFill>
                  <pic:spPr>
                    <a:xfrm>
                      <a:off x="0" y="0"/>
                      <a:ext cx="4268470" cy="1600200"/>
                    </a:xfrm>
                    <a:prstGeom prst="rect">
                      <a:avLst/>
                    </a:prstGeom>
                    <a:noFill/>
                    <a:ln>
                      <a:noFill/>
                    </a:ln>
                  </pic:spPr>
                </pic:pic>
              </a:graphicData>
            </a:graphic>
          </wp:inline>
        </w:drawing>
      </w:r>
    </w:p>
    <w:p w14:paraId="09050A0A">
      <w:pPr>
        <w:ind w:firstLine="964" w:firstLineChars="400"/>
        <w:rPr>
          <w:rFonts w:hint="eastAsia"/>
          <w:b/>
          <w:bCs/>
        </w:rPr>
      </w:pPr>
      <w:r>
        <w:rPr>
          <w:rFonts w:hint="eastAsia"/>
          <w:b/>
          <w:bCs/>
        </w:rPr>
        <w:t>低浊传感器           PH传感器          余氯传感器</w:t>
      </w:r>
    </w:p>
    <w:p w14:paraId="215ED88F">
      <w:pPr>
        <w:ind w:firstLine="0" w:firstLineChars="0"/>
        <w:rPr>
          <w:rFonts w:hint="eastAsia"/>
        </w:rPr>
      </w:pPr>
      <w:r>
        <w:rPr>
          <w:rFonts w:hint="eastAsia"/>
        </w:rPr>
        <w:t>流量计、</w:t>
      </w:r>
      <w:r>
        <w:rPr>
          <w:rFonts w:hint="eastAsia"/>
          <w:lang w:val="en-US" w:eastAsia="zh-CN"/>
        </w:rPr>
        <w:t>超声波液位计</w:t>
      </w:r>
      <w:r>
        <w:rPr>
          <w:rFonts w:hint="eastAsia"/>
        </w:rPr>
        <w:t>、</w:t>
      </w:r>
      <w:r>
        <w:rPr>
          <w:rFonts w:hint="eastAsia"/>
          <w:lang w:val="en-US" w:eastAsia="zh-CN"/>
        </w:rPr>
        <w:t>污泥界面仪</w:t>
      </w:r>
      <w:r>
        <w:rPr>
          <w:rFonts w:hint="eastAsia"/>
        </w:rPr>
        <w:t>：</w:t>
      </w:r>
    </w:p>
    <w:p w14:paraId="4EA69EE5">
      <w:pPr>
        <w:ind w:firstLine="0" w:firstLineChars="0"/>
        <w:jc w:val="center"/>
        <w:rPr>
          <w:rFonts w:hint="default" w:eastAsia="宋体"/>
          <w:lang w:val="en-US" w:eastAsia="zh-CN"/>
        </w:rPr>
      </w:pPr>
      <w:r>
        <w:drawing>
          <wp:inline distT="0" distB="0" distL="114300" distR="114300">
            <wp:extent cx="1310640" cy="1535430"/>
            <wp:effectExtent l="0" t="0" r="0" b="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21"/>
                    <a:srcRect r="68685"/>
                    <a:stretch>
                      <a:fillRect/>
                    </a:stretch>
                  </pic:blipFill>
                  <pic:spPr>
                    <a:xfrm>
                      <a:off x="0" y="0"/>
                      <a:ext cx="1310640" cy="153543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744855" cy="1347470"/>
            <wp:effectExtent l="0" t="0" r="0" b="0"/>
            <wp:docPr id="33" name="图片 2" descr="IMG_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IMG_0879"/>
                    <pic:cNvPicPr>
                      <a:picLocks noChangeAspect="1"/>
                    </pic:cNvPicPr>
                  </pic:nvPicPr>
                  <pic:blipFill>
                    <a:blip r:embed="rId22"/>
                    <a:srcRect l="29941" t="13423" r="36044" b="7330"/>
                    <a:stretch>
                      <a:fillRect/>
                    </a:stretch>
                  </pic:blipFill>
                  <pic:spPr>
                    <a:xfrm>
                      <a:off x="0" y="0"/>
                      <a:ext cx="744855" cy="1347470"/>
                    </a:xfrm>
                    <a:prstGeom prst="rect">
                      <a:avLst/>
                    </a:prstGeom>
                    <a:noFill/>
                    <a:ln>
                      <a:noFill/>
                    </a:ln>
                  </pic:spPr>
                </pic:pic>
              </a:graphicData>
            </a:graphic>
          </wp:inline>
        </w:drawing>
      </w:r>
      <w:r>
        <w:rPr>
          <w:rFonts w:hint="eastAsia"/>
          <w:lang w:val="en-US" w:eastAsia="zh-CN"/>
        </w:rPr>
        <w:t xml:space="preserve">         </w:t>
      </w:r>
      <w:r>
        <w:rPr>
          <w:rFonts w:hint="default" w:ascii="Times New Roman" w:hAnsi="Times New Roman" w:cs="Times New Roman" w:eastAsiaTheme="minorEastAsia"/>
          <w:b/>
          <w:sz w:val="72"/>
          <w:szCs w:val="72"/>
          <w:lang w:eastAsia="zh-CN"/>
        </w:rPr>
        <w:drawing>
          <wp:inline distT="0" distB="0" distL="114300" distR="114300">
            <wp:extent cx="427355" cy="845820"/>
            <wp:effectExtent l="0" t="0" r="14605" b="7620"/>
            <wp:docPr id="34" name="图片 34" descr="变送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变送器"/>
                    <pic:cNvPicPr>
                      <a:picLocks noChangeAspect="1"/>
                    </pic:cNvPicPr>
                  </pic:nvPicPr>
                  <pic:blipFill>
                    <a:blip r:embed="rId23"/>
                    <a:stretch>
                      <a:fillRect/>
                    </a:stretch>
                  </pic:blipFill>
                  <pic:spPr>
                    <a:xfrm>
                      <a:off x="0" y="0"/>
                      <a:ext cx="427355" cy="845820"/>
                    </a:xfrm>
                    <a:prstGeom prst="rect">
                      <a:avLst/>
                    </a:prstGeom>
                  </pic:spPr>
                </pic:pic>
              </a:graphicData>
            </a:graphic>
          </wp:inline>
        </w:drawing>
      </w:r>
      <w:r>
        <w:rPr>
          <w:rFonts w:hint="default" w:ascii="Times New Roman" w:hAnsi="Times New Roman" w:cs="Times New Roman" w:eastAsiaTheme="minorEastAsia"/>
          <w:b/>
          <w:sz w:val="72"/>
          <w:szCs w:val="72"/>
          <w:lang w:eastAsia="zh-CN"/>
        </w:rPr>
        <w:drawing>
          <wp:inline distT="0" distB="0" distL="114300" distR="114300">
            <wp:extent cx="1029970" cy="1212215"/>
            <wp:effectExtent l="0" t="0" r="6350" b="6985"/>
            <wp:docPr id="48" name="图片 48" descr="控制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控制器"/>
                    <pic:cNvPicPr>
                      <a:picLocks noChangeAspect="1"/>
                    </pic:cNvPicPr>
                  </pic:nvPicPr>
                  <pic:blipFill>
                    <a:blip r:embed="rId24"/>
                    <a:stretch>
                      <a:fillRect/>
                    </a:stretch>
                  </pic:blipFill>
                  <pic:spPr>
                    <a:xfrm>
                      <a:off x="0" y="0"/>
                      <a:ext cx="1029970" cy="1212215"/>
                    </a:xfrm>
                    <a:prstGeom prst="rect">
                      <a:avLst/>
                    </a:prstGeom>
                  </pic:spPr>
                </pic:pic>
              </a:graphicData>
            </a:graphic>
          </wp:inline>
        </w:drawing>
      </w:r>
    </w:p>
    <w:p w14:paraId="692A92D4">
      <w:pPr>
        <w:ind w:firstLine="964" w:firstLineChars="400"/>
        <w:rPr>
          <w:rFonts w:hint="eastAsia" w:eastAsia="宋体"/>
          <w:b/>
          <w:bCs/>
          <w:lang w:eastAsia="zh-CN"/>
        </w:rPr>
      </w:pPr>
      <w:r>
        <w:rPr>
          <w:rFonts w:hint="eastAsia"/>
          <w:b/>
          <w:bCs/>
        </w:rPr>
        <w:t xml:space="preserve">电磁流量计    </w:t>
      </w:r>
      <w:r>
        <w:rPr>
          <w:rFonts w:hint="eastAsia"/>
          <w:b/>
          <w:bCs/>
          <w:lang w:val="en-US" w:eastAsia="zh-CN"/>
        </w:rPr>
        <w:t xml:space="preserve">    </w:t>
      </w:r>
      <w:r>
        <w:rPr>
          <w:rFonts w:hint="eastAsia"/>
          <w:b/>
          <w:bCs/>
        </w:rPr>
        <w:t xml:space="preserve">  </w:t>
      </w:r>
      <w:r>
        <w:rPr>
          <w:rFonts w:hint="eastAsia"/>
          <w:b/>
          <w:bCs/>
          <w:lang w:val="en-US" w:eastAsia="zh-CN"/>
        </w:rPr>
        <w:t>超声波液位计</w:t>
      </w:r>
      <w:r>
        <w:rPr>
          <w:rFonts w:hint="eastAsia"/>
          <w:b/>
          <w:bCs/>
        </w:rPr>
        <w:t xml:space="preserve">      </w:t>
      </w:r>
      <w:r>
        <w:rPr>
          <w:rFonts w:hint="eastAsia"/>
          <w:b/>
          <w:bCs/>
          <w:lang w:val="en-US" w:eastAsia="zh-CN"/>
        </w:rPr>
        <w:t xml:space="preserve">     污泥界面仪</w:t>
      </w:r>
    </w:p>
    <w:p w14:paraId="24634FD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rPr>
      </w:pPr>
    </w:p>
    <w:p w14:paraId="12275719">
      <w:pPr>
        <w:pStyle w:val="2"/>
        <w:rPr>
          <w:rFonts w:hint="eastAsia"/>
        </w:rPr>
      </w:pPr>
      <w:bookmarkStart w:id="11" w:name="_Toc24440"/>
      <w:bookmarkStart w:id="12" w:name="_Toc7532"/>
      <w:r>
        <w:rPr>
          <w:rFonts w:hint="eastAsia"/>
        </w:rPr>
        <w:t>产品介绍</w:t>
      </w:r>
      <w:bookmarkEnd w:id="11"/>
      <w:bookmarkEnd w:id="12"/>
    </w:p>
    <w:p w14:paraId="0A451A73">
      <w:pPr>
        <w:pStyle w:val="3"/>
        <w:rPr>
          <w:rFonts w:hint="eastAsia"/>
        </w:rPr>
      </w:pPr>
      <w:bookmarkStart w:id="13" w:name="_Toc10804"/>
      <w:r>
        <w:rPr>
          <w:rFonts w:hint="eastAsia"/>
        </w:rPr>
        <w:t>技术参数</w:t>
      </w:r>
      <w:bookmarkEnd w:id="13"/>
    </w:p>
    <w:tbl>
      <w:tblPr>
        <w:tblStyle w:val="20"/>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0"/>
        <w:gridCol w:w="4185"/>
        <w:gridCol w:w="2754"/>
      </w:tblGrid>
      <w:tr w14:paraId="73F711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927" w:type="pct"/>
            <w:vAlign w:val="center"/>
          </w:tcPr>
          <w:p w14:paraId="614C5F2A">
            <w:pPr>
              <w:spacing w:line="240" w:lineRule="auto"/>
              <w:ind w:firstLine="0" w:firstLineChars="0"/>
              <w:jc w:val="center"/>
              <w:rPr>
                <w:rFonts w:hint="eastAsia"/>
                <w:b/>
                <w:bCs/>
                <w:sz w:val="21"/>
                <w:szCs w:val="21"/>
              </w:rPr>
            </w:pPr>
            <w:r>
              <w:rPr>
                <w:rFonts w:hint="eastAsia"/>
                <w:b/>
                <w:bCs/>
                <w:sz w:val="21"/>
                <w:szCs w:val="21"/>
              </w:rPr>
              <w:t>设备名称</w:t>
            </w:r>
          </w:p>
        </w:tc>
        <w:tc>
          <w:tcPr>
            <w:tcW w:w="2456" w:type="pct"/>
            <w:vAlign w:val="center"/>
          </w:tcPr>
          <w:p w14:paraId="49EBB5BC">
            <w:pPr>
              <w:spacing w:line="240" w:lineRule="auto"/>
              <w:ind w:firstLine="0" w:firstLineChars="0"/>
              <w:jc w:val="center"/>
              <w:rPr>
                <w:rFonts w:hint="eastAsia"/>
                <w:b/>
                <w:bCs/>
                <w:sz w:val="21"/>
                <w:szCs w:val="21"/>
              </w:rPr>
            </w:pPr>
            <w:r>
              <w:rPr>
                <w:rFonts w:hint="eastAsia"/>
                <w:b/>
                <w:bCs/>
                <w:sz w:val="21"/>
                <w:szCs w:val="21"/>
              </w:rPr>
              <w:t>监测参数</w:t>
            </w:r>
          </w:p>
        </w:tc>
        <w:tc>
          <w:tcPr>
            <w:tcW w:w="1616" w:type="pct"/>
            <w:vAlign w:val="center"/>
          </w:tcPr>
          <w:p w14:paraId="28AC459B">
            <w:pPr>
              <w:spacing w:line="240" w:lineRule="auto"/>
              <w:ind w:firstLine="0" w:firstLineChars="0"/>
              <w:jc w:val="center"/>
              <w:rPr>
                <w:rFonts w:hint="eastAsia"/>
                <w:b/>
                <w:bCs/>
                <w:sz w:val="21"/>
                <w:szCs w:val="21"/>
              </w:rPr>
            </w:pPr>
            <w:r>
              <w:rPr>
                <w:rFonts w:hint="eastAsia"/>
                <w:b/>
                <w:bCs/>
                <w:sz w:val="21"/>
                <w:szCs w:val="21"/>
              </w:rPr>
              <w:t>图片示例</w:t>
            </w:r>
          </w:p>
        </w:tc>
      </w:tr>
      <w:tr w14:paraId="16D018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8" w:hRule="atLeast"/>
        </w:trPr>
        <w:tc>
          <w:tcPr>
            <w:tcW w:w="927" w:type="pct"/>
            <w:vAlign w:val="center"/>
          </w:tcPr>
          <w:p w14:paraId="6C6041C9">
            <w:pPr>
              <w:spacing w:line="240" w:lineRule="auto"/>
              <w:ind w:firstLine="0" w:firstLineChars="0"/>
              <w:jc w:val="center"/>
              <w:rPr>
                <w:rFonts w:hint="eastAsia"/>
                <w:sz w:val="21"/>
                <w:szCs w:val="21"/>
                <w:lang w:val="en-US" w:eastAsia="zh-CN"/>
              </w:rPr>
            </w:pPr>
            <w:r>
              <w:rPr>
                <w:rFonts w:hint="eastAsia"/>
                <w:sz w:val="21"/>
                <w:szCs w:val="21"/>
                <w:lang w:val="en-US" w:eastAsia="zh-CN"/>
              </w:rPr>
              <w:t>大肠杆菌在线分析仪</w:t>
            </w:r>
          </w:p>
        </w:tc>
        <w:tc>
          <w:tcPr>
            <w:tcW w:w="2456" w:type="pct"/>
            <w:vAlign w:val="center"/>
          </w:tcPr>
          <w:p w14:paraId="61CFD705">
            <w:pPr>
              <w:spacing w:line="240" w:lineRule="auto"/>
              <w:ind w:firstLine="0" w:firstLineChars="0"/>
              <w:jc w:val="both"/>
              <w:rPr>
                <w:rFonts w:hint="eastAsia"/>
                <w:sz w:val="21"/>
                <w:szCs w:val="21"/>
                <w:lang w:val="en-US" w:eastAsia="zh-CN"/>
              </w:rPr>
            </w:pPr>
            <w:r>
              <w:rPr>
                <w:rFonts w:hint="eastAsia"/>
                <w:sz w:val="21"/>
                <w:szCs w:val="21"/>
                <w:lang w:val="en-US" w:eastAsia="zh-CN"/>
              </w:rPr>
              <w:t>原理：酶底物法</w:t>
            </w:r>
          </w:p>
          <w:p w14:paraId="2E02F31C">
            <w:pPr>
              <w:spacing w:line="240" w:lineRule="auto"/>
              <w:ind w:firstLine="0" w:firstLineChars="0"/>
              <w:jc w:val="both"/>
              <w:rPr>
                <w:rFonts w:hint="eastAsia"/>
                <w:sz w:val="21"/>
                <w:szCs w:val="21"/>
                <w:lang w:val="en-US" w:eastAsia="zh-CN"/>
              </w:rPr>
            </w:pPr>
            <w:r>
              <w:rPr>
                <w:rFonts w:hint="eastAsia"/>
                <w:sz w:val="21"/>
                <w:szCs w:val="21"/>
                <w:lang w:val="en-US" w:eastAsia="zh-CN"/>
              </w:rPr>
              <w:t>量程：0-100MPN/100mL</w:t>
            </w:r>
          </w:p>
          <w:p w14:paraId="44D15080">
            <w:pPr>
              <w:spacing w:line="240" w:lineRule="auto"/>
              <w:ind w:firstLine="0" w:firstLineChars="0"/>
              <w:jc w:val="both"/>
              <w:rPr>
                <w:rFonts w:hint="default"/>
                <w:sz w:val="21"/>
                <w:szCs w:val="21"/>
                <w:lang w:val="en-US" w:eastAsia="zh-CN"/>
              </w:rPr>
            </w:pPr>
            <w:r>
              <w:rPr>
                <w:rFonts w:hint="eastAsia"/>
                <w:sz w:val="21"/>
                <w:szCs w:val="21"/>
                <w:lang w:val="en-US" w:eastAsia="zh-CN"/>
              </w:rPr>
              <w:t>精度：±10%</w:t>
            </w:r>
          </w:p>
        </w:tc>
        <w:tc>
          <w:tcPr>
            <w:tcW w:w="1616" w:type="pct"/>
            <w:vAlign w:val="center"/>
          </w:tcPr>
          <w:p w14:paraId="15A81483">
            <w:pPr>
              <w:spacing w:line="240" w:lineRule="auto"/>
              <w:ind w:firstLine="0" w:firstLineChars="0"/>
              <w:jc w:val="center"/>
            </w:pPr>
            <w:r>
              <w:drawing>
                <wp:inline distT="0" distB="0" distL="114300" distR="114300">
                  <wp:extent cx="737235" cy="1314450"/>
                  <wp:effectExtent l="0" t="0" r="9525" b="1143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25"/>
                          <a:stretch>
                            <a:fillRect/>
                          </a:stretch>
                        </pic:blipFill>
                        <pic:spPr>
                          <a:xfrm>
                            <a:off x="0" y="0"/>
                            <a:ext cx="737235" cy="1314450"/>
                          </a:xfrm>
                          <a:prstGeom prst="rect">
                            <a:avLst/>
                          </a:prstGeom>
                          <a:noFill/>
                          <a:ln>
                            <a:noFill/>
                          </a:ln>
                        </pic:spPr>
                      </pic:pic>
                    </a:graphicData>
                  </a:graphic>
                </wp:inline>
              </w:drawing>
            </w:r>
          </w:p>
        </w:tc>
      </w:tr>
      <w:tr w14:paraId="63BF5A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98" w:hRule="atLeast"/>
        </w:trPr>
        <w:tc>
          <w:tcPr>
            <w:tcW w:w="927" w:type="pct"/>
            <w:vAlign w:val="center"/>
          </w:tcPr>
          <w:p w14:paraId="1A59AAEA">
            <w:pPr>
              <w:spacing w:line="240" w:lineRule="auto"/>
              <w:ind w:firstLine="0" w:firstLineChars="0"/>
              <w:jc w:val="center"/>
              <w:rPr>
                <w:rFonts w:hint="eastAsia"/>
                <w:sz w:val="21"/>
                <w:szCs w:val="21"/>
                <w:lang w:val="en-US" w:eastAsia="zh-CN"/>
              </w:rPr>
            </w:pPr>
            <w:r>
              <w:rPr>
                <w:rFonts w:hint="eastAsia"/>
                <w:sz w:val="21"/>
                <w:szCs w:val="21"/>
                <w:lang w:val="en-US" w:eastAsia="zh-CN"/>
              </w:rPr>
              <w:t>生物毒性在线分析仪</w:t>
            </w:r>
          </w:p>
        </w:tc>
        <w:tc>
          <w:tcPr>
            <w:tcW w:w="2456" w:type="pct"/>
            <w:vAlign w:val="center"/>
          </w:tcPr>
          <w:p w14:paraId="10A89079">
            <w:pPr>
              <w:spacing w:line="240" w:lineRule="auto"/>
              <w:ind w:firstLine="0" w:firstLineChars="0"/>
              <w:jc w:val="both"/>
              <w:rPr>
                <w:rFonts w:hint="default"/>
                <w:sz w:val="21"/>
                <w:szCs w:val="21"/>
                <w:lang w:val="en-US" w:eastAsia="zh-CN"/>
              </w:rPr>
            </w:pPr>
            <w:r>
              <w:rPr>
                <w:rFonts w:hint="eastAsia"/>
                <w:sz w:val="21"/>
                <w:szCs w:val="21"/>
                <w:lang w:val="en-US" w:eastAsia="zh-CN"/>
              </w:rPr>
              <w:t>原理：发光细菌法</w:t>
            </w:r>
          </w:p>
          <w:p w14:paraId="45DED802">
            <w:pPr>
              <w:spacing w:line="240" w:lineRule="auto"/>
              <w:ind w:firstLine="0" w:firstLineChars="0"/>
              <w:jc w:val="both"/>
              <w:rPr>
                <w:rFonts w:hint="eastAsia"/>
                <w:sz w:val="21"/>
                <w:szCs w:val="21"/>
                <w:lang w:val="en-US" w:eastAsia="zh-CN"/>
              </w:rPr>
            </w:pPr>
            <w:r>
              <w:rPr>
                <w:rFonts w:hint="eastAsia"/>
                <w:sz w:val="21"/>
                <w:szCs w:val="21"/>
                <w:lang w:val="en-US" w:eastAsia="zh-CN"/>
              </w:rPr>
              <w:t>量程：0-100%抑制率</w:t>
            </w:r>
          </w:p>
          <w:p w14:paraId="7942F248">
            <w:pPr>
              <w:spacing w:line="240" w:lineRule="auto"/>
              <w:ind w:firstLine="0" w:firstLineChars="0"/>
              <w:jc w:val="both"/>
              <w:rPr>
                <w:rFonts w:hint="eastAsia"/>
                <w:sz w:val="21"/>
                <w:szCs w:val="21"/>
              </w:rPr>
            </w:pPr>
            <w:r>
              <w:rPr>
                <w:rFonts w:hint="eastAsia"/>
                <w:sz w:val="21"/>
                <w:szCs w:val="21"/>
                <w:lang w:val="en-US" w:eastAsia="zh-CN"/>
              </w:rPr>
              <w:t>精度：±10%</w:t>
            </w:r>
          </w:p>
        </w:tc>
        <w:tc>
          <w:tcPr>
            <w:tcW w:w="1616" w:type="pct"/>
            <w:vAlign w:val="center"/>
          </w:tcPr>
          <w:p w14:paraId="7BD51C92">
            <w:pPr>
              <w:spacing w:line="240" w:lineRule="auto"/>
              <w:ind w:firstLine="0" w:firstLineChars="0"/>
              <w:jc w:val="center"/>
            </w:pPr>
            <w:r>
              <w:drawing>
                <wp:inline distT="0" distB="0" distL="114300" distR="114300">
                  <wp:extent cx="737235" cy="1314450"/>
                  <wp:effectExtent l="0" t="0" r="9525" b="1143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25"/>
                          <a:stretch>
                            <a:fillRect/>
                          </a:stretch>
                        </pic:blipFill>
                        <pic:spPr>
                          <a:xfrm>
                            <a:off x="0" y="0"/>
                            <a:ext cx="737235" cy="1314450"/>
                          </a:xfrm>
                          <a:prstGeom prst="rect">
                            <a:avLst/>
                          </a:prstGeom>
                          <a:noFill/>
                          <a:ln>
                            <a:noFill/>
                          </a:ln>
                        </pic:spPr>
                      </pic:pic>
                    </a:graphicData>
                  </a:graphic>
                </wp:inline>
              </w:drawing>
            </w:r>
          </w:p>
        </w:tc>
      </w:tr>
      <w:tr w14:paraId="5BDF61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8" w:hRule="atLeast"/>
        </w:trPr>
        <w:tc>
          <w:tcPr>
            <w:tcW w:w="927" w:type="pct"/>
            <w:vAlign w:val="center"/>
          </w:tcPr>
          <w:p w14:paraId="1D83F98D">
            <w:pPr>
              <w:spacing w:line="240" w:lineRule="auto"/>
              <w:ind w:firstLine="0" w:firstLineChars="0"/>
              <w:jc w:val="center"/>
              <w:rPr>
                <w:rFonts w:hint="eastAsia"/>
                <w:sz w:val="21"/>
                <w:szCs w:val="21"/>
                <w:lang w:val="en-US" w:eastAsia="zh-CN"/>
              </w:rPr>
            </w:pPr>
            <w:r>
              <w:rPr>
                <w:rFonts w:hint="eastAsia"/>
                <w:sz w:val="21"/>
                <w:szCs w:val="21"/>
                <w:lang w:val="en-US" w:eastAsia="zh-CN"/>
              </w:rPr>
              <w:t>在线色度传感器</w:t>
            </w:r>
          </w:p>
        </w:tc>
        <w:tc>
          <w:tcPr>
            <w:tcW w:w="2456" w:type="pct"/>
            <w:vAlign w:val="center"/>
          </w:tcPr>
          <w:p w14:paraId="60AF1247">
            <w:pPr>
              <w:spacing w:line="240" w:lineRule="auto"/>
              <w:ind w:firstLine="0" w:firstLineChars="0"/>
              <w:rPr>
                <w:rFonts w:hint="eastAsia"/>
                <w:sz w:val="21"/>
                <w:szCs w:val="21"/>
              </w:rPr>
            </w:pPr>
            <w:r>
              <w:rPr>
                <w:sz w:val="21"/>
                <w:szCs w:val="21"/>
              </w:rPr>
              <w:t>原理</w:t>
            </w:r>
            <w:r>
              <w:rPr>
                <w:rFonts w:hint="eastAsia"/>
                <w:sz w:val="21"/>
                <w:szCs w:val="21"/>
              </w:rPr>
              <w:t>：双波长可见光吸收法</w:t>
            </w:r>
          </w:p>
          <w:p w14:paraId="578D0546">
            <w:pPr>
              <w:spacing w:line="240" w:lineRule="auto"/>
              <w:ind w:firstLine="0" w:firstLineChars="0"/>
              <w:rPr>
                <w:rFonts w:hint="eastAsia"/>
                <w:sz w:val="21"/>
                <w:szCs w:val="21"/>
              </w:rPr>
            </w:pPr>
            <w:r>
              <w:rPr>
                <w:sz w:val="21"/>
                <w:szCs w:val="21"/>
              </w:rPr>
              <w:t>量程</w:t>
            </w:r>
            <w:r>
              <w:rPr>
                <w:rFonts w:hint="eastAsia"/>
                <w:sz w:val="21"/>
                <w:szCs w:val="21"/>
              </w:rPr>
              <w:t>：0～500Hazen</w:t>
            </w:r>
          </w:p>
          <w:p w14:paraId="749B2C8F">
            <w:pPr>
              <w:spacing w:line="240" w:lineRule="auto"/>
              <w:ind w:firstLine="0" w:firstLineChars="0"/>
              <w:jc w:val="both"/>
              <w:rPr>
                <w:rFonts w:hint="eastAsia"/>
                <w:sz w:val="21"/>
                <w:szCs w:val="21"/>
                <w:lang w:val="en-US" w:eastAsia="zh-CN"/>
              </w:rPr>
            </w:pPr>
            <w:r>
              <w:rPr>
                <w:sz w:val="21"/>
                <w:szCs w:val="21"/>
              </w:rPr>
              <w:t>精度</w:t>
            </w:r>
            <w:r>
              <w:rPr>
                <w:rFonts w:hint="eastAsia"/>
                <w:sz w:val="21"/>
                <w:szCs w:val="21"/>
              </w:rPr>
              <w:t>：读数的±5%</w:t>
            </w:r>
          </w:p>
        </w:tc>
        <w:tc>
          <w:tcPr>
            <w:tcW w:w="1616" w:type="pct"/>
            <w:vAlign w:val="center"/>
          </w:tcPr>
          <w:p w14:paraId="71278C91">
            <w:pPr>
              <w:spacing w:line="240" w:lineRule="auto"/>
              <w:ind w:firstLine="0" w:firstLineChars="0"/>
              <w:jc w:val="center"/>
            </w:pPr>
            <w:r>
              <w:rPr>
                <w:rFonts w:hint="eastAsia" w:ascii="Times New Roman" w:hAnsi="Times New Roman" w:eastAsia="宋体"/>
                <w:lang w:eastAsia="zh-CN"/>
              </w:rPr>
              <w:drawing>
                <wp:inline distT="0" distB="0" distL="114300" distR="114300">
                  <wp:extent cx="1477010" cy="241300"/>
                  <wp:effectExtent l="0" t="246380" r="0" b="335280"/>
                  <wp:docPr id="50" name="图片 5" descr="E:/新建文件夹 (9)/mmexport1716363568276.pngmmexport1716363568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descr="E:/新建文件夹 (9)/mmexport1716363568276.pngmmexport1716363568276"/>
                          <pic:cNvPicPr>
                            <a:picLocks noChangeAspect="1"/>
                          </pic:cNvPicPr>
                        </pic:nvPicPr>
                        <pic:blipFill>
                          <a:blip r:embed="rId26"/>
                          <a:srcRect l="4361" t="40771" r="5933" b="39677"/>
                          <a:stretch>
                            <a:fillRect/>
                          </a:stretch>
                        </pic:blipFill>
                        <pic:spPr>
                          <a:xfrm rot="19800000">
                            <a:off x="0" y="0"/>
                            <a:ext cx="1477010" cy="241300"/>
                          </a:xfrm>
                          <a:prstGeom prst="rect">
                            <a:avLst/>
                          </a:prstGeom>
                          <a:noFill/>
                          <a:ln>
                            <a:noFill/>
                          </a:ln>
                        </pic:spPr>
                      </pic:pic>
                    </a:graphicData>
                  </a:graphic>
                </wp:inline>
              </w:drawing>
            </w:r>
          </w:p>
        </w:tc>
      </w:tr>
      <w:tr w14:paraId="7637E8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49" w:hRule="atLeast"/>
        </w:trPr>
        <w:tc>
          <w:tcPr>
            <w:tcW w:w="927" w:type="pct"/>
            <w:vAlign w:val="center"/>
          </w:tcPr>
          <w:p w14:paraId="6EB11DEF">
            <w:pPr>
              <w:spacing w:line="240" w:lineRule="auto"/>
              <w:ind w:firstLine="0" w:firstLineChars="0"/>
              <w:jc w:val="center"/>
              <w:rPr>
                <w:rFonts w:hint="eastAsia"/>
                <w:sz w:val="21"/>
                <w:szCs w:val="21"/>
                <w:lang w:val="en-US" w:eastAsia="zh-CN"/>
              </w:rPr>
            </w:pPr>
            <w:r>
              <w:rPr>
                <w:rFonts w:hint="eastAsia"/>
                <w:sz w:val="21"/>
                <w:szCs w:val="21"/>
                <w:lang w:val="en-US" w:eastAsia="zh-CN"/>
              </w:rPr>
              <w:t>在线浊度传感器</w:t>
            </w:r>
          </w:p>
        </w:tc>
        <w:tc>
          <w:tcPr>
            <w:tcW w:w="2456" w:type="pct"/>
            <w:shd w:val="clear" w:color="auto" w:fill="auto"/>
            <w:vAlign w:val="center"/>
          </w:tcPr>
          <w:p w14:paraId="532BA446">
            <w:pPr>
              <w:spacing w:line="240" w:lineRule="auto"/>
              <w:ind w:firstLine="0" w:firstLineChars="0"/>
              <w:rPr>
                <w:rFonts w:hint="eastAsia"/>
                <w:sz w:val="21"/>
                <w:szCs w:val="21"/>
              </w:rPr>
            </w:pPr>
            <w:r>
              <w:rPr>
                <w:sz w:val="21"/>
                <w:szCs w:val="21"/>
              </w:rPr>
              <w:t>原理：光散射</w:t>
            </w:r>
          </w:p>
          <w:p w14:paraId="3E052741">
            <w:pPr>
              <w:spacing w:line="240" w:lineRule="auto"/>
              <w:ind w:firstLine="0" w:firstLineChars="0"/>
              <w:rPr>
                <w:rFonts w:hint="eastAsia"/>
                <w:sz w:val="21"/>
                <w:szCs w:val="21"/>
              </w:rPr>
            </w:pPr>
            <w:r>
              <w:rPr>
                <w:sz w:val="21"/>
                <w:szCs w:val="21"/>
              </w:rPr>
              <w:t>量程：0~10.000NTU</w:t>
            </w:r>
          </w:p>
          <w:p w14:paraId="22709E42">
            <w:pPr>
              <w:spacing w:line="240" w:lineRule="auto"/>
              <w:ind w:firstLine="0" w:firstLineChars="0"/>
              <w:rPr>
                <w:rFonts w:hint="eastAsia" w:ascii="宋体" w:hAnsi="宋体" w:eastAsia="宋体" w:cs="宋体"/>
                <w:kern w:val="2"/>
                <w:sz w:val="21"/>
                <w:szCs w:val="21"/>
                <w:lang w:val="en-US" w:eastAsia="zh-CN" w:bidi="ar-SA"/>
              </w:rPr>
            </w:pPr>
            <w:r>
              <w:rPr>
                <w:sz w:val="21"/>
                <w:szCs w:val="21"/>
              </w:rPr>
              <w:t>精度：±2%或±0.02NTU以大为准；±0.3℃</w:t>
            </w:r>
          </w:p>
        </w:tc>
        <w:tc>
          <w:tcPr>
            <w:tcW w:w="1616" w:type="pct"/>
            <w:shd w:val="clear" w:color="auto" w:fill="auto"/>
            <w:vAlign w:val="center"/>
          </w:tcPr>
          <w:p w14:paraId="27ECA8FC">
            <w:pPr>
              <w:spacing w:line="240" w:lineRule="auto"/>
              <w:ind w:firstLine="0" w:firstLineChars="0"/>
              <w:jc w:val="center"/>
              <w:rPr>
                <w:rFonts w:hint="eastAsia" w:ascii="宋体" w:hAnsi="宋体" w:eastAsia="宋体" w:cs="宋体"/>
                <w:kern w:val="2"/>
                <w:sz w:val="24"/>
                <w:szCs w:val="24"/>
                <w:lang w:val="en-US" w:eastAsia="zh-CN" w:bidi="ar-SA"/>
              </w:rPr>
            </w:pPr>
            <w:r>
              <w:drawing>
                <wp:inline distT="0" distB="0" distL="114300" distR="114300">
                  <wp:extent cx="798830" cy="1207135"/>
                  <wp:effectExtent l="0" t="0" r="8890" b="12065"/>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27"/>
                          <a:stretch>
                            <a:fillRect/>
                          </a:stretch>
                        </pic:blipFill>
                        <pic:spPr>
                          <a:xfrm>
                            <a:off x="0" y="0"/>
                            <a:ext cx="798830" cy="1207135"/>
                          </a:xfrm>
                          <a:prstGeom prst="rect">
                            <a:avLst/>
                          </a:prstGeom>
                          <a:noFill/>
                          <a:ln>
                            <a:noFill/>
                          </a:ln>
                        </pic:spPr>
                      </pic:pic>
                    </a:graphicData>
                  </a:graphic>
                </wp:inline>
              </w:drawing>
            </w:r>
          </w:p>
        </w:tc>
      </w:tr>
      <w:tr w14:paraId="582AA3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8" w:hRule="atLeast"/>
        </w:trPr>
        <w:tc>
          <w:tcPr>
            <w:tcW w:w="927" w:type="pct"/>
            <w:vAlign w:val="center"/>
          </w:tcPr>
          <w:p w14:paraId="5B8FF44E">
            <w:pPr>
              <w:spacing w:line="240" w:lineRule="auto"/>
              <w:ind w:firstLine="0" w:firstLineChars="0"/>
              <w:jc w:val="center"/>
              <w:rPr>
                <w:rFonts w:hint="eastAsia"/>
                <w:sz w:val="21"/>
                <w:szCs w:val="21"/>
                <w:lang w:val="en-US" w:eastAsia="zh-CN"/>
              </w:rPr>
            </w:pPr>
            <w:r>
              <w:rPr>
                <w:rFonts w:hint="eastAsia"/>
                <w:sz w:val="21"/>
                <w:szCs w:val="21"/>
                <w:lang w:val="en-US" w:eastAsia="zh-CN"/>
              </w:rPr>
              <w:t>在线PH传感器</w:t>
            </w:r>
          </w:p>
        </w:tc>
        <w:tc>
          <w:tcPr>
            <w:tcW w:w="2456" w:type="pct"/>
            <w:shd w:val="clear" w:color="auto" w:fill="auto"/>
            <w:vAlign w:val="center"/>
          </w:tcPr>
          <w:p w14:paraId="08D4AF28">
            <w:pPr>
              <w:spacing w:line="240" w:lineRule="auto"/>
              <w:ind w:firstLine="0" w:firstLineChars="0"/>
              <w:rPr>
                <w:rFonts w:hint="eastAsia"/>
                <w:sz w:val="21"/>
                <w:szCs w:val="21"/>
              </w:rPr>
            </w:pPr>
            <w:r>
              <w:rPr>
                <w:sz w:val="21"/>
                <w:szCs w:val="21"/>
              </w:rPr>
              <w:t>原理：玻璃电极法</w:t>
            </w:r>
          </w:p>
          <w:p w14:paraId="55591BBF">
            <w:pPr>
              <w:spacing w:line="240" w:lineRule="auto"/>
              <w:ind w:firstLine="0" w:firstLineChars="0"/>
              <w:rPr>
                <w:rFonts w:hint="eastAsia"/>
                <w:sz w:val="21"/>
                <w:szCs w:val="21"/>
              </w:rPr>
            </w:pPr>
            <w:r>
              <w:rPr>
                <w:sz w:val="21"/>
                <w:szCs w:val="21"/>
              </w:rPr>
              <w:t>量程：0-14 pH</w:t>
            </w:r>
          </w:p>
          <w:p w14:paraId="3A771CB3">
            <w:pPr>
              <w:spacing w:line="240" w:lineRule="auto"/>
              <w:ind w:firstLine="0" w:firstLineChars="0"/>
              <w:rPr>
                <w:rFonts w:hint="eastAsia" w:ascii="宋体" w:hAnsi="宋体" w:eastAsia="宋体" w:cs="宋体"/>
                <w:kern w:val="2"/>
                <w:sz w:val="21"/>
                <w:szCs w:val="21"/>
                <w:lang w:val="en-US" w:eastAsia="zh-CN" w:bidi="ar-SA"/>
              </w:rPr>
            </w:pPr>
            <w:r>
              <w:rPr>
                <w:sz w:val="21"/>
                <w:szCs w:val="21"/>
              </w:rPr>
              <w:t>精度：±0.1 pH</w:t>
            </w:r>
          </w:p>
        </w:tc>
        <w:tc>
          <w:tcPr>
            <w:tcW w:w="1616" w:type="pct"/>
            <w:shd w:val="clear" w:color="auto" w:fill="auto"/>
            <w:vAlign w:val="center"/>
          </w:tcPr>
          <w:p w14:paraId="44C74D62">
            <w:pPr>
              <w:spacing w:line="240" w:lineRule="auto"/>
              <w:ind w:firstLine="0" w:firstLineChars="0"/>
              <w:jc w:val="center"/>
              <w:rPr>
                <w:rFonts w:hint="eastAsia" w:ascii="宋体" w:hAnsi="宋体" w:eastAsia="宋体" w:cs="宋体"/>
                <w:kern w:val="2"/>
                <w:sz w:val="24"/>
                <w:szCs w:val="24"/>
                <w:lang w:val="en-US" w:eastAsia="zh-CN" w:bidi="ar-SA"/>
              </w:rPr>
            </w:pPr>
            <w:r>
              <w:rPr>
                <w:rFonts w:ascii="Times New Roman" w:hAnsi="Times New Roman" w:cs="Times New Roman"/>
                <w:b/>
                <w:sz w:val="32"/>
                <w:szCs w:val="32"/>
              </w:rPr>
              <w:drawing>
                <wp:inline distT="0" distB="0" distL="114300" distR="114300">
                  <wp:extent cx="326390" cy="1350645"/>
                  <wp:effectExtent l="635" t="288925" r="5080" b="29908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28" cstate="print"/>
                          <a:stretch>
                            <a:fillRect/>
                          </a:stretch>
                        </pic:blipFill>
                        <pic:spPr>
                          <a:xfrm rot="3780000">
                            <a:off x="0" y="0"/>
                            <a:ext cx="328911" cy="1359777"/>
                          </a:xfrm>
                          <a:prstGeom prst="rect">
                            <a:avLst/>
                          </a:prstGeom>
                          <a:noFill/>
                          <a:ln>
                            <a:noFill/>
                          </a:ln>
                        </pic:spPr>
                      </pic:pic>
                    </a:graphicData>
                  </a:graphic>
                </wp:inline>
              </w:drawing>
            </w:r>
          </w:p>
        </w:tc>
      </w:tr>
      <w:tr w14:paraId="280FFA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927" w:type="pct"/>
            <w:vAlign w:val="center"/>
          </w:tcPr>
          <w:p w14:paraId="0FAC82AC">
            <w:pPr>
              <w:spacing w:line="240" w:lineRule="auto"/>
              <w:ind w:firstLine="0" w:firstLineChars="0"/>
              <w:jc w:val="center"/>
              <w:rPr>
                <w:rFonts w:hint="eastAsia"/>
                <w:sz w:val="21"/>
                <w:szCs w:val="21"/>
                <w:lang w:val="en-US" w:eastAsia="zh-CN"/>
              </w:rPr>
            </w:pPr>
            <w:r>
              <w:rPr>
                <w:rFonts w:hint="eastAsia"/>
                <w:sz w:val="21"/>
                <w:szCs w:val="21"/>
                <w:lang w:val="en-US" w:eastAsia="zh-CN"/>
              </w:rPr>
              <w:t>在线电导率传感器</w:t>
            </w:r>
          </w:p>
        </w:tc>
        <w:tc>
          <w:tcPr>
            <w:tcW w:w="2456" w:type="pct"/>
            <w:shd w:val="clear" w:color="auto" w:fill="auto"/>
            <w:vAlign w:val="center"/>
          </w:tcPr>
          <w:p w14:paraId="1BAF5800">
            <w:pPr>
              <w:spacing w:line="240" w:lineRule="auto"/>
              <w:ind w:firstLine="0" w:firstLineChars="0"/>
              <w:rPr>
                <w:rFonts w:hint="eastAsia"/>
                <w:sz w:val="21"/>
                <w:szCs w:val="21"/>
              </w:rPr>
            </w:pPr>
            <w:r>
              <w:rPr>
                <w:sz w:val="21"/>
                <w:szCs w:val="21"/>
              </w:rPr>
              <w:t>原理</w:t>
            </w:r>
            <w:r>
              <w:rPr>
                <w:rFonts w:hint="eastAsia"/>
                <w:sz w:val="21"/>
                <w:szCs w:val="21"/>
              </w:rPr>
              <w:t>：接触式电极法</w:t>
            </w:r>
          </w:p>
          <w:p w14:paraId="66ACA789">
            <w:pPr>
              <w:spacing w:line="240" w:lineRule="auto"/>
              <w:ind w:firstLine="0" w:firstLineChars="0"/>
              <w:rPr>
                <w:rFonts w:hint="eastAsia"/>
                <w:sz w:val="21"/>
                <w:szCs w:val="21"/>
              </w:rPr>
            </w:pPr>
            <w:r>
              <w:rPr>
                <w:sz w:val="21"/>
                <w:szCs w:val="21"/>
              </w:rPr>
              <w:t>量程</w:t>
            </w:r>
            <w:r>
              <w:rPr>
                <w:rFonts w:hint="eastAsia"/>
                <w:sz w:val="21"/>
                <w:szCs w:val="21"/>
              </w:rPr>
              <w:t>：0～5000 μS/cm</w:t>
            </w:r>
          </w:p>
          <w:p w14:paraId="7A0E577A">
            <w:pPr>
              <w:spacing w:line="240" w:lineRule="auto"/>
              <w:ind w:firstLine="0" w:firstLineChars="0"/>
              <w:rPr>
                <w:rFonts w:hint="eastAsia" w:ascii="宋体" w:hAnsi="宋体" w:eastAsia="宋体" w:cs="宋体"/>
                <w:kern w:val="2"/>
                <w:sz w:val="21"/>
                <w:szCs w:val="21"/>
                <w:lang w:val="en-US" w:eastAsia="zh-CN" w:bidi="ar-SA"/>
              </w:rPr>
            </w:pPr>
            <w:r>
              <w:rPr>
                <w:sz w:val="21"/>
                <w:szCs w:val="21"/>
              </w:rPr>
              <w:t>精度</w:t>
            </w:r>
            <w:r>
              <w:rPr>
                <w:rFonts w:hint="eastAsia"/>
                <w:sz w:val="21"/>
                <w:szCs w:val="21"/>
              </w:rPr>
              <w:t>：读数的±1%</w:t>
            </w:r>
          </w:p>
        </w:tc>
        <w:tc>
          <w:tcPr>
            <w:tcW w:w="1616" w:type="pct"/>
            <w:shd w:val="clear" w:color="auto" w:fill="auto"/>
            <w:vAlign w:val="center"/>
          </w:tcPr>
          <w:p w14:paraId="1CB1C0BA">
            <w:pPr>
              <w:spacing w:line="240" w:lineRule="auto"/>
              <w:ind w:firstLine="0" w:firstLineChars="0"/>
              <w:jc w:val="center"/>
              <w:rPr>
                <w:rFonts w:hint="eastAsia" w:ascii="宋体" w:hAnsi="宋体" w:eastAsia="宋体" w:cs="宋体"/>
                <w:kern w:val="2"/>
                <w:sz w:val="24"/>
                <w:szCs w:val="24"/>
                <w:lang w:val="en-US" w:eastAsia="zh-CN" w:bidi="ar-SA"/>
              </w:rPr>
            </w:pPr>
            <w:r>
              <w:rPr>
                <w:rFonts w:ascii="Times New Roman" w:hAnsi="Times New Roman" w:cs="Times New Roman"/>
                <w:b/>
                <w:sz w:val="32"/>
                <w:szCs w:val="32"/>
              </w:rPr>
              <w:drawing>
                <wp:inline distT="0" distB="0" distL="114300" distR="114300">
                  <wp:extent cx="302260" cy="1303020"/>
                  <wp:effectExtent l="0" t="279400" r="10160" b="28702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29" cstate="print"/>
                          <a:stretch>
                            <a:fillRect/>
                          </a:stretch>
                        </pic:blipFill>
                        <pic:spPr>
                          <a:xfrm rot="3780000">
                            <a:off x="0" y="0"/>
                            <a:ext cx="306471" cy="1319474"/>
                          </a:xfrm>
                          <a:prstGeom prst="rect">
                            <a:avLst/>
                          </a:prstGeom>
                          <a:noFill/>
                          <a:ln>
                            <a:noFill/>
                          </a:ln>
                        </pic:spPr>
                      </pic:pic>
                    </a:graphicData>
                  </a:graphic>
                </wp:inline>
              </w:drawing>
            </w:r>
          </w:p>
        </w:tc>
      </w:tr>
      <w:tr w14:paraId="471071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70" w:hRule="atLeast"/>
        </w:trPr>
        <w:tc>
          <w:tcPr>
            <w:tcW w:w="927" w:type="pct"/>
            <w:vAlign w:val="center"/>
          </w:tcPr>
          <w:p w14:paraId="68569722">
            <w:pPr>
              <w:spacing w:line="240" w:lineRule="auto"/>
              <w:ind w:firstLine="0" w:firstLineChars="0"/>
              <w:jc w:val="center"/>
              <w:rPr>
                <w:rFonts w:hint="default" w:eastAsia="宋体"/>
                <w:sz w:val="21"/>
                <w:szCs w:val="21"/>
                <w:lang w:val="en-US" w:eastAsia="zh-CN"/>
              </w:rPr>
            </w:pPr>
            <w:r>
              <w:rPr>
                <w:rFonts w:hint="default" w:eastAsia="宋体"/>
                <w:sz w:val="21"/>
                <w:szCs w:val="21"/>
                <w:lang w:val="en-US" w:eastAsia="zh-CN"/>
              </w:rPr>
              <w:t>在线硬度传感器</w:t>
            </w:r>
          </w:p>
        </w:tc>
        <w:tc>
          <w:tcPr>
            <w:tcW w:w="2456" w:type="pct"/>
            <w:vAlign w:val="center"/>
          </w:tcPr>
          <w:p w14:paraId="2ECF3E5B">
            <w:pPr>
              <w:spacing w:line="240" w:lineRule="auto"/>
              <w:ind w:firstLine="0" w:firstLineChars="0"/>
              <w:rPr>
                <w:rFonts w:hint="eastAsia"/>
                <w:sz w:val="21"/>
                <w:szCs w:val="21"/>
              </w:rPr>
            </w:pPr>
            <w:r>
              <w:rPr>
                <w:sz w:val="21"/>
                <w:szCs w:val="21"/>
              </w:rPr>
              <w:t>原理</w:t>
            </w:r>
            <w:r>
              <w:rPr>
                <w:rFonts w:hint="eastAsia"/>
                <w:sz w:val="21"/>
                <w:szCs w:val="21"/>
              </w:rPr>
              <w:t>：离子选择法</w:t>
            </w:r>
          </w:p>
          <w:p w14:paraId="65F8A62D">
            <w:pPr>
              <w:spacing w:line="240" w:lineRule="auto"/>
              <w:ind w:firstLine="0" w:firstLineChars="0"/>
              <w:rPr>
                <w:rFonts w:hint="eastAsia"/>
                <w:sz w:val="21"/>
                <w:szCs w:val="21"/>
              </w:rPr>
            </w:pPr>
            <w:r>
              <w:rPr>
                <w:sz w:val="21"/>
                <w:szCs w:val="21"/>
              </w:rPr>
              <w:t>量程</w:t>
            </w:r>
            <w:r>
              <w:rPr>
                <w:rFonts w:hint="eastAsia"/>
                <w:sz w:val="21"/>
                <w:szCs w:val="21"/>
              </w:rPr>
              <w:t>：0～1000.0mg/L</w:t>
            </w:r>
          </w:p>
          <w:p w14:paraId="4D088686">
            <w:pPr>
              <w:spacing w:line="240" w:lineRule="auto"/>
              <w:ind w:firstLine="0" w:firstLineChars="0"/>
              <w:jc w:val="both"/>
              <w:rPr>
                <w:rFonts w:hint="eastAsia"/>
                <w:sz w:val="21"/>
                <w:szCs w:val="21"/>
              </w:rPr>
            </w:pPr>
            <w:r>
              <w:rPr>
                <w:sz w:val="21"/>
                <w:szCs w:val="21"/>
              </w:rPr>
              <w:t>精度</w:t>
            </w:r>
            <w:r>
              <w:rPr>
                <w:rFonts w:hint="eastAsia"/>
                <w:sz w:val="21"/>
                <w:szCs w:val="21"/>
              </w:rPr>
              <w:t>：读数的±10%</w:t>
            </w:r>
          </w:p>
        </w:tc>
        <w:tc>
          <w:tcPr>
            <w:tcW w:w="1616" w:type="pct"/>
            <w:vAlign w:val="center"/>
          </w:tcPr>
          <w:p w14:paraId="156B0E4E">
            <w:pPr>
              <w:spacing w:line="240" w:lineRule="auto"/>
              <w:ind w:firstLine="0" w:firstLineChars="0"/>
              <w:jc w:val="center"/>
              <w:rPr>
                <w:rFonts w:hint="eastAsia"/>
                <w:sz w:val="21"/>
                <w:szCs w:val="21"/>
              </w:rPr>
            </w:pPr>
            <w:r>
              <w:rPr>
                <w:rFonts w:hint="eastAsia" w:eastAsiaTheme="minorEastAsia"/>
                <w:sz w:val="28"/>
                <w:szCs w:val="28"/>
                <w:lang w:eastAsia="zh-CN"/>
              </w:rPr>
              <w:drawing>
                <wp:inline distT="0" distB="0" distL="114300" distR="114300">
                  <wp:extent cx="1393825" cy="263525"/>
                  <wp:effectExtent l="0" t="244475" r="0" b="269240"/>
                  <wp:docPr id="5" name="图片 5" descr="E:/产品图片/氯离子/11.p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产品图片/氯离子/11.png11"/>
                          <pic:cNvPicPr>
                            <a:picLocks noChangeAspect="1"/>
                          </pic:cNvPicPr>
                        </pic:nvPicPr>
                        <pic:blipFill>
                          <a:blip r:embed="rId30"/>
                          <a:srcRect l="4997" t="40082" r="12686" b="37439"/>
                          <a:stretch>
                            <a:fillRect/>
                          </a:stretch>
                        </pic:blipFill>
                        <pic:spPr>
                          <a:xfrm rot="19860000">
                            <a:off x="0" y="0"/>
                            <a:ext cx="1393825" cy="263525"/>
                          </a:xfrm>
                          <a:prstGeom prst="rect">
                            <a:avLst/>
                          </a:prstGeom>
                        </pic:spPr>
                      </pic:pic>
                    </a:graphicData>
                  </a:graphic>
                </wp:inline>
              </w:drawing>
            </w:r>
          </w:p>
        </w:tc>
      </w:tr>
      <w:tr w14:paraId="311EF8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927" w:type="pct"/>
            <w:vAlign w:val="center"/>
          </w:tcPr>
          <w:p w14:paraId="73780CEA">
            <w:pPr>
              <w:spacing w:line="240" w:lineRule="auto"/>
              <w:ind w:firstLine="0" w:firstLineChars="0"/>
              <w:jc w:val="center"/>
              <w:rPr>
                <w:rFonts w:hint="default" w:eastAsia="宋体"/>
                <w:sz w:val="21"/>
                <w:szCs w:val="21"/>
                <w:lang w:val="en-US" w:eastAsia="zh-CN"/>
              </w:rPr>
            </w:pPr>
            <w:r>
              <w:rPr>
                <w:rFonts w:hint="default" w:eastAsia="宋体"/>
                <w:sz w:val="21"/>
                <w:szCs w:val="21"/>
                <w:lang w:val="en-US" w:eastAsia="zh-CN"/>
              </w:rPr>
              <w:t>在线硬度分析仪</w:t>
            </w:r>
          </w:p>
        </w:tc>
        <w:tc>
          <w:tcPr>
            <w:tcW w:w="2456" w:type="pct"/>
            <w:vAlign w:val="center"/>
          </w:tcPr>
          <w:p w14:paraId="12192C76">
            <w:pPr>
              <w:spacing w:line="240" w:lineRule="auto"/>
              <w:ind w:firstLine="0" w:firstLineChars="0"/>
              <w:rPr>
                <w:rFonts w:hint="eastAsia"/>
                <w:sz w:val="21"/>
                <w:szCs w:val="21"/>
              </w:rPr>
            </w:pPr>
            <w:r>
              <w:rPr>
                <w:sz w:val="21"/>
                <w:szCs w:val="21"/>
              </w:rPr>
              <w:t>原理</w:t>
            </w:r>
            <w:r>
              <w:rPr>
                <w:rFonts w:hint="eastAsia"/>
                <w:sz w:val="21"/>
                <w:szCs w:val="21"/>
              </w:rPr>
              <w:t>：比色滴定</w:t>
            </w:r>
          </w:p>
          <w:p w14:paraId="5FC72F6C">
            <w:pPr>
              <w:spacing w:line="240" w:lineRule="auto"/>
              <w:ind w:firstLine="0" w:firstLineChars="0"/>
              <w:rPr>
                <w:rFonts w:hint="eastAsia"/>
                <w:sz w:val="21"/>
                <w:szCs w:val="21"/>
              </w:rPr>
            </w:pPr>
            <w:r>
              <w:rPr>
                <w:sz w:val="21"/>
                <w:szCs w:val="21"/>
              </w:rPr>
              <w:t>量程</w:t>
            </w:r>
            <w:r>
              <w:rPr>
                <w:rFonts w:hint="eastAsia"/>
                <w:sz w:val="21"/>
                <w:szCs w:val="21"/>
              </w:rPr>
              <w:t>：50～500ppm</w:t>
            </w:r>
          </w:p>
          <w:p w14:paraId="43F37EC9">
            <w:pPr>
              <w:spacing w:line="240" w:lineRule="auto"/>
              <w:ind w:firstLine="0" w:firstLineChars="0"/>
              <w:jc w:val="both"/>
              <w:rPr>
                <w:rFonts w:hint="eastAsia"/>
                <w:sz w:val="21"/>
                <w:szCs w:val="21"/>
              </w:rPr>
            </w:pPr>
            <w:r>
              <w:rPr>
                <w:sz w:val="21"/>
                <w:szCs w:val="21"/>
              </w:rPr>
              <w:t>精度</w:t>
            </w:r>
            <w:r>
              <w:rPr>
                <w:rFonts w:hint="eastAsia"/>
                <w:sz w:val="21"/>
                <w:szCs w:val="21"/>
              </w:rPr>
              <w:t>：上限值的</w:t>
            </w:r>
            <w:r>
              <w:rPr>
                <w:rFonts w:hint="eastAsia"/>
                <w:sz w:val="21"/>
                <w:szCs w:val="21"/>
                <w:lang w:val="en-US" w:eastAsia="zh-CN"/>
              </w:rPr>
              <w:t>±</w:t>
            </w:r>
            <w:r>
              <w:rPr>
                <w:rFonts w:hint="eastAsia"/>
                <w:sz w:val="21"/>
                <w:szCs w:val="21"/>
              </w:rPr>
              <w:t>5%</w:t>
            </w:r>
          </w:p>
        </w:tc>
        <w:tc>
          <w:tcPr>
            <w:tcW w:w="1616" w:type="pct"/>
            <w:vAlign w:val="center"/>
          </w:tcPr>
          <w:p w14:paraId="2BC408CB">
            <w:pPr>
              <w:spacing w:line="240" w:lineRule="auto"/>
              <w:ind w:firstLine="0" w:firstLineChars="0"/>
              <w:jc w:val="center"/>
              <w:rPr>
                <w:rFonts w:hint="eastAsia"/>
                <w:sz w:val="21"/>
                <w:szCs w:val="21"/>
              </w:rPr>
            </w:pPr>
            <w:r>
              <w:rPr>
                <w:rFonts w:ascii="HarmonyOS Sans" w:hAnsi="HarmonyOS Sans"/>
                <w:lang w:val="en-GB"/>
              </w:rPr>
              <w:drawing>
                <wp:inline distT="0" distB="0" distL="0" distR="0">
                  <wp:extent cx="878840" cy="1070610"/>
                  <wp:effectExtent l="0" t="0" r="65405" b="41275"/>
                  <wp:docPr id="53"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4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78840" cy="1070610"/>
                          </a:xfrm>
                          <a:prstGeom prst="rect">
                            <a:avLst/>
                          </a:prstGeom>
                          <a:effectLst>
                            <a:outerShdw blurRad="50800" dist="38100" dir="2700000" algn="tl" rotWithShape="0">
                              <a:prstClr val="black">
                                <a:alpha val="40000"/>
                              </a:prstClr>
                            </a:outerShdw>
                          </a:effectLst>
                        </pic:spPr>
                      </pic:pic>
                    </a:graphicData>
                  </a:graphic>
                </wp:inline>
              </w:drawing>
            </w:r>
          </w:p>
        </w:tc>
      </w:tr>
      <w:tr w14:paraId="4C7C54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0" w:hRule="atLeast"/>
        </w:trPr>
        <w:tc>
          <w:tcPr>
            <w:tcW w:w="927" w:type="pct"/>
            <w:vAlign w:val="center"/>
          </w:tcPr>
          <w:p w14:paraId="681B4BA6">
            <w:pPr>
              <w:spacing w:line="240" w:lineRule="auto"/>
              <w:ind w:firstLine="0" w:firstLineChars="0"/>
              <w:jc w:val="center"/>
              <w:rPr>
                <w:rFonts w:hint="eastAsia"/>
                <w:sz w:val="21"/>
                <w:szCs w:val="21"/>
              </w:rPr>
            </w:pPr>
            <w:r>
              <w:rPr>
                <w:rFonts w:hint="eastAsia"/>
                <w:sz w:val="21"/>
                <w:szCs w:val="21"/>
              </w:rPr>
              <w:t>在线氨氮传感器</w:t>
            </w:r>
          </w:p>
        </w:tc>
        <w:tc>
          <w:tcPr>
            <w:tcW w:w="2456" w:type="pct"/>
            <w:vAlign w:val="center"/>
          </w:tcPr>
          <w:p w14:paraId="3FB5220D">
            <w:pPr>
              <w:spacing w:line="240" w:lineRule="auto"/>
              <w:ind w:firstLine="0" w:firstLineChars="0"/>
              <w:rPr>
                <w:rFonts w:hint="eastAsia"/>
                <w:sz w:val="21"/>
                <w:szCs w:val="21"/>
              </w:rPr>
            </w:pPr>
            <w:r>
              <w:rPr>
                <w:sz w:val="21"/>
                <w:szCs w:val="21"/>
              </w:rPr>
              <w:t>原理</w:t>
            </w:r>
            <w:r>
              <w:rPr>
                <w:rFonts w:hint="eastAsia"/>
                <w:sz w:val="21"/>
                <w:szCs w:val="21"/>
              </w:rPr>
              <w:t>：离子选择电极法</w:t>
            </w:r>
          </w:p>
          <w:p w14:paraId="3F03E926">
            <w:pPr>
              <w:spacing w:line="240" w:lineRule="auto"/>
              <w:ind w:firstLine="0" w:firstLineChars="0"/>
              <w:rPr>
                <w:rFonts w:hint="eastAsia"/>
                <w:sz w:val="21"/>
                <w:szCs w:val="21"/>
              </w:rPr>
            </w:pPr>
            <w:r>
              <w:rPr>
                <w:sz w:val="21"/>
                <w:szCs w:val="21"/>
              </w:rPr>
              <w:t>量程</w:t>
            </w:r>
            <w:r>
              <w:rPr>
                <w:rFonts w:hint="eastAsia"/>
                <w:sz w:val="21"/>
                <w:szCs w:val="21"/>
              </w:rPr>
              <w:t>：0～100.00 mg/L</w:t>
            </w:r>
          </w:p>
          <w:p w14:paraId="7BA0E548">
            <w:pPr>
              <w:spacing w:line="240" w:lineRule="auto"/>
              <w:ind w:firstLine="0" w:firstLineChars="0"/>
              <w:rPr>
                <w:rFonts w:hint="eastAsia"/>
                <w:sz w:val="21"/>
                <w:szCs w:val="21"/>
              </w:rPr>
            </w:pPr>
            <w:r>
              <w:rPr>
                <w:sz w:val="21"/>
                <w:szCs w:val="21"/>
              </w:rPr>
              <w:t>精度</w:t>
            </w:r>
            <w:r>
              <w:rPr>
                <w:rFonts w:hint="eastAsia"/>
                <w:sz w:val="21"/>
                <w:szCs w:val="21"/>
              </w:rPr>
              <w:t>：读数的±10%或±1 mg/L 以大者为准</w:t>
            </w:r>
          </w:p>
        </w:tc>
        <w:tc>
          <w:tcPr>
            <w:tcW w:w="1616" w:type="pct"/>
            <w:vAlign w:val="center"/>
          </w:tcPr>
          <w:p w14:paraId="6524B68E">
            <w:pPr>
              <w:spacing w:line="240" w:lineRule="auto"/>
              <w:ind w:firstLine="0" w:firstLineChars="0"/>
              <w:jc w:val="center"/>
              <w:rPr>
                <w:rFonts w:hint="eastAsia"/>
              </w:rPr>
            </w:pPr>
            <w:r>
              <w:rPr>
                <w:rFonts w:hint="eastAsia" w:eastAsiaTheme="minorEastAsia"/>
                <w:lang w:eastAsia="zh-CN"/>
              </w:rPr>
              <w:drawing>
                <wp:inline distT="0" distB="0" distL="114300" distR="114300">
                  <wp:extent cx="392430" cy="1581785"/>
                  <wp:effectExtent l="0" t="140335" r="0" b="259715"/>
                  <wp:docPr id="54" name="图片 54" descr="E:/新建文件夹 (9)/mmexport1716363568522.pngmmexport1716363568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E:/新建文件夹 (9)/mmexport1716363568522.pngmmexport1716363568522"/>
                          <pic:cNvPicPr>
                            <a:picLocks noChangeAspect="1"/>
                          </pic:cNvPicPr>
                        </pic:nvPicPr>
                        <pic:blipFill>
                          <a:blip r:embed="rId32"/>
                          <a:srcRect l="33411" r="33411"/>
                          <a:stretch>
                            <a:fillRect/>
                          </a:stretch>
                        </pic:blipFill>
                        <pic:spPr>
                          <a:xfrm rot="3600000">
                            <a:off x="0" y="0"/>
                            <a:ext cx="392430" cy="1581785"/>
                          </a:xfrm>
                          <a:prstGeom prst="rect">
                            <a:avLst/>
                          </a:prstGeom>
                        </pic:spPr>
                      </pic:pic>
                    </a:graphicData>
                  </a:graphic>
                </wp:inline>
              </w:drawing>
            </w:r>
          </w:p>
        </w:tc>
      </w:tr>
      <w:tr w14:paraId="6550C2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2" w:hRule="atLeast"/>
        </w:trPr>
        <w:tc>
          <w:tcPr>
            <w:tcW w:w="927" w:type="pct"/>
            <w:vAlign w:val="center"/>
          </w:tcPr>
          <w:p w14:paraId="44FE783E">
            <w:pPr>
              <w:spacing w:line="240" w:lineRule="auto"/>
              <w:ind w:firstLine="0" w:firstLineChars="0"/>
              <w:jc w:val="center"/>
              <w:rPr>
                <w:rFonts w:hint="eastAsia"/>
                <w:sz w:val="21"/>
                <w:szCs w:val="21"/>
              </w:rPr>
            </w:pPr>
            <w:r>
              <w:rPr>
                <w:rFonts w:hint="eastAsia"/>
                <w:sz w:val="21"/>
                <w:szCs w:val="21"/>
              </w:rPr>
              <w:t>在线氨氮分析仪</w:t>
            </w:r>
          </w:p>
        </w:tc>
        <w:tc>
          <w:tcPr>
            <w:tcW w:w="2456" w:type="pct"/>
            <w:vAlign w:val="center"/>
          </w:tcPr>
          <w:p w14:paraId="4ED34CF4">
            <w:pPr>
              <w:spacing w:line="240" w:lineRule="auto"/>
              <w:ind w:firstLine="0" w:firstLineChars="0"/>
              <w:rPr>
                <w:rFonts w:hint="eastAsia"/>
                <w:sz w:val="21"/>
                <w:szCs w:val="21"/>
              </w:rPr>
            </w:pPr>
            <w:r>
              <w:rPr>
                <w:sz w:val="21"/>
                <w:szCs w:val="21"/>
              </w:rPr>
              <w:t>原理</w:t>
            </w:r>
            <w:r>
              <w:rPr>
                <w:rFonts w:hint="eastAsia"/>
                <w:sz w:val="21"/>
                <w:szCs w:val="21"/>
              </w:rPr>
              <w:t>：水杨酸分光光度法</w:t>
            </w:r>
          </w:p>
          <w:p w14:paraId="4AD4C5B4">
            <w:pPr>
              <w:spacing w:line="240" w:lineRule="auto"/>
              <w:ind w:firstLine="0" w:firstLineChars="0"/>
              <w:rPr>
                <w:rFonts w:hint="eastAsia"/>
                <w:sz w:val="21"/>
                <w:szCs w:val="21"/>
              </w:rPr>
            </w:pPr>
            <w:r>
              <w:rPr>
                <w:sz w:val="21"/>
                <w:szCs w:val="21"/>
              </w:rPr>
              <w:t>量程</w:t>
            </w:r>
            <w:r>
              <w:rPr>
                <w:rFonts w:hint="eastAsia"/>
                <w:sz w:val="21"/>
                <w:szCs w:val="21"/>
              </w:rPr>
              <w:t>：0～150.00mg/L</w:t>
            </w:r>
          </w:p>
          <w:p w14:paraId="096F1E25">
            <w:pPr>
              <w:spacing w:line="240" w:lineRule="auto"/>
              <w:ind w:firstLine="0" w:firstLineChars="0"/>
              <w:rPr>
                <w:rFonts w:hint="eastAsia"/>
                <w:sz w:val="21"/>
                <w:szCs w:val="21"/>
              </w:rPr>
            </w:pPr>
            <w:r>
              <w:rPr>
                <w:sz w:val="21"/>
                <w:szCs w:val="21"/>
              </w:rPr>
              <w:t>精度</w:t>
            </w:r>
            <w:r>
              <w:rPr>
                <w:rFonts w:hint="eastAsia"/>
                <w:sz w:val="21"/>
                <w:szCs w:val="21"/>
              </w:rPr>
              <w:t>： 浓度＜2mg/L，±0.2mg/L；浓度≥2mg/L，≤10%</w:t>
            </w:r>
          </w:p>
        </w:tc>
        <w:tc>
          <w:tcPr>
            <w:tcW w:w="1616" w:type="pct"/>
            <w:vAlign w:val="center"/>
          </w:tcPr>
          <w:p w14:paraId="194DF092">
            <w:pPr>
              <w:spacing w:line="240" w:lineRule="auto"/>
              <w:ind w:firstLine="0" w:firstLineChars="0"/>
              <w:jc w:val="center"/>
              <w:rPr>
                <w:rFonts w:hint="eastAsia"/>
              </w:rPr>
            </w:pPr>
            <w:r>
              <w:drawing>
                <wp:inline distT="0" distB="0" distL="114300" distR="114300">
                  <wp:extent cx="737235" cy="1314450"/>
                  <wp:effectExtent l="0" t="0" r="9525" b="11430"/>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25"/>
                          <a:stretch>
                            <a:fillRect/>
                          </a:stretch>
                        </pic:blipFill>
                        <pic:spPr>
                          <a:xfrm>
                            <a:off x="0" y="0"/>
                            <a:ext cx="737235" cy="1314450"/>
                          </a:xfrm>
                          <a:prstGeom prst="rect">
                            <a:avLst/>
                          </a:prstGeom>
                          <a:noFill/>
                          <a:ln>
                            <a:noFill/>
                          </a:ln>
                        </pic:spPr>
                      </pic:pic>
                    </a:graphicData>
                  </a:graphic>
                </wp:inline>
              </w:drawing>
            </w:r>
          </w:p>
        </w:tc>
      </w:tr>
      <w:tr w14:paraId="2DE935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4" w:hRule="atLeast"/>
        </w:trPr>
        <w:tc>
          <w:tcPr>
            <w:tcW w:w="927" w:type="pct"/>
            <w:vAlign w:val="center"/>
          </w:tcPr>
          <w:p w14:paraId="0D6A4B38">
            <w:pPr>
              <w:spacing w:line="240" w:lineRule="auto"/>
              <w:ind w:firstLine="0" w:firstLineChars="0"/>
              <w:jc w:val="center"/>
              <w:rPr>
                <w:rFonts w:hint="eastAsia"/>
                <w:sz w:val="21"/>
                <w:szCs w:val="21"/>
              </w:rPr>
            </w:pPr>
            <w:r>
              <w:rPr>
                <w:rFonts w:hint="eastAsia" w:cs="宋体"/>
                <w:i w:val="0"/>
                <w:iCs w:val="0"/>
                <w:color w:val="000000"/>
                <w:kern w:val="0"/>
                <w:sz w:val="21"/>
                <w:szCs w:val="21"/>
                <w:u w:val="none"/>
                <w:lang w:val="en-US" w:eastAsia="zh-CN" w:bidi="ar"/>
              </w:rPr>
              <w:t>在线光学硝氮传感器</w:t>
            </w:r>
          </w:p>
        </w:tc>
        <w:tc>
          <w:tcPr>
            <w:tcW w:w="2456" w:type="pct"/>
            <w:vAlign w:val="center"/>
          </w:tcPr>
          <w:p w14:paraId="44A6D12C">
            <w:pPr>
              <w:spacing w:line="240" w:lineRule="auto"/>
              <w:ind w:firstLine="0" w:firstLineChars="0"/>
              <w:jc w:val="left"/>
              <w:rPr>
                <w:rFonts w:hint="eastAsia"/>
                <w:sz w:val="21"/>
                <w:szCs w:val="21"/>
              </w:rPr>
            </w:pPr>
            <w:r>
              <w:rPr>
                <w:sz w:val="21"/>
                <w:szCs w:val="21"/>
              </w:rPr>
              <w:t>原理：</w:t>
            </w:r>
            <w:r>
              <w:rPr>
                <w:rFonts w:hint="eastAsia"/>
                <w:sz w:val="21"/>
                <w:szCs w:val="21"/>
              </w:rPr>
              <w:t>双波长紫外吸收法</w:t>
            </w:r>
          </w:p>
          <w:p w14:paraId="12F52A71">
            <w:pPr>
              <w:spacing w:line="240" w:lineRule="auto"/>
              <w:ind w:firstLine="0" w:firstLineChars="0"/>
              <w:jc w:val="left"/>
              <w:rPr>
                <w:rFonts w:hint="eastAsia"/>
                <w:sz w:val="21"/>
                <w:szCs w:val="21"/>
              </w:rPr>
            </w:pPr>
            <w:r>
              <w:rPr>
                <w:sz w:val="21"/>
                <w:szCs w:val="21"/>
              </w:rPr>
              <w:t>量程：</w:t>
            </w:r>
            <w:r>
              <w:rPr>
                <w:rFonts w:hint="eastAsia"/>
                <w:sz w:val="21"/>
                <w:szCs w:val="21"/>
              </w:rPr>
              <w:t>0～20.0 mg/L</w:t>
            </w:r>
          </w:p>
          <w:p w14:paraId="22B58709">
            <w:pPr>
              <w:spacing w:line="240" w:lineRule="auto"/>
              <w:ind w:firstLine="0" w:firstLineChars="0"/>
              <w:rPr>
                <w:sz w:val="21"/>
                <w:szCs w:val="21"/>
              </w:rPr>
            </w:pPr>
            <w:r>
              <w:rPr>
                <w:sz w:val="21"/>
                <w:szCs w:val="21"/>
              </w:rPr>
              <w:t>精度</w:t>
            </w:r>
            <w:r>
              <w:rPr>
                <w:rFonts w:hint="eastAsia"/>
                <w:sz w:val="21"/>
                <w:szCs w:val="21"/>
              </w:rPr>
              <w:t>：读数的±5%</w:t>
            </w:r>
          </w:p>
        </w:tc>
        <w:tc>
          <w:tcPr>
            <w:tcW w:w="1616" w:type="pct"/>
            <w:vAlign w:val="center"/>
          </w:tcPr>
          <w:p w14:paraId="5F892EF6">
            <w:pPr>
              <w:spacing w:line="240" w:lineRule="auto"/>
              <w:ind w:firstLine="0" w:firstLineChars="0"/>
              <w:jc w:val="center"/>
            </w:pPr>
            <w:r>
              <w:rPr>
                <w:rFonts w:hint="eastAsia" w:ascii="Times New Roman" w:hAnsi="Times New Roman"/>
              </w:rPr>
              <w:drawing>
                <wp:inline distT="0" distB="0" distL="114300" distR="114300">
                  <wp:extent cx="192405" cy="1195705"/>
                  <wp:effectExtent l="0" t="264160" r="0" b="320675"/>
                  <wp:docPr id="1" name="图片 1" descr="lQLPDhsUQbx-RArNCMLNAWuwbhGOLd90K5cB8dyl7UBnAA_363_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QLPDhsUQbx-RArNCMLNAWuwbhGOLd90K5cB8dyl7UBnAA_363_2242"/>
                          <pic:cNvPicPr>
                            <a:picLocks noChangeAspect="1"/>
                          </pic:cNvPicPr>
                        </pic:nvPicPr>
                        <pic:blipFill>
                          <a:blip r:embed="rId33"/>
                          <a:stretch>
                            <a:fillRect/>
                          </a:stretch>
                        </pic:blipFill>
                        <pic:spPr>
                          <a:xfrm rot="3420000" flipH="1">
                            <a:off x="0" y="0"/>
                            <a:ext cx="192405" cy="1195705"/>
                          </a:xfrm>
                          <a:prstGeom prst="rect">
                            <a:avLst/>
                          </a:prstGeom>
                          <a:noFill/>
                          <a:ln>
                            <a:noFill/>
                          </a:ln>
                        </pic:spPr>
                      </pic:pic>
                    </a:graphicData>
                  </a:graphic>
                </wp:inline>
              </w:drawing>
            </w:r>
          </w:p>
        </w:tc>
      </w:tr>
      <w:tr w14:paraId="1548AA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18" w:hRule="atLeast"/>
        </w:trPr>
        <w:tc>
          <w:tcPr>
            <w:tcW w:w="927" w:type="pct"/>
            <w:vAlign w:val="center"/>
          </w:tcPr>
          <w:p w14:paraId="58BEE60F">
            <w:pPr>
              <w:spacing w:line="240" w:lineRule="auto"/>
              <w:ind w:firstLine="0" w:firstLineChars="0"/>
              <w:jc w:val="center"/>
              <w:rPr>
                <w:rFonts w:hint="eastAsia"/>
                <w:sz w:val="21"/>
                <w:szCs w:val="21"/>
              </w:rPr>
            </w:pPr>
            <w:r>
              <w:rPr>
                <w:rFonts w:hint="eastAsia"/>
                <w:sz w:val="21"/>
                <w:szCs w:val="21"/>
              </w:rPr>
              <w:t>在线高锰酸盐指数分析仪</w:t>
            </w:r>
          </w:p>
        </w:tc>
        <w:tc>
          <w:tcPr>
            <w:tcW w:w="2456" w:type="pct"/>
            <w:vAlign w:val="center"/>
          </w:tcPr>
          <w:p w14:paraId="02D5F1E9">
            <w:pPr>
              <w:spacing w:line="240" w:lineRule="auto"/>
              <w:ind w:firstLine="0" w:firstLineChars="0"/>
              <w:rPr>
                <w:rFonts w:hint="eastAsia"/>
                <w:sz w:val="21"/>
                <w:szCs w:val="21"/>
              </w:rPr>
            </w:pPr>
            <w:r>
              <w:rPr>
                <w:sz w:val="21"/>
                <w:szCs w:val="21"/>
              </w:rPr>
              <w:t>原理</w:t>
            </w:r>
            <w:r>
              <w:rPr>
                <w:rFonts w:hint="eastAsia"/>
                <w:sz w:val="21"/>
                <w:szCs w:val="21"/>
              </w:rPr>
              <w:t>：高锰酸钾氧化法</w:t>
            </w:r>
          </w:p>
          <w:p w14:paraId="1BB3884C">
            <w:pPr>
              <w:spacing w:line="240" w:lineRule="auto"/>
              <w:ind w:firstLine="0" w:firstLineChars="0"/>
              <w:rPr>
                <w:rFonts w:hint="eastAsia"/>
                <w:sz w:val="21"/>
                <w:szCs w:val="21"/>
              </w:rPr>
            </w:pPr>
            <w:r>
              <w:rPr>
                <w:sz w:val="21"/>
                <w:szCs w:val="21"/>
              </w:rPr>
              <w:t>量程</w:t>
            </w:r>
            <w:r>
              <w:rPr>
                <w:rFonts w:hint="eastAsia"/>
                <w:sz w:val="21"/>
                <w:szCs w:val="21"/>
              </w:rPr>
              <w:t>：0.0～20.00mg/L</w:t>
            </w:r>
          </w:p>
          <w:p w14:paraId="2388C905">
            <w:pPr>
              <w:spacing w:line="240" w:lineRule="auto"/>
              <w:ind w:firstLine="0" w:firstLineChars="0"/>
              <w:rPr>
                <w:rFonts w:hint="eastAsia"/>
                <w:sz w:val="21"/>
                <w:szCs w:val="21"/>
              </w:rPr>
            </w:pPr>
            <w:r>
              <w:rPr>
                <w:sz w:val="21"/>
                <w:szCs w:val="21"/>
              </w:rPr>
              <w:t>精度</w:t>
            </w:r>
            <w:r>
              <w:rPr>
                <w:rFonts w:hint="eastAsia"/>
                <w:sz w:val="21"/>
                <w:szCs w:val="21"/>
              </w:rPr>
              <w:t>：±10%</w:t>
            </w:r>
          </w:p>
        </w:tc>
        <w:tc>
          <w:tcPr>
            <w:tcW w:w="1616" w:type="pct"/>
            <w:vAlign w:val="center"/>
          </w:tcPr>
          <w:p w14:paraId="4332F75E">
            <w:pPr>
              <w:spacing w:line="240" w:lineRule="auto"/>
              <w:ind w:firstLine="0" w:firstLineChars="0"/>
              <w:jc w:val="center"/>
              <w:rPr>
                <w:rFonts w:hint="eastAsia"/>
              </w:rPr>
            </w:pPr>
            <w:r>
              <w:drawing>
                <wp:inline distT="0" distB="0" distL="114300" distR="114300">
                  <wp:extent cx="737235" cy="1314450"/>
                  <wp:effectExtent l="0" t="0" r="9525" b="11430"/>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pic:cNvPicPr>
                            <a:picLocks noChangeAspect="1"/>
                          </pic:cNvPicPr>
                        </pic:nvPicPr>
                        <pic:blipFill>
                          <a:blip r:embed="rId25"/>
                          <a:stretch>
                            <a:fillRect/>
                          </a:stretch>
                        </pic:blipFill>
                        <pic:spPr>
                          <a:xfrm>
                            <a:off x="0" y="0"/>
                            <a:ext cx="737235" cy="1314450"/>
                          </a:xfrm>
                          <a:prstGeom prst="rect">
                            <a:avLst/>
                          </a:prstGeom>
                          <a:noFill/>
                          <a:ln>
                            <a:noFill/>
                          </a:ln>
                        </pic:spPr>
                      </pic:pic>
                    </a:graphicData>
                  </a:graphic>
                </wp:inline>
              </w:drawing>
            </w:r>
          </w:p>
        </w:tc>
      </w:tr>
      <w:tr w14:paraId="52B3E4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4" w:hRule="atLeast"/>
        </w:trPr>
        <w:tc>
          <w:tcPr>
            <w:tcW w:w="927" w:type="pct"/>
            <w:vAlign w:val="center"/>
          </w:tcPr>
          <w:p w14:paraId="76D5CED7">
            <w:pPr>
              <w:spacing w:line="240" w:lineRule="auto"/>
              <w:ind w:firstLine="0" w:firstLineChars="0"/>
              <w:jc w:val="center"/>
              <w:rPr>
                <w:rFonts w:hint="eastAsia"/>
                <w:sz w:val="21"/>
                <w:szCs w:val="21"/>
              </w:rPr>
            </w:pPr>
            <w:r>
              <w:rPr>
                <w:rFonts w:hint="eastAsia"/>
                <w:sz w:val="21"/>
                <w:szCs w:val="21"/>
              </w:rPr>
              <w:t>在线余氯传感器</w:t>
            </w:r>
          </w:p>
        </w:tc>
        <w:tc>
          <w:tcPr>
            <w:tcW w:w="2456" w:type="pct"/>
            <w:shd w:val="clear" w:color="auto" w:fill="auto"/>
            <w:vAlign w:val="center"/>
          </w:tcPr>
          <w:p w14:paraId="29DE43C5">
            <w:pPr>
              <w:spacing w:line="240" w:lineRule="auto"/>
              <w:ind w:firstLine="0" w:firstLineChars="0"/>
              <w:jc w:val="left"/>
              <w:rPr>
                <w:rFonts w:hint="eastAsia"/>
                <w:sz w:val="21"/>
                <w:szCs w:val="21"/>
              </w:rPr>
            </w:pPr>
            <w:r>
              <w:rPr>
                <w:sz w:val="21"/>
                <w:szCs w:val="21"/>
              </w:rPr>
              <w:t>原理：恒压法</w:t>
            </w:r>
          </w:p>
          <w:p w14:paraId="2AA472A7">
            <w:pPr>
              <w:spacing w:line="240" w:lineRule="auto"/>
              <w:ind w:firstLine="0" w:firstLineChars="0"/>
              <w:jc w:val="left"/>
              <w:rPr>
                <w:rFonts w:hint="eastAsia"/>
                <w:sz w:val="21"/>
                <w:szCs w:val="21"/>
              </w:rPr>
            </w:pPr>
            <w:r>
              <w:rPr>
                <w:sz w:val="21"/>
                <w:szCs w:val="21"/>
              </w:rPr>
              <w:t>量程：0～2.000mg/L</w:t>
            </w:r>
          </w:p>
          <w:p w14:paraId="48B92D65">
            <w:pPr>
              <w:spacing w:line="240" w:lineRule="auto"/>
              <w:ind w:firstLine="0" w:firstLineChars="0"/>
              <w:jc w:val="left"/>
              <w:rPr>
                <w:rFonts w:hint="eastAsia" w:ascii="宋体" w:hAnsi="宋体" w:eastAsia="宋体" w:cs="宋体"/>
                <w:kern w:val="2"/>
                <w:sz w:val="21"/>
                <w:szCs w:val="21"/>
                <w:lang w:val="en-US" w:eastAsia="zh-CN" w:bidi="ar-SA"/>
              </w:rPr>
            </w:pPr>
            <w:r>
              <w:rPr>
                <w:sz w:val="21"/>
                <w:szCs w:val="21"/>
              </w:rPr>
              <w:t>精度</w:t>
            </w:r>
            <w:r>
              <w:rPr>
                <w:rFonts w:hint="eastAsia"/>
                <w:sz w:val="21"/>
                <w:szCs w:val="21"/>
              </w:rPr>
              <w:t>：</w:t>
            </w:r>
            <w:r>
              <w:rPr>
                <w:sz w:val="21"/>
                <w:szCs w:val="21"/>
              </w:rPr>
              <w:t>读数的±5%/±0.05mg/L</w:t>
            </w:r>
          </w:p>
        </w:tc>
        <w:tc>
          <w:tcPr>
            <w:tcW w:w="1616" w:type="pct"/>
            <w:shd w:val="clear" w:color="auto" w:fill="auto"/>
            <w:vAlign w:val="center"/>
          </w:tcPr>
          <w:p w14:paraId="769C4A90">
            <w:pPr>
              <w:spacing w:line="240" w:lineRule="auto"/>
              <w:ind w:firstLine="0" w:firstLineChars="0"/>
              <w:jc w:val="center"/>
              <w:rPr>
                <w:rFonts w:hint="eastAsia" w:ascii="宋体" w:hAnsi="宋体" w:eastAsia="宋体" w:cs="宋体"/>
                <w:kern w:val="2"/>
                <w:sz w:val="24"/>
                <w:szCs w:val="24"/>
                <w:lang w:val="en-US" w:eastAsia="zh-CN" w:bidi="ar-SA"/>
              </w:rPr>
            </w:pPr>
            <w:r>
              <w:rPr>
                <w:rFonts w:cs="Times New Roman"/>
                <w:sz w:val="28"/>
                <w:szCs w:val="28"/>
              </w:rPr>
              <w:drawing>
                <wp:inline distT="0" distB="0" distL="114300" distR="114300">
                  <wp:extent cx="304165" cy="1256665"/>
                  <wp:effectExtent l="0" t="264795" r="0" b="269240"/>
                  <wp:docPr id="57" name="图片 57" descr="64c5201a486764d6471562335dbe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64c5201a486764d6471562335dbe0151"/>
                          <pic:cNvPicPr>
                            <a:picLocks noChangeAspect="1"/>
                          </pic:cNvPicPr>
                        </pic:nvPicPr>
                        <pic:blipFill>
                          <a:blip r:embed="rId34"/>
                          <a:stretch>
                            <a:fillRect/>
                          </a:stretch>
                        </pic:blipFill>
                        <pic:spPr>
                          <a:xfrm rot="3240000">
                            <a:off x="0" y="0"/>
                            <a:ext cx="304165" cy="1256665"/>
                          </a:xfrm>
                          <a:prstGeom prst="rect">
                            <a:avLst/>
                          </a:prstGeom>
                        </pic:spPr>
                      </pic:pic>
                    </a:graphicData>
                  </a:graphic>
                </wp:inline>
              </w:drawing>
            </w:r>
          </w:p>
        </w:tc>
      </w:tr>
      <w:tr w14:paraId="6ED62E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2" w:hRule="atLeast"/>
        </w:trPr>
        <w:tc>
          <w:tcPr>
            <w:tcW w:w="927" w:type="pct"/>
            <w:vAlign w:val="center"/>
          </w:tcPr>
          <w:p w14:paraId="41991BF4">
            <w:pPr>
              <w:spacing w:line="240" w:lineRule="auto"/>
              <w:ind w:firstLine="0" w:firstLineChars="0"/>
              <w:jc w:val="center"/>
              <w:rPr>
                <w:rFonts w:hint="eastAsia"/>
                <w:sz w:val="21"/>
                <w:szCs w:val="21"/>
              </w:rPr>
            </w:pPr>
            <w:r>
              <w:rPr>
                <w:rFonts w:hint="eastAsia"/>
                <w:sz w:val="21"/>
                <w:szCs w:val="21"/>
              </w:rPr>
              <w:t>在线余氯分析仪</w:t>
            </w:r>
          </w:p>
        </w:tc>
        <w:tc>
          <w:tcPr>
            <w:tcW w:w="2456" w:type="pct"/>
            <w:vAlign w:val="center"/>
          </w:tcPr>
          <w:p w14:paraId="09CBFB01">
            <w:pPr>
              <w:spacing w:line="240" w:lineRule="auto"/>
              <w:ind w:firstLine="0" w:firstLineChars="0"/>
              <w:rPr>
                <w:rFonts w:hint="eastAsia"/>
                <w:sz w:val="21"/>
                <w:szCs w:val="21"/>
              </w:rPr>
            </w:pPr>
            <w:r>
              <w:rPr>
                <w:sz w:val="21"/>
                <w:szCs w:val="21"/>
              </w:rPr>
              <w:t>原理</w:t>
            </w:r>
            <w:r>
              <w:rPr>
                <w:rFonts w:hint="eastAsia"/>
                <w:sz w:val="21"/>
                <w:szCs w:val="21"/>
              </w:rPr>
              <w:t>：</w:t>
            </w:r>
            <w:r>
              <w:rPr>
                <w:rFonts w:hint="eastAsia"/>
                <w:sz w:val="21"/>
                <w:szCs w:val="21"/>
                <w:lang w:val="en-US" w:eastAsia="zh-CN"/>
              </w:rPr>
              <w:t>DPD</w:t>
            </w:r>
            <w:r>
              <w:rPr>
                <w:rFonts w:hint="eastAsia"/>
                <w:sz w:val="21"/>
                <w:szCs w:val="21"/>
              </w:rPr>
              <w:t>吸光度法</w:t>
            </w:r>
          </w:p>
          <w:p w14:paraId="251265D9">
            <w:pPr>
              <w:spacing w:line="240" w:lineRule="auto"/>
              <w:ind w:firstLine="0" w:firstLineChars="0"/>
              <w:rPr>
                <w:rFonts w:hint="eastAsia"/>
                <w:sz w:val="21"/>
                <w:szCs w:val="21"/>
              </w:rPr>
            </w:pPr>
            <w:r>
              <w:rPr>
                <w:sz w:val="21"/>
                <w:szCs w:val="21"/>
              </w:rPr>
              <w:t>量程</w:t>
            </w:r>
            <w:r>
              <w:rPr>
                <w:rFonts w:hint="eastAsia"/>
                <w:sz w:val="21"/>
                <w:szCs w:val="21"/>
              </w:rPr>
              <w:t>：0-5.000mg/L</w:t>
            </w:r>
          </w:p>
          <w:p w14:paraId="2DE10546">
            <w:pPr>
              <w:spacing w:line="240" w:lineRule="auto"/>
              <w:ind w:firstLine="0" w:firstLineChars="0"/>
              <w:rPr>
                <w:rFonts w:hint="eastAsia"/>
                <w:sz w:val="21"/>
                <w:szCs w:val="21"/>
              </w:rPr>
            </w:pPr>
            <w:r>
              <w:rPr>
                <w:sz w:val="21"/>
                <w:szCs w:val="21"/>
              </w:rPr>
              <w:t>精度</w:t>
            </w:r>
            <w:r>
              <w:rPr>
                <w:rFonts w:hint="eastAsia"/>
                <w:sz w:val="21"/>
                <w:szCs w:val="21"/>
              </w:rPr>
              <w:t>：±0.1 mg/L</w:t>
            </w:r>
          </w:p>
        </w:tc>
        <w:tc>
          <w:tcPr>
            <w:tcW w:w="1616" w:type="pct"/>
            <w:vAlign w:val="center"/>
          </w:tcPr>
          <w:p w14:paraId="1088A90F">
            <w:pPr>
              <w:spacing w:line="240" w:lineRule="auto"/>
              <w:ind w:firstLine="0" w:firstLineChars="0"/>
              <w:jc w:val="center"/>
              <w:rPr>
                <w:rFonts w:hint="eastAsia"/>
              </w:rPr>
            </w:pPr>
            <w:r>
              <w:rPr>
                <w:rFonts w:hint="eastAsia" w:ascii="Times New Roman" w:hAnsi="Times New Roman"/>
                <w:b/>
                <w:sz w:val="28"/>
                <w:szCs w:val="28"/>
              </w:rPr>
              <w:drawing>
                <wp:inline distT="0" distB="0" distL="114300" distR="114300">
                  <wp:extent cx="855980" cy="991870"/>
                  <wp:effectExtent l="0" t="0" r="12700" b="13970"/>
                  <wp:docPr id="58" name="图片 58" descr="IMG_2722.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IMG_2722.HEIC"/>
                          <pic:cNvPicPr>
                            <a:picLocks noChangeAspect="1"/>
                          </pic:cNvPicPr>
                        </pic:nvPicPr>
                        <pic:blipFill>
                          <a:blip r:embed="rId35"/>
                          <a:stretch>
                            <a:fillRect/>
                          </a:stretch>
                        </pic:blipFill>
                        <pic:spPr>
                          <a:xfrm>
                            <a:off x="0" y="0"/>
                            <a:ext cx="855980" cy="991870"/>
                          </a:xfrm>
                          <a:prstGeom prst="rect">
                            <a:avLst/>
                          </a:prstGeom>
                        </pic:spPr>
                      </pic:pic>
                    </a:graphicData>
                  </a:graphic>
                </wp:inline>
              </w:drawing>
            </w:r>
          </w:p>
        </w:tc>
      </w:tr>
      <w:tr w14:paraId="6B2483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6" w:hRule="atLeast"/>
        </w:trPr>
        <w:tc>
          <w:tcPr>
            <w:tcW w:w="927" w:type="pct"/>
            <w:shd w:val="clear" w:color="auto" w:fill="auto"/>
            <w:vAlign w:val="center"/>
          </w:tcPr>
          <w:p w14:paraId="44612950">
            <w:pPr>
              <w:spacing w:line="240" w:lineRule="auto"/>
              <w:ind w:firstLine="0" w:firstLineChars="0"/>
              <w:jc w:val="center"/>
              <w:rPr>
                <w:rFonts w:hint="eastAsia" w:ascii="宋体" w:hAnsi="宋体" w:eastAsia="宋体" w:cs="宋体"/>
                <w:kern w:val="2"/>
                <w:sz w:val="21"/>
                <w:szCs w:val="21"/>
                <w:lang w:val="en-US" w:eastAsia="zh-CN" w:bidi="ar-SA"/>
              </w:rPr>
            </w:pPr>
            <w:r>
              <w:rPr>
                <w:rFonts w:hint="eastAsia"/>
                <w:sz w:val="21"/>
                <w:szCs w:val="21"/>
              </w:rPr>
              <w:t>在线二氧化氯传感器</w:t>
            </w:r>
          </w:p>
        </w:tc>
        <w:tc>
          <w:tcPr>
            <w:tcW w:w="2456" w:type="pct"/>
            <w:shd w:val="clear" w:color="auto" w:fill="auto"/>
            <w:vAlign w:val="center"/>
          </w:tcPr>
          <w:p w14:paraId="538B1EE0">
            <w:pPr>
              <w:spacing w:line="240" w:lineRule="auto"/>
              <w:ind w:firstLine="0" w:firstLineChars="0"/>
              <w:rPr>
                <w:rFonts w:hint="eastAsia"/>
                <w:sz w:val="21"/>
                <w:szCs w:val="21"/>
              </w:rPr>
            </w:pPr>
            <w:r>
              <w:rPr>
                <w:sz w:val="21"/>
                <w:szCs w:val="21"/>
              </w:rPr>
              <w:t>原理</w:t>
            </w:r>
            <w:r>
              <w:rPr>
                <w:rFonts w:hint="eastAsia"/>
                <w:sz w:val="21"/>
                <w:szCs w:val="21"/>
              </w:rPr>
              <w:t>：</w:t>
            </w:r>
            <w:r>
              <w:rPr>
                <w:sz w:val="21"/>
                <w:szCs w:val="21"/>
              </w:rPr>
              <w:t>恒压法</w:t>
            </w:r>
          </w:p>
          <w:p w14:paraId="09D961EF">
            <w:pPr>
              <w:spacing w:line="240" w:lineRule="auto"/>
              <w:ind w:firstLine="0" w:firstLineChars="0"/>
              <w:rPr>
                <w:rFonts w:hint="eastAsia"/>
                <w:sz w:val="21"/>
                <w:szCs w:val="21"/>
              </w:rPr>
            </w:pPr>
            <w:r>
              <w:rPr>
                <w:sz w:val="21"/>
                <w:szCs w:val="21"/>
              </w:rPr>
              <w:t>量程</w:t>
            </w:r>
            <w:r>
              <w:rPr>
                <w:rFonts w:hint="eastAsia"/>
                <w:sz w:val="21"/>
                <w:szCs w:val="21"/>
              </w:rPr>
              <w:t>：0-2</w:t>
            </w:r>
            <w:r>
              <w:rPr>
                <w:rFonts w:hint="eastAsia"/>
                <w:sz w:val="21"/>
                <w:szCs w:val="21"/>
                <w:lang w:val="en-US" w:eastAsia="zh-CN"/>
              </w:rPr>
              <w:t>.000</w:t>
            </w:r>
            <w:r>
              <w:rPr>
                <w:rFonts w:hint="eastAsia"/>
                <w:sz w:val="21"/>
                <w:szCs w:val="21"/>
              </w:rPr>
              <w:t>mg/L</w:t>
            </w:r>
          </w:p>
          <w:p w14:paraId="00D67756">
            <w:pPr>
              <w:spacing w:line="240" w:lineRule="auto"/>
              <w:ind w:firstLine="0" w:firstLineChars="0"/>
              <w:rPr>
                <w:rFonts w:hint="eastAsia" w:ascii="宋体" w:hAnsi="宋体" w:eastAsia="宋体" w:cs="宋体"/>
                <w:kern w:val="2"/>
                <w:sz w:val="21"/>
                <w:szCs w:val="21"/>
                <w:lang w:val="en-US" w:eastAsia="zh-CN" w:bidi="ar-SA"/>
              </w:rPr>
            </w:pPr>
            <w:r>
              <w:rPr>
                <w:sz w:val="21"/>
                <w:szCs w:val="21"/>
              </w:rPr>
              <w:t>精度</w:t>
            </w:r>
            <w:r>
              <w:rPr>
                <w:rFonts w:hint="eastAsia"/>
                <w:sz w:val="21"/>
                <w:szCs w:val="21"/>
              </w:rPr>
              <w:t>：</w:t>
            </w:r>
            <w:r>
              <w:rPr>
                <w:sz w:val="21"/>
                <w:szCs w:val="21"/>
              </w:rPr>
              <w:t>读数的±5%/±0.05mg/L</w:t>
            </w:r>
          </w:p>
        </w:tc>
        <w:tc>
          <w:tcPr>
            <w:tcW w:w="1616" w:type="pct"/>
            <w:shd w:val="clear" w:color="auto" w:fill="auto"/>
            <w:vAlign w:val="center"/>
          </w:tcPr>
          <w:p w14:paraId="372AE10C">
            <w:pPr>
              <w:spacing w:line="240" w:lineRule="auto"/>
              <w:ind w:firstLine="0" w:firstLineChars="0"/>
              <w:jc w:val="center"/>
              <w:rPr>
                <w:rFonts w:hint="eastAsia" w:ascii="宋体" w:hAnsi="宋体" w:eastAsia="宋体" w:cs="宋体"/>
                <w:kern w:val="2"/>
                <w:sz w:val="24"/>
                <w:szCs w:val="24"/>
                <w:lang w:val="en-US" w:eastAsia="zh-CN" w:bidi="ar-SA"/>
              </w:rPr>
            </w:pPr>
            <w:r>
              <w:rPr>
                <w:rFonts w:cs="Times New Roman"/>
                <w:sz w:val="28"/>
                <w:szCs w:val="28"/>
              </w:rPr>
              <w:drawing>
                <wp:inline distT="0" distB="0" distL="114300" distR="114300">
                  <wp:extent cx="304165" cy="1256665"/>
                  <wp:effectExtent l="0" t="291465" r="0" b="303530"/>
                  <wp:docPr id="59" name="图片 59" descr="64c5201a486764d6471562335dbe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64c5201a486764d6471562335dbe0151"/>
                          <pic:cNvPicPr>
                            <a:picLocks noChangeAspect="1"/>
                          </pic:cNvPicPr>
                        </pic:nvPicPr>
                        <pic:blipFill>
                          <a:blip r:embed="rId34"/>
                          <a:stretch>
                            <a:fillRect/>
                          </a:stretch>
                        </pic:blipFill>
                        <pic:spPr>
                          <a:xfrm rot="3000000">
                            <a:off x="0" y="0"/>
                            <a:ext cx="304165" cy="1256665"/>
                          </a:xfrm>
                          <a:prstGeom prst="rect">
                            <a:avLst/>
                          </a:prstGeom>
                        </pic:spPr>
                      </pic:pic>
                    </a:graphicData>
                  </a:graphic>
                </wp:inline>
              </w:drawing>
            </w:r>
          </w:p>
        </w:tc>
      </w:tr>
      <w:tr w14:paraId="134152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8" w:hRule="atLeast"/>
        </w:trPr>
        <w:tc>
          <w:tcPr>
            <w:tcW w:w="927" w:type="pct"/>
            <w:shd w:val="clear" w:color="auto" w:fill="auto"/>
            <w:vAlign w:val="center"/>
          </w:tcPr>
          <w:p w14:paraId="35060CC1">
            <w:pPr>
              <w:spacing w:line="240" w:lineRule="auto"/>
              <w:ind w:firstLine="0" w:firstLineChars="0"/>
              <w:jc w:val="center"/>
              <w:rPr>
                <w:rFonts w:hint="eastAsia" w:ascii="宋体" w:hAnsi="宋体" w:eastAsia="宋体" w:cs="宋体"/>
                <w:kern w:val="2"/>
                <w:sz w:val="21"/>
                <w:szCs w:val="21"/>
                <w:lang w:val="en-US" w:eastAsia="zh-CN" w:bidi="ar-SA"/>
              </w:rPr>
            </w:pPr>
            <w:r>
              <w:rPr>
                <w:rFonts w:hint="eastAsia"/>
                <w:sz w:val="21"/>
                <w:szCs w:val="21"/>
              </w:rPr>
              <w:t>在线臭氧传感器</w:t>
            </w:r>
          </w:p>
        </w:tc>
        <w:tc>
          <w:tcPr>
            <w:tcW w:w="2456" w:type="pct"/>
            <w:shd w:val="clear" w:color="auto" w:fill="auto"/>
            <w:vAlign w:val="center"/>
          </w:tcPr>
          <w:p w14:paraId="34BA6230">
            <w:pPr>
              <w:spacing w:line="240" w:lineRule="auto"/>
              <w:ind w:firstLine="0" w:firstLineChars="0"/>
              <w:rPr>
                <w:rFonts w:hint="eastAsia"/>
                <w:sz w:val="21"/>
                <w:szCs w:val="21"/>
              </w:rPr>
            </w:pPr>
            <w:r>
              <w:rPr>
                <w:sz w:val="21"/>
                <w:szCs w:val="21"/>
              </w:rPr>
              <w:t>原理</w:t>
            </w:r>
            <w:r>
              <w:rPr>
                <w:rFonts w:hint="eastAsia"/>
                <w:sz w:val="21"/>
                <w:szCs w:val="21"/>
              </w:rPr>
              <w:t>：</w:t>
            </w:r>
            <w:r>
              <w:rPr>
                <w:sz w:val="21"/>
                <w:szCs w:val="21"/>
              </w:rPr>
              <w:t>恒压法</w:t>
            </w:r>
          </w:p>
          <w:p w14:paraId="133BFE82">
            <w:pPr>
              <w:spacing w:line="240" w:lineRule="auto"/>
              <w:ind w:firstLine="0" w:firstLineChars="0"/>
              <w:rPr>
                <w:rFonts w:hint="eastAsia"/>
                <w:sz w:val="21"/>
                <w:szCs w:val="21"/>
              </w:rPr>
            </w:pPr>
            <w:r>
              <w:rPr>
                <w:sz w:val="21"/>
                <w:szCs w:val="21"/>
              </w:rPr>
              <w:t>量程</w:t>
            </w:r>
            <w:r>
              <w:rPr>
                <w:rFonts w:hint="eastAsia"/>
                <w:sz w:val="21"/>
                <w:szCs w:val="21"/>
              </w:rPr>
              <w:t>：0-2</w:t>
            </w:r>
            <w:r>
              <w:rPr>
                <w:rFonts w:hint="eastAsia"/>
                <w:sz w:val="21"/>
                <w:szCs w:val="21"/>
                <w:lang w:val="en-US" w:eastAsia="zh-CN"/>
              </w:rPr>
              <w:t>.000</w:t>
            </w:r>
            <w:r>
              <w:rPr>
                <w:rFonts w:hint="eastAsia"/>
                <w:sz w:val="21"/>
                <w:szCs w:val="21"/>
              </w:rPr>
              <w:t>mg/L</w:t>
            </w:r>
          </w:p>
          <w:p w14:paraId="25574888">
            <w:pPr>
              <w:spacing w:line="240" w:lineRule="auto"/>
              <w:ind w:firstLine="0" w:firstLineChars="0"/>
              <w:rPr>
                <w:rFonts w:hint="eastAsia" w:ascii="宋体" w:hAnsi="宋体" w:eastAsia="宋体" w:cs="宋体"/>
                <w:kern w:val="2"/>
                <w:sz w:val="21"/>
                <w:szCs w:val="21"/>
                <w:lang w:val="en-US" w:eastAsia="zh-CN" w:bidi="ar-SA"/>
              </w:rPr>
            </w:pPr>
            <w:r>
              <w:rPr>
                <w:sz w:val="21"/>
                <w:szCs w:val="21"/>
              </w:rPr>
              <w:t>精度</w:t>
            </w:r>
            <w:r>
              <w:rPr>
                <w:rFonts w:hint="eastAsia"/>
                <w:sz w:val="21"/>
                <w:szCs w:val="21"/>
              </w:rPr>
              <w:t>：</w:t>
            </w:r>
            <w:r>
              <w:rPr>
                <w:sz w:val="21"/>
                <w:szCs w:val="21"/>
              </w:rPr>
              <w:t>读数的±5%/±0.05mg/L</w:t>
            </w:r>
          </w:p>
        </w:tc>
        <w:tc>
          <w:tcPr>
            <w:tcW w:w="1616" w:type="pct"/>
            <w:shd w:val="clear" w:color="auto" w:fill="auto"/>
            <w:vAlign w:val="center"/>
          </w:tcPr>
          <w:p w14:paraId="476411DE">
            <w:pPr>
              <w:spacing w:line="240" w:lineRule="auto"/>
              <w:ind w:firstLine="0" w:firstLineChars="0"/>
              <w:jc w:val="center"/>
              <w:rPr>
                <w:rFonts w:hint="eastAsia" w:ascii="宋体" w:hAnsi="宋体" w:eastAsia="宋体" w:cs="宋体"/>
                <w:kern w:val="2"/>
                <w:sz w:val="24"/>
                <w:szCs w:val="24"/>
                <w:lang w:val="en-US" w:eastAsia="zh-CN" w:bidi="ar-SA"/>
              </w:rPr>
            </w:pPr>
            <w:r>
              <w:drawing>
                <wp:inline distT="0" distB="0" distL="114300" distR="114300">
                  <wp:extent cx="309245" cy="1280160"/>
                  <wp:effectExtent l="0" t="382270" r="0" b="390525"/>
                  <wp:docPr id="6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
                          <pic:cNvPicPr>
                            <a:picLocks noChangeAspect="1"/>
                          </pic:cNvPicPr>
                        </pic:nvPicPr>
                        <pic:blipFill>
                          <a:blip r:embed="rId36"/>
                          <a:stretch>
                            <a:fillRect/>
                          </a:stretch>
                        </pic:blipFill>
                        <pic:spPr>
                          <a:xfrm rot="2940000">
                            <a:off x="0" y="0"/>
                            <a:ext cx="309245" cy="1280160"/>
                          </a:xfrm>
                          <a:prstGeom prst="rect">
                            <a:avLst/>
                          </a:prstGeom>
                          <a:noFill/>
                          <a:ln>
                            <a:noFill/>
                          </a:ln>
                        </pic:spPr>
                      </pic:pic>
                    </a:graphicData>
                  </a:graphic>
                </wp:inline>
              </w:drawing>
            </w:r>
          </w:p>
        </w:tc>
      </w:tr>
      <w:tr w14:paraId="54E1F8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8" w:hRule="atLeast"/>
        </w:trPr>
        <w:tc>
          <w:tcPr>
            <w:tcW w:w="927" w:type="pct"/>
            <w:shd w:val="clear" w:color="auto" w:fill="auto"/>
            <w:vAlign w:val="center"/>
          </w:tcPr>
          <w:p w14:paraId="1FAF1F44">
            <w:pPr>
              <w:spacing w:line="240" w:lineRule="auto"/>
              <w:ind w:firstLine="0" w:firstLineChars="0"/>
              <w:jc w:val="center"/>
              <w:rPr>
                <w:rFonts w:hint="eastAsia" w:ascii="宋体" w:hAnsi="宋体" w:eastAsia="宋体" w:cs="宋体"/>
                <w:kern w:val="2"/>
                <w:sz w:val="21"/>
                <w:szCs w:val="21"/>
                <w:lang w:val="en-US" w:eastAsia="zh-CN" w:bidi="ar-SA"/>
              </w:rPr>
            </w:pPr>
            <w:r>
              <w:rPr>
                <w:rFonts w:hint="eastAsia"/>
                <w:sz w:val="21"/>
                <w:szCs w:val="21"/>
                <w:lang w:val="en-US" w:eastAsia="zh-CN"/>
              </w:rPr>
              <w:t>供水水质微站系统</w:t>
            </w:r>
          </w:p>
        </w:tc>
        <w:tc>
          <w:tcPr>
            <w:tcW w:w="2456" w:type="pct"/>
            <w:shd w:val="clear" w:color="auto" w:fill="auto"/>
            <w:vAlign w:val="center"/>
          </w:tcPr>
          <w:p w14:paraId="7D68C273">
            <w:pPr>
              <w:spacing w:line="240" w:lineRule="auto"/>
              <w:ind w:firstLine="0" w:firstLineChars="0"/>
              <w:jc w:val="left"/>
              <w:rPr>
                <w:rFonts w:hint="eastAsia" w:ascii="宋体" w:hAnsi="宋体" w:eastAsia="宋体" w:cs="宋体"/>
                <w:kern w:val="2"/>
                <w:sz w:val="21"/>
                <w:szCs w:val="21"/>
                <w:lang w:val="en-US" w:eastAsia="zh-CN" w:bidi="ar-SA"/>
              </w:rPr>
            </w:pPr>
            <w:r>
              <w:rPr>
                <w:rFonts w:hint="eastAsia"/>
                <w:sz w:val="21"/>
                <w:szCs w:val="21"/>
                <w:lang w:val="en-US" w:eastAsia="zh-CN"/>
              </w:rPr>
              <w:t>集成</w:t>
            </w:r>
            <w:r>
              <w:rPr>
                <w:rFonts w:hint="eastAsia"/>
                <w:sz w:val="21"/>
                <w:szCs w:val="21"/>
              </w:rPr>
              <w:t>PH、</w:t>
            </w:r>
            <w:r>
              <w:rPr>
                <w:rFonts w:hint="eastAsia"/>
                <w:sz w:val="21"/>
                <w:szCs w:val="21"/>
                <w:lang w:val="en-US" w:eastAsia="zh-CN"/>
              </w:rPr>
              <w:t>电导率</w:t>
            </w:r>
            <w:r>
              <w:rPr>
                <w:rFonts w:hint="eastAsia"/>
                <w:sz w:val="21"/>
                <w:szCs w:val="21"/>
              </w:rPr>
              <w:t>、浊度、余氯</w:t>
            </w:r>
            <w:r>
              <w:rPr>
                <w:rFonts w:hint="eastAsia"/>
                <w:sz w:val="21"/>
                <w:szCs w:val="21"/>
                <w:lang w:val="en-US" w:eastAsia="zh-CN"/>
              </w:rPr>
              <w:t>等传感器</w:t>
            </w:r>
          </w:p>
        </w:tc>
        <w:tc>
          <w:tcPr>
            <w:tcW w:w="1616" w:type="pct"/>
            <w:shd w:val="clear" w:color="auto" w:fill="auto"/>
            <w:vAlign w:val="center"/>
          </w:tcPr>
          <w:p w14:paraId="6787840E">
            <w:pPr>
              <w:spacing w:line="240" w:lineRule="auto"/>
              <w:ind w:firstLine="0" w:firstLineChars="0"/>
              <w:jc w:val="center"/>
              <w:rPr>
                <w:rFonts w:hint="eastAsia" w:ascii="宋体" w:hAnsi="宋体" w:eastAsia="宋体" w:cs="宋体"/>
                <w:kern w:val="2"/>
                <w:sz w:val="21"/>
                <w:szCs w:val="21"/>
                <w:lang w:val="en-US" w:eastAsia="zh-CN" w:bidi="ar-SA"/>
              </w:rPr>
            </w:pPr>
            <w:r>
              <w:drawing>
                <wp:inline distT="0" distB="0" distL="114300" distR="114300">
                  <wp:extent cx="1625600" cy="846455"/>
                  <wp:effectExtent l="0" t="0" r="12700" b="10795"/>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37"/>
                          <a:stretch>
                            <a:fillRect/>
                          </a:stretch>
                        </pic:blipFill>
                        <pic:spPr>
                          <a:xfrm>
                            <a:off x="0" y="0"/>
                            <a:ext cx="1625600" cy="846455"/>
                          </a:xfrm>
                          <a:prstGeom prst="rect">
                            <a:avLst/>
                          </a:prstGeom>
                          <a:noFill/>
                          <a:ln>
                            <a:noFill/>
                          </a:ln>
                        </pic:spPr>
                      </pic:pic>
                    </a:graphicData>
                  </a:graphic>
                </wp:inline>
              </w:drawing>
            </w:r>
          </w:p>
        </w:tc>
      </w:tr>
      <w:tr w14:paraId="3AA6B9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7" w:type="pct"/>
            <w:vAlign w:val="center"/>
          </w:tcPr>
          <w:p w14:paraId="61B8D99C">
            <w:pPr>
              <w:spacing w:line="240" w:lineRule="auto"/>
              <w:ind w:firstLine="0" w:firstLineChars="0"/>
              <w:jc w:val="center"/>
              <w:rPr>
                <w:rFonts w:hint="eastAsia"/>
                <w:sz w:val="21"/>
                <w:szCs w:val="21"/>
              </w:rPr>
            </w:pPr>
            <w:r>
              <w:rPr>
                <w:rFonts w:hint="eastAsia"/>
                <w:sz w:val="21"/>
                <w:szCs w:val="21"/>
              </w:rPr>
              <w:t>在线全光谱多参数传感器</w:t>
            </w:r>
          </w:p>
        </w:tc>
        <w:tc>
          <w:tcPr>
            <w:tcW w:w="2456" w:type="pct"/>
            <w:vAlign w:val="center"/>
          </w:tcPr>
          <w:p w14:paraId="763C6412">
            <w:pPr>
              <w:spacing w:line="240" w:lineRule="auto"/>
              <w:ind w:firstLine="0" w:firstLineChars="0"/>
              <w:jc w:val="left"/>
              <w:rPr>
                <w:rFonts w:hint="eastAsia"/>
                <w:sz w:val="21"/>
                <w:szCs w:val="21"/>
              </w:rPr>
            </w:pPr>
            <w:r>
              <w:rPr>
                <w:sz w:val="21"/>
                <w:szCs w:val="21"/>
              </w:rPr>
              <w:t>原理</w:t>
            </w:r>
            <w:r>
              <w:rPr>
                <w:rFonts w:hint="eastAsia"/>
                <w:sz w:val="21"/>
                <w:szCs w:val="21"/>
              </w:rPr>
              <w:t>：全光谱吸收法</w:t>
            </w:r>
          </w:p>
          <w:p w14:paraId="65C7D5CC">
            <w:pPr>
              <w:spacing w:line="240" w:lineRule="auto"/>
              <w:ind w:firstLine="0" w:firstLineChars="0"/>
              <w:jc w:val="left"/>
              <w:rPr>
                <w:rFonts w:hint="eastAsia"/>
                <w:sz w:val="21"/>
                <w:szCs w:val="21"/>
              </w:rPr>
            </w:pPr>
            <w:r>
              <w:rPr>
                <w:sz w:val="21"/>
                <w:szCs w:val="21"/>
              </w:rPr>
              <w:t>量程</w:t>
            </w:r>
            <w:r>
              <w:rPr>
                <w:rFonts w:hint="eastAsia"/>
                <w:sz w:val="21"/>
                <w:szCs w:val="21"/>
              </w:rPr>
              <w:t>：</w:t>
            </w:r>
          </w:p>
          <w:p w14:paraId="27E8C7B1">
            <w:pPr>
              <w:spacing w:line="240" w:lineRule="auto"/>
              <w:ind w:firstLine="0" w:firstLineChars="0"/>
              <w:jc w:val="left"/>
              <w:rPr>
                <w:rFonts w:hint="eastAsia"/>
                <w:sz w:val="21"/>
                <w:szCs w:val="21"/>
              </w:rPr>
            </w:pPr>
            <w:r>
              <w:rPr>
                <w:rFonts w:hint="eastAsia"/>
                <w:sz w:val="21"/>
                <w:szCs w:val="21"/>
              </w:rPr>
              <w:t>COD：0～200mg/Lequiv. KHP；色度：0～500Hazen；TOC：0～150mg/L；浊度：0～400NTU；BOD：0～150mg/L；UV254：0～1.5AU；TP：0～15mg/L；TN：0～100mg/L；NHN：0～80mg/L；硝酸盐：0～15mg/L；亚硝酸盐：0～10mg/L；CODMn：0～100mg/L</w:t>
            </w:r>
          </w:p>
          <w:p w14:paraId="2CF7EBB2">
            <w:pPr>
              <w:spacing w:line="240" w:lineRule="auto"/>
              <w:ind w:firstLine="0" w:firstLineChars="0"/>
              <w:jc w:val="left"/>
              <w:rPr>
                <w:rFonts w:hint="eastAsia"/>
                <w:sz w:val="21"/>
                <w:szCs w:val="21"/>
              </w:rPr>
            </w:pPr>
            <w:r>
              <w:rPr>
                <w:sz w:val="21"/>
                <w:szCs w:val="21"/>
              </w:rPr>
              <w:t>精度</w:t>
            </w:r>
            <w:r>
              <w:rPr>
                <w:rFonts w:hint="eastAsia"/>
                <w:sz w:val="21"/>
                <w:szCs w:val="21"/>
              </w:rPr>
              <w:t>：±5%F.S.</w:t>
            </w:r>
          </w:p>
        </w:tc>
        <w:tc>
          <w:tcPr>
            <w:tcW w:w="1616" w:type="pct"/>
            <w:vAlign w:val="center"/>
          </w:tcPr>
          <w:p w14:paraId="0F043343">
            <w:pPr>
              <w:autoSpaceDE w:val="0"/>
              <w:spacing w:beforeAutospacing="1" w:afterAutospacing="1"/>
              <w:ind w:firstLine="0" w:firstLineChars="0"/>
              <w:jc w:val="center"/>
              <w:rPr>
                <w:rFonts w:hint="eastAsia"/>
                <w:sz w:val="28"/>
                <w:szCs w:val="28"/>
                <w:lang w:bidi="ar"/>
              </w:rPr>
            </w:pPr>
            <w:r>
              <w:rPr>
                <w:rFonts w:hint="default" w:ascii="Times New Roman" w:hAnsi="Times New Roman" w:eastAsia="宋体" w:cs="Times New Roman"/>
                <w:lang w:val="en-US" w:eastAsia="zh-CN"/>
              </w:rPr>
              <w:drawing>
                <wp:inline distT="0" distB="0" distL="114300" distR="114300">
                  <wp:extent cx="426085" cy="1622425"/>
                  <wp:effectExtent l="0" t="0" r="0" b="0"/>
                  <wp:docPr id="62" name="图片 7" descr="C:/Users/lina/Desktop/FUV-408-.pngFUV-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 descr="C:/Users/lina/Desktop/FUV-408-.pngFUV-408-"/>
                          <pic:cNvPicPr>
                            <a:picLocks noChangeAspect="1"/>
                          </pic:cNvPicPr>
                        </pic:nvPicPr>
                        <pic:blipFill>
                          <a:blip r:embed="rId38"/>
                          <a:srcRect l="29555" r="30036"/>
                          <a:stretch>
                            <a:fillRect/>
                          </a:stretch>
                        </pic:blipFill>
                        <pic:spPr>
                          <a:xfrm>
                            <a:off x="0" y="0"/>
                            <a:ext cx="426085" cy="1622425"/>
                          </a:xfrm>
                          <a:prstGeom prst="rect">
                            <a:avLst/>
                          </a:prstGeom>
                          <a:noFill/>
                          <a:ln>
                            <a:noFill/>
                          </a:ln>
                        </pic:spPr>
                      </pic:pic>
                    </a:graphicData>
                  </a:graphic>
                </wp:inline>
              </w:drawing>
            </w:r>
          </w:p>
        </w:tc>
      </w:tr>
      <w:tr w14:paraId="62FE04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72" w:hRule="atLeast"/>
        </w:trPr>
        <w:tc>
          <w:tcPr>
            <w:tcW w:w="927" w:type="pct"/>
            <w:vAlign w:val="center"/>
          </w:tcPr>
          <w:p w14:paraId="5F9F8717">
            <w:pPr>
              <w:spacing w:line="240" w:lineRule="auto"/>
              <w:ind w:firstLine="0" w:firstLineChars="0"/>
              <w:jc w:val="center"/>
              <w:rPr>
                <w:rFonts w:hint="eastAsia"/>
                <w:sz w:val="21"/>
                <w:szCs w:val="21"/>
              </w:rPr>
            </w:pPr>
            <w:r>
              <w:rPr>
                <w:rFonts w:hint="eastAsia"/>
                <w:sz w:val="21"/>
                <w:szCs w:val="21"/>
              </w:rPr>
              <w:t>便携式多参数分析仪</w:t>
            </w:r>
          </w:p>
        </w:tc>
        <w:tc>
          <w:tcPr>
            <w:tcW w:w="2456" w:type="pct"/>
            <w:vAlign w:val="center"/>
          </w:tcPr>
          <w:p w14:paraId="060E7120">
            <w:pPr>
              <w:spacing w:line="240" w:lineRule="auto"/>
              <w:ind w:firstLine="0" w:firstLineChars="0"/>
              <w:rPr>
                <w:rFonts w:hint="eastAsia"/>
                <w:sz w:val="21"/>
                <w:szCs w:val="21"/>
              </w:rPr>
            </w:pPr>
            <w:r>
              <w:rPr>
                <w:rFonts w:hint="eastAsia"/>
                <w:sz w:val="21"/>
                <w:szCs w:val="21"/>
              </w:rPr>
              <w:t>检测参数：COD、 高锰酸盐指数、氨氮、总磷、总氮、硝酸盐氮、亚硝酸盐氮、磷酸盐、硫酸盐、亚硫酸盐、硫化物、余氯、重金属（铜镍锌锰）等</w:t>
            </w:r>
          </w:p>
          <w:p w14:paraId="73167E16">
            <w:pPr>
              <w:spacing w:line="240" w:lineRule="auto"/>
              <w:ind w:firstLine="0" w:firstLineChars="0"/>
              <w:jc w:val="left"/>
              <w:rPr>
                <w:rFonts w:hint="eastAsia"/>
                <w:sz w:val="21"/>
                <w:szCs w:val="21"/>
              </w:rPr>
            </w:pPr>
            <w:r>
              <w:rPr>
                <w:rFonts w:hint="eastAsia"/>
                <w:sz w:val="21"/>
                <w:szCs w:val="21"/>
              </w:rPr>
              <w:t>工作波长范围：420nm 520nm，580nm，610nm；波长半宽度：5±2（nm）；</w:t>
            </w:r>
          </w:p>
          <w:p w14:paraId="40F00B4D">
            <w:pPr>
              <w:spacing w:line="240" w:lineRule="auto"/>
              <w:ind w:firstLine="0" w:firstLineChars="0"/>
              <w:jc w:val="left"/>
              <w:rPr>
                <w:rFonts w:hint="eastAsia"/>
                <w:sz w:val="21"/>
                <w:szCs w:val="21"/>
              </w:rPr>
            </w:pPr>
            <w:r>
              <w:rPr>
                <w:rFonts w:hint="eastAsia"/>
                <w:sz w:val="21"/>
                <w:szCs w:val="21"/>
              </w:rPr>
              <w:t>仪器的检测范围：吸光度值0.000-3.000；</w:t>
            </w:r>
          </w:p>
          <w:p w14:paraId="53EE65CF">
            <w:pPr>
              <w:spacing w:line="240" w:lineRule="auto"/>
              <w:ind w:firstLine="0" w:firstLineChars="0"/>
              <w:jc w:val="left"/>
              <w:rPr>
                <w:rFonts w:hint="eastAsia"/>
                <w:sz w:val="21"/>
                <w:szCs w:val="21"/>
              </w:rPr>
            </w:pPr>
            <w:r>
              <w:rPr>
                <w:rFonts w:hint="eastAsia"/>
                <w:sz w:val="21"/>
                <w:szCs w:val="21"/>
              </w:rPr>
              <w:t>光源灯：冷光源；</w:t>
            </w:r>
          </w:p>
          <w:p w14:paraId="7BC4920F">
            <w:pPr>
              <w:spacing w:line="240" w:lineRule="auto"/>
              <w:ind w:firstLine="0" w:firstLineChars="0"/>
              <w:jc w:val="left"/>
              <w:rPr>
                <w:rFonts w:hint="eastAsia"/>
                <w:sz w:val="21"/>
                <w:szCs w:val="21"/>
              </w:rPr>
            </w:pPr>
            <w:r>
              <w:rPr>
                <w:rFonts w:hint="eastAsia"/>
                <w:sz w:val="21"/>
                <w:szCs w:val="21"/>
              </w:rPr>
              <w:t>分辨率：0.001；</w:t>
            </w:r>
          </w:p>
        </w:tc>
        <w:tc>
          <w:tcPr>
            <w:tcW w:w="1616" w:type="pct"/>
            <w:vAlign w:val="center"/>
          </w:tcPr>
          <w:p w14:paraId="593F0DB7">
            <w:pPr>
              <w:autoSpaceDE w:val="0"/>
              <w:spacing w:beforeAutospacing="1" w:afterAutospacing="1"/>
              <w:ind w:firstLine="0" w:firstLineChars="0"/>
              <w:jc w:val="center"/>
              <w:rPr>
                <w:rFonts w:hint="eastAsia"/>
              </w:rPr>
            </w:pPr>
            <w:r>
              <w:rPr>
                <w:rFonts w:hint="eastAsia"/>
                <w:sz w:val="28"/>
                <w:szCs w:val="28"/>
                <w:lang w:bidi="ar"/>
              </w:rPr>
              <w:drawing>
                <wp:inline distT="0" distB="0" distL="114300" distR="114300">
                  <wp:extent cx="828675" cy="1152525"/>
                  <wp:effectExtent l="0" t="0" r="9525" b="5715"/>
                  <wp:docPr id="6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 descr="IMG_256"/>
                          <pic:cNvPicPr>
                            <a:picLocks noChangeAspect="1"/>
                          </pic:cNvPicPr>
                        </pic:nvPicPr>
                        <pic:blipFill>
                          <a:blip r:embed="rId39"/>
                          <a:stretch>
                            <a:fillRect/>
                          </a:stretch>
                        </pic:blipFill>
                        <pic:spPr>
                          <a:xfrm>
                            <a:off x="0" y="0"/>
                            <a:ext cx="828675" cy="1152525"/>
                          </a:xfrm>
                          <a:prstGeom prst="rect">
                            <a:avLst/>
                          </a:prstGeom>
                          <a:noFill/>
                          <a:ln w="9525">
                            <a:noFill/>
                          </a:ln>
                        </pic:spPr>
                      </pic:pic>
                    </a:graphicData>
                  </a:graphic>
                </wp:inline>
              </w:drawing>
            </w:r>
          </w:p>
        </w:tc>
      </w:tr>
      <w:tr w14:paraId="5C2EB1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72" w:hRule="atLeast"/>
        </w:trPr>
        <w:tc>
          <w:tcPr>
            <w:tcW w:w="927" w:type="pct"/>
            <w:vAlign w:val="center"/>
          </w:tcPr>
          <w:p w14:paraId="461054C3">
            <w:pPr>
              <w:spacing w:line="240" w:lineRule="auto"/>
              <w:ind w:firstLine="0" w:firstLineChars="0"/>
              <w:jc w:val="center"/>
              <w:rPr>
                <w:rFonts w:hint="eastAsia"/>
                <w:sz w:val="21"/>
                <w:szCs w:val="21"/>
              </w:rPr>
            </w:pPr>
            <w:r>
              <w:rPr>
                <w:rFonts w:hint="eastAsia"/>
                <w:sz w:val="21"/>
                <w:szCs w:val="21"/>
                <w:lang w:val="en-US" w:eastAsia="zh-CN"/>
              </w:rPr>
              <w:t>手持</w:t>
            </w:r>
            <w:r>
              <w:rPr>
                <w:rFonts w:hint="eastAsia"/>
                <w:sz w:val="21"/>
                <w:szCs w:val="21"/>
              </w:rPr>
              <w:t>式多参数检测仪</w:t>
            </w:r>
          </w:p>
        </w:tc>
        <w:tc>
          <w:tcPr>
            <w:tcW w:w="2456" w:type="pct"/>
            <w:vAlign w:val="center"/>
          </w:tcPr>
          <w:p w14:paraId="7B90940E">
            <w:pPr>
              <w:spacing w:line="240" w:lineRule="auto"/>
              <w:ind w:firstLine="0" w:firstLineChars="0"/>
              <w:jc w:val="left"/>
              <w:rPr>
                <w:rFonts w:hint="eastAsia"/>
                <w:sz w:val="21"/>
                <w:szCs w:val="21"/>
              </w:rPr>
            </w:pPr>
            <w:r>
              <w:rPr>
                <w:rFonts w:hint="eastAsia"/>
                <w:sz w:val="21"/>
                <w:szCs w:val="21"/>
              </w:rPr>
              <w:t>显示：3.3 英寸单色液晶显示屏</w:t>
            </w:r>
          </w:p>
          <w:p w14:paraId="748CC768">
            <w:pPr>
              <w:spacing w:line="240" w:lineRule="auto"/>
              <w:ind w:firstLine="0" w:firstLineChars="0"/>
              <w:jc w:val="left"/>
              <w:rPr>
                <w:rFonts w:hint="eastAsia"/>
                <w:sz w:val="21"/>
                <w:szCs w:val="21"/>
              </w:rPr>
            </w:pPr>
            <w:r>
              <w:rPr>
                <w:rFonts w:hint="eastAsia"/>
                <w:sz w:val="21"/>
                <w:szCs w:val="21"/>
              </w:rPr>
              <w:t>外形尺寸：200mm*101mm*36mm</w:t>
            </w:r>
          </w:p>
          <w:p w14:paraId="57CAD764">
            <w:pPr>
              <w:spacing w:line="240" w:lineRule="auto"/>
              <w:ind w:firstLine="0" w:firstLineChars="0"/>
              <w:jc w:val="left"/>
              <w:rPr>
                <w:rFonts w:hint="eastAsia"/>
                <w:sz w:val="21"/>
                <w:szCs w:val="21"/>
              </w:rPr>
            </w:pPr>
            <w:r>
              <w:rPr>
                <w:rFonts w:hint="eastAsia"/>
                <w:sz w:val="21"/>
                <w:szCs w:val="21"/>
              </w:rPr>
              <w:t>防护等级：IP67</w:t>
            </w:r>
          </w:p>
        </w:tc>
        <w:tc>
          <w:tcPr>
            <w:tcW w:w="1616" w:type="pct"/>
            <w:vAlign w:val="center"/>
          </w:tcPr>
          <w:p w14:paraId="5DDC0167">
            <w:pPr>
              <w:autoSpaceDE w:val="0"/>
              <w:spacing w:beforeAutospacing="1" w:afterAutospacing="1"/>
              <w:ind w:firstLine="0" w:firstLineChars="0"/>
              <w:jc w:val="center"/>
              <w:rPr>
                <w:rFonts w:ascii="Times New Roman" w:hAnsi="Times New Roman"/>
              </w:rPr>
            </w:pPr>
            <w:r>
              <w:rPr>
                <w:rFonts w:hint="eastAsia"/>
                <w:sz w:val="28"/>
                <w:szCs w:val="28"/>
                <w:lang w:bidi="ar"/>
              </w:rPr>
              <w:drawing>
                <wp:inline distT="0" distB="0" distL="114300" distR="114300">
                  <wp:extent cx="733425" cy="1333500"/>
                  <wp:effectExtent l="0" t="0" r="13335" b="7620"/>
                  <wp:docPr id="64"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descr="IMG_257"/>
                          <pic:cNvPicPr>
                            <a:picLocks noChangeAspect="1"/>
                          </pic:cNvPicPr>
                        </pic:nvPicPr>
                        <pic:blipFill>
                          <a:blip r:embed="rId40"/>
                          <a:stretch>
                            <a:fillRect/>
                          </a:stretch>
                        </pic:blipFill>
                        <pic:spPr>
                          <a:xfrm>
                            <a:off x="0" y="0"/>
                            <a:ext cx="733425" cy="1333500"/>
                          </a:xfrm>
                          <a:prstGeom prst="rect">
                            <a:avLst/>
                          </a:prstGeom>
                          <a:noFill/>
                          <a:ln w="9525">
                            <a:noFill/>
                          </a:ln>
                        </pic:spPr>
                      </pic:pic>
                    </a:graphicData>
                  </a:graphic>
                </wp:inline>
              </w:drawing>
            </w:r>
          </w:p>
        </w:tc>
      </w:tr>
      <w:tr w14:paraId="05C375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66" w:hRule="atLeast"/>
        </w:trPr>
        <w:tc>
          <w:tcPr>
            <w:tcW w:w="927" w:type="pct"/>
            <w:shd w:val="clear" w:color="auto" w:fill="auto"/>
            <w:vAlign w:val="center"/>
          </w:tcPr>
          <w:p w14:paraId="0661EFFF">
            <w:pPr>
              <w:spacing w:line="240" w:lineRule="auto"/>
              <w:ind w:firstLine="0" w:firstLineChars="0"/>
              <w:jc w:val="center"/>
              <w:rPr>
                <w:rFonts w:hint="eastAsia"/>
                <w:sz w:val="21"/>
                <w:szCs w:val="21"/>
              </w:rPr>
            </w:pPr>
            <w:r>
              <w:rPr>
                <w:rFonts w:hint="eastAsia"/>
                <w:sz w:val="21"/>
                <w:szCs w:val="21"/>
              </w:rPr>
              <w:t>电磁流量计</w:t>
            </w:r>
          </w:p>
        </w:tc>
        <w:tc>
          <w:tcPr>
            <w:tcW w:w="2456" w:type="pct"/>
            <w:shd w:val="clear" w:color="auto" w:fill="auto"/>
            <w:vAlign w:val="center"/>
          </w:tcPr>
          <w:p w14:paraId="7640B012">
            <w:pPr>
              <w:spacing w:line="240" w:lineRule="auto"/>
              <w:ind w:firstLine="0" w:firstLineChars="0"/>
              <w:rPr>
                <w:rFonts w:hint="eastAsia"/>
                <w:sz w:val="21"/>
                <w:szCs w:val="21"/>
              </w:rPr>
            </w:pPr>
            <w:r>
              <w:rPr>
                <w:sz w:val="21"/>
                <w:szCs w:val="21"/>
              </w:rPr>
              <w:t>口径：DN15-DN300</w:t>
            </w:r>
          </w:p>
          <w:p w14:paraId="2AAFA9B6">
            <w:pPr>
              <w:spacing w:line="240" w:lineRule="auto"/>
              <w:ind w:firstLine="0" w:firstLineChars="0"/>
              <w:rPr>
                <w:rFonts w:hint="eastAsia"/>
                <w:sz w:val="21"/>
                <w:szCs w:val="21"/>
              </w:rPr>
            </w:pPr>
            <w:r>
              <w:rPr>
                <w:sz w:val="21"/>
                <w:szCs w:val="21"/>
              </w:rPr>
              <w:t>内衬：四氟</w:t>
            </w:r>
          </w:p>
          <w:p w14:paraId="300E78AB">
            <w:pPr>
              <w:spacing w:line="240" w:lineRule="auto"/>
              <w:ind w:firstLine="0" w:firstLineChars="0"/>
              <w:rPr>
                <w:rFonts w:hint="eastAsia"/>
                <w:sz w:val="21"/>
                <w:szCs w:val="21"/>
              </w:rPr>
            </w:pPr>
            <w:r>
              <w:rPr>
                <w:sz w:val="21"/>
                <w:szCs w:val="21"/>
              </w:rPr>
              <w:t>压力：1.6Mpa</w:t>
            </w:r>
          </w:p>
          <w:p w14:paraId="363811E3">
            <w:pPr>
              <w:spacing w:line="240" w:lineRule="auto"/>
              <w:ind w:firstLine="0" w:firstLineChars="0"/>
              <w:rPr>
                <w:rFonts w:hint="eastAsia"/>
                <w:sz w:val="21"/>
                <w:szCs w:val="21"/>
              </w:rPr>
            </w:pPr>
            <w:r>
              <w:rPr>
                <w:sz w:val="21"/>
                <w:szCs w:val="21"/>
              </w:rPr>
              <w:t>电极：316L</w:t>
            </w:r>
          </w:p>
        </w:tc>
        <w:tc>
          <w:tcPr>
            <w:tcW w:w="1616" w:type="pct"/>
            <w:shd w:val="clear" w:color="auto" w:fill="auto"/>
            <w:vAlign w:val="center"/>
          </w:tcPr>
          <w:p w14:paraId="1360DB22">
            <w:pPr>
              <w:spacing w:line="240" w:lineRule="auto"/>
              <w:ind w:firstLine="0" w:firstLineChars="0"/>
              <w:jc w:val="center"/>
              <w:rPr>
                <w:rFonts w:hint="eastAsia"/>
              </w:rPr>
            </w:pPr>
            <w:r>
              <w:rPr>
                <w:rFonts w:hint="eastAsia" w:ascii="Times New Roman" w:hAnsi="Times New Roman"/>
              </w:rPr>
              <w:drawing>
                <wp:inline distT="0" distB="0" distL="114300" distR="114300">
                  <wp:extent cx="726440" cy="846455"/>
                  <wp:effectExtent l="0" t="0" r="5080" b="6985"/>
                  <wp:docPr id="65" name="图片 1" descr="172405708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descr="1724057082577"/>
                          <pic:cNvPicPr>
                            <a:picLocks noChangeAspect="1"/>
                          </pic:cNvPicPr>
                        </pic:nvPicPr>
                        <pic:blipFill>
                          <a:blip r:embed="rId41"/>
                          <a:stretch>
                            <a:fillRect/>
                          </a:stretch>
                        </pic:blipFill>
                        <pic:spPr>
                          <a:xfrm>
                            <a:off x="0" y="0"/>
                            <a:ext cx="726440" cy="846455"/>
                          </a:xfrm>
                          <a:prstGeom prst="rect">
                            <a:avLst/>
                          </a:prstGeom>
                          <a:noFill/>
                          <a:ln>
                            <a:noFill/>
                          </a:ln>
                        </pic:spPr>
                      </pic:pic>
                    </a:graphicData>
                  </a:graphic>
                </wp:inline>
              </w:drawing>
            </w:r>
          </w:p>
        </w:tc>
      </w:tr>
      <w:tr w14:paraId="04C4B5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4" w:hRule="atLeast"/>
        </w:trPr>
        <w:tc>
          <w:tcPr>
            <w:tcW w:w="927" w:type="pct"/>
            <w:vAlign w:val="center"/>
          </w:tcPr>
          <w:p w14:paraId="36741B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color w:val="auto"/>
                <w:sz w:val="21"/>
                <w:szCs w:val="21"/>
                <w:vertAlign w:val="baseline"/>
                <w:lang w:val="en-US" w:eastAsia="zh-CN"/>
              </w:rPr>
              <w:t>超声波液位计</w:t>
            </w:r>
          </w:p>
        </w:tc>
        <w:tc>
          <w:tcPr>
            <w:tcW w:w="2456" w:type="pct"/>
            <w:vAlign w:val="center"/>
          </w:tcPr>
          <w:p w14:paraId="28E9DDA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量程：0-10m</w:t>
            </w:r>
            <w:r>
              <w:rPr>
                <w:rFonts w:hint="default"/>
                <w:color w:val="auto"/>
                <w:sz w:val="21"/>
                <w:szCs w:val="21"/>
                <w:vertAlign w:val="baseline"/>
                <w:lang w:val="en-US" w:eastAsia="zh-CN"/>
              </w:rPr>
              <w:tab/>
            </w:r>
          </w:p>
          <w:p w14:paraId="4A8EC38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发射角：&lt;6~15°</w:t>
            </w:r>
          </w:p>
          <w:p w14:paraId="27EEB48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分辨率：1mm</w:t>
            </w:r>
            <w:r>
              <w:rPr>
                <w:rFonts w:hint="default"/>
                <w:color w:val="auto"/>
                <w:sz w:val="21"/>
                <w:szCs w:val="21"/>
                <w:vertAlign w:val="baseline"/>
                <w:lang w:val="en-US" w:eastAsia="zh-CN"/>
              </w:rPr>
              <w:tab/>
            </w:r>
          </w:p>
          <w:p w14:paraId="4F515ED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default"/>
                <w:color w:val="auto"/>
                <w:sz w:val="21"/>
                <w:szCs w:val="21"/>
                <w:vertAlign w:val="baseline"/>
                <w:lang w:val="en-US" w:eastAsia="zh-CN"/>
              </w:rPr>
              <w:t xml:space="preserve">准确度：±0.2%F.S </w:t>
            </w:r>
          </w:p>
        </w:tc>
        <w:tc>
          <w:tcPr>
            <w:tcW w:w="1616" w:type="pct"/>
            <w:vAlign w:val="center"/>
          </w:tcPr>
          <w:p w14:paraId="21F9BC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rPr>
            </w:pPr>
            <w:r>
              <w:drawing>
                <wp:inline distT="0" distB="0" distL="114300" distR="114300">
                  <wp:extent cx="591820" cy="1069975"/>
                  <wp:effectExtent l="0" t="99695" r="0" b="116205"/>
                  <wp:docPr id="71" name="图片 2" descr="IMG_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descr="IMG_0879"/>
                          <pic:cNvPicPr>
                            <a:picLocks noChangeAspect="1"/>
                          </pic:cNvPicPr>
                        </pic:nvPicPr>
                        <pic:blipFill>
                          <a:blip r:embed="rId22"/>
                          <a:srcRect l="29941" t="13423" r="36044" b="7330"/>
                          <a:stretch>
                            <a:fillRect/>
                          </a:stretch>
                        </pic:blipFill>
                        <pic:spPr>
                          <a:xfrm rot="3120000">
                            <a:off x="0" y="0"/>
                            <a:ext cx="591820" cy="1069975"/>
                          </a:xfrm>
                          <a:prstGeom prst="rect">
                            <a:avLst/>
                          </a:prstGeom>
                          <a:noFill/>
                          <a:ln>
                            <a:noFill/>
                          </a:ln>
                        </pic:spPr>
                      </pic:pic>
                    </a:graphicData>
                  </a:graphic>
                </wp:inline>
              </w:drawing>
            </w:r>
          </w:p>
        </w:tc>
      </w:tr>
      <w:tr w14:paraId="3E1B63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2" w:hRule="atLeast"/>
        </w:trPr>
        <w:tc>
          <w:tcPr>
            <w:tcW w:w="927" w:type="pct"/>
            <w:vAlign w:val="center"/>
          </w:tcPr>
          <w:p w14:paraId="097529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rPr>
            </w:pPr>
            <w:r>
              <w:rPr>
                <w:rFonts w:hint="eastAsia"/>
                <w:color w:val="auto"/>
                <w:sz w:val="21"/>
                <w:szCs w:val="21"/>
                <w:vertAlign w:val="baseline"/>
                <w:lang w:val="en-US" w:eastAsia="zh-CN"/>
              </w:rPr>
              <w:t>污泥界面仪</w:t>
            </w:r>
          </w:p>
        </w:tc>
        <w:tc>
          <w:tcPr>
            <w:tcW w:w="2456" w:type="pct"/>
            <w:vAlign w:val="center"/>
          </w:tcPr>
          <w:p w14:paraId="72DB806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测量范围：0.3～10m；</w:t>
            </w:r>
          </w:p>
          <w:p w14:paraId="141097B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分辨率：0.007m；</w:t>
            </w:r>
          </w:p>
          <w:p w14:paraId="177B094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21"/>
                <w:szCs w:val="21"/>
              </w:rPr>
            </w:pPr>
            <w:r>
              <w:rPr>
                <w:rFonts w:hint="default"/>
                <w:color w:val="auto"/>
                <w:sz w:val="21"/>
                <w:szCs w:val="21"/>
                <w:vertAlign w:val="baseline"/>
                <w:lang w:val="en-US" w:eastAsia="zh-CN"/>
              </w:rPr>
              <w:t>基本误差：±0.5%F.S；</w:t>
            </w:r>
          </w:p>
        </w:tc>
        <w:tc>
          <w:tcPr>
            <w:tcW w:w="1616" w:type="pct"/>
            <w:vAlign w:val="center"/>
          </w:tcPr>
          <w:p w14:paraId="52DB32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sz w:val="28"/>
                <w:szCs w:val="28"/>
              </w:rPr>
            </w:pPr>
            <w:r>
              <w:rPr>
                <w:rFonts w:hint="default" w:ascii="Times New Roman" w:hAnsi="Times New Roman" w:cs="Times New Roman" w:eastAsiaTheme="minorEastAsia"/>
                <w:b/>
                <w:sz w:val="72"/>
                <w:szCs w:val="72"/>
                <w:lang w:eastAsia="zh-CN"/>
              </w:rPr>
              <w:drawing>
                <wp:inline distT="0" distB="0" distL="114300" distR="114300">
                  <wp:extent cx="246380" cy="487680"/>
                  <wp:effectExtent l="0" t="0" r="12700" b="0"/>
                  <wp:docPr id="72" name="图片 72" descr="变送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变送器"/>
                          <pic:cNvPicPr>
                            <a:picLocks noChangeAspect="1"/>
                          </pic:cNvPicPr>
                        </pic:nvPicPr>
                        <pic:blipFill>
                          <a:blip r:embed="rId23"/>
                          <a:stretch>
                            <a:fillRect/>
                          </a:stretch>
                        </pic:blipFill>
                        <pic:spPr>
                          <a:xfrm>
                            <a:off x="0" y="0"/>
                            <a:ext cx="246380" cy="487680"/>
                          </a:xfrm>
                          <a:prstGeom prst="rect">
                            <a:avLst/>
                          </a:prstGeom>
                        </pic:spPr>
                      </pic:pic>
                    </a:graphicData>
                  </a:graphic>
                </wp:inline>
              </w:drawing>
            </w:r>
            <w:r>
              <w:rPr>
                <w:rFonts w:hint="default" w:ascii="Times New Roman" w:hAnsi="Times New Roman" w:cs="Times New Roman" w:eastAsiaTheme="minorEastAsia"/>
                <w:b/>
                <w:sz w:val="72"/>
                <w:szCs w:val="72"/>
                <w:lang w:eastAsia="zh-CN"/>
              </w:rPr>
              <w:drawing>
                <wp:inline distT="0" distB="0" distL="114300" distR="114300">
                  <wp:extent cx="592455" cy="697230"/>
                  <wp:effectExtent l="0" t="0" r="1905" b="3810"/>
                  <wp:docPr id="73" name="图片 73" descr="控制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控制器"/>
                          <pic:cNvPicPr>
                            <a:picLocks noChangeAspect="1"/>
                          </pic:cNvPicPr>
                        </pic:nvPicPr>
                        <pic:blipFill>
                          <a:blip r:embed="rId24"/>
                          <a:stretch>
                            <a:fillRect/>
                          </a:stretch>
                        </pic:blipFill>
                        <pic:spPr>
                          <a:xfrm>
                            <a:off x="0" y="0"/>
                            <a:ext cx="592455" cy="697230"/>
                          </a:xfrm>
                          <a:prstGeom prst="rect">
                            <a:avLst/>
                          </a:prstGeom>
                        </pic:spPr>
                      </pic:pic>
                    </a:graphicData>
                  </a:graphic>
                </wp:inline>
              </w:drawing>
            </w:r>
          </w:p>
        </w:tc>
      </w:tr>
    </w:tbl>
    <w:p w14:paraId="7AFBB7C9">
      <w:pPr>
        <w:ind w:firstLine="480"/>
        <w:rPr>
          <w:rFonts w:hint="eastAsia"/>
        </w:rPr>
      </w:pPr>
    </w:p>
    <w:p w14:paraId="606587C8">
      <w:pPr>
        <w:pStyle w:val="3"/>
        <w:rPr>
          <w:rFonts w:hint="eastAsia"/>
        </w:rPr>
      </w:pPr>
      <w:bookmarkStart w:id="14" w:name="_Toc22181"/>
      <w:r>
        <w:rPr>
          <w:rFonts w:hint="eastAsia"/>
        </w:rPr>
        <w:t>场景适配性</w:t>
      </w:r>
      <w:bookmarkEnd w:id="14"/>
    </w:p>
    <w:p w14:paraId="3216EDFB">
      <w:pPr>
        <w:pStyle w:val="4"/>
        <w:rPr>
          <w:rFonts w:hint="eastAsia"/>
        </w:rPr>
      </w:pPr>
      <w:bookmarkStart w:id="15" w:name="_Toc19621"/>
      <w:r>
        <w:rPr>
          <w:rFonts w:hint="eastAsia"/>
          <w:lang w:val="en-US" w:eastAsia="zh-CN"/>
        </w:rPr>
        <w:t>进水管道</w:t>
      </w:r>
      <w:bookmarkEnd w:id="15"/>
    </w:p>
    <w:p w14:paraId="7D403448">
      <w:pPr>
        <w:rPr>
          <w:rFonts w:hint="eastAsia"/>
        </w:rPr>
      </w:pPr>
      <w:r>
        <w:rPr>
          <w:rFonts w:hint="eastAsia"/>
        </w:rPr>
        <w:t>进水管道多为地下埋设或架空铺设的球墨铸铁管、UPVC管或HDPE管，管径通常为DN100-DN300，表面覆有防腐涂层，接口处采用法兰或承插连接。水流冲击力强，可能携带泥沙、藻类等杂质，环境温湿度随季</w:t>
      </w:r>
      <w:r>
        <w:rPr>
          <w:rFonts w:hint="eastAsia"/>
          <w:lang w:val="en-US" w:eastAsia="zh-CN"/>
        </w:rPr>
        <w:t xml:space="preserve"> </w:t>
      </w:r>
      <w:r>
        <w:rPr>
          <w:rFonts w:hint="eastAsia"/>
        </w:rPr>
        <w:t>节变化大。</w:t>
      </w:r>
    </w:p>
    <w:p w14:paraId="1B2B39D9">
      <w:pPr>
        <w:jc w:val="center"/>
        <w:rPr>
          <w:rFonts w:hint="eastAsia"/>
        </w:rPr>
      </w:pPr>
      <w:r>
        <w:drawing>
          <wp:inline distT="0" distB="0" distL="114300" distR="114300">
            <wp:extent cx="2312670" cy="2336165"/>
            <wp:effectExtent l="0" t="0" r="3810" b="10795"/>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42"/>
                    <a:srcRect t="16495"/>
                    <a:stretch>
                      <a:fillRect/>
                    </a:stretch>
                  </pic:blipFill>
                  <pic:spPr>
                    <a:xfrm>
                      <a:off x="0" y="0"/>
                      <a:ext cx="2312670" cy="2336165"/>
                    </a:xfrm>
                    <a:prstGeom prst="rect">
                      <a:avLst/>
                    </a:prstGeom>
                    <a:noFill/>
                    <a:ln>
                      <a:noFill/>
                    </a:ln>
                  </pic:spPr>
                </pic:pic>
              </a:graphicData>
            </a:graphic>
          </wp:inline>
        </w:drawing>
      </w:r>
      <w:r>
        <w:drawing>
          <wp:inline distT="0" distB="0" distL="114300" distR="114300">
            <wp:extent cx="2212975" cy="2345055"/>
            <wp:effectExtent l="0" t="0" r="12065" b="1905"/>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43"/>
                    <a:stretch>
                      <a:fillRect/>
                    </a:stretch>
                  </pic:blipFill>
                  <pic:spPr>
                    <a:xfrm>
                      <a:off x="0" y="0"/>
                      <a:ext cx="2212975" cy="2345055"/>
                    </a:xfrm>
                    <a:prstGeom prst="rect">
                      <a:avLst/>
                    </a:prstGeom>
                    <a:noFill/>
                    <a:ln>
                      <a:noFill/>
                    </a:ln>
                  </pic:spPr>
                </pic:pic>
              </a:graphicData>
            </a:graphic>
          </wp:inline>
        </w:drawing>
      </w:r>
    </w:p>
    <w:p w14:paraId="56137EF9">
      <w:pPr>
        <w:rPr>
          <w:rFonts w:hint="default" w:eastAsia="宋体"/>
          <w:lang w:val="en-US" w:eastAsia="zh-CN"/>
        </w:rPr>
      </w:pPr>
      <w:r>
        <w:rPr>
          <w:rFonts w:hint="eastAsia"/>
          <w:b/>
          <w:bCs/>
        </w:rPr>
        <w:t>监测参数：</w:t>
      </w:r>
      <w:r>
        <w:rPr>
          <w:rFonts w:hint="eastAsia"/>
        </w:rPr>
        <w:t>pH值、浊度</w:t>
      </w:r>
    </w:p>
    <w:p w14:paraId="7879BEB8">
      <w:pPr>
        <w:rPr>
          <w:rFonts w:hint="eastAsia"/>
          <w:b/>
          <w:bCs/>
        </w:rPr>
      </w:pPr>
      <w:r>
        <w:rPr>
          <w:rFonts w:hint="eastAsia"/>
          <w:b/>
          <w:bCs/>
        </w:rPr>
        <w:t>监测意义：</w:t>
      </w:r>
    </w:p>
    <w:p w14:paraId="7DE01F64">
      <w:pPr>
        <w:rPr>
          <w:rFonts w:hint="eastAsia"/>
        </w:rPr>
      </w:pPr>
      <w:r>
        <w:rPr>
          <w:rFonts w:hint="eastAsia"/>
        </w:rPr>
        <w:t>pH值：实时判断原水酸碱性，防止酸性水腐蚀管道或碱性水导致结垢，保障后续处理工艺稳定性（如混凝剂投加效率）；</w:t>
      </w:r>
    </w:p>
    <w:p w14:paraId="20AA91F6">
      <w:pPr>
        <w:rPr>
          <w:rFonts w:hint="eastAsia"/>
        </w:rPr>
      </w:pPr>
      <w:r>
        <w:rPr>
          <w:rFonts w:hint="eastAsia"/>
        </w:rPr>
        <w:t>浊度：检测原水中悬浮物含量，预警高浊度水源堵塞过滤器或损坏泵体，为预处理提供数据支持。</w:t>
      </w:r>
    </w:p>
    <w:p w14:paraId="72649C46">
      <w:pPr>
        <w:pStyle w:val="4"/>
        <w:rPr>
          <w:rFonts w:hint="eastAsia"/>
        </w:rPr>
      </w:pPr>
      <w:bookmarkStart w:id="16" w:name="_Toc23960"/>
      <w:r>
        <w:rPr>
          <w:rFonts w:hint="eastAsia"/>
        </w:rPr>
        <w:t>反应沉淀池/清水池</w:t>
      </w:r>
      <w:bookmarkEnd w:id="16"/>
    </w:p>
    <w:p w14:paraId="3244318C">
      <w:pPr>
        <w:rPr>
          <w:rFonts w:hint="eastAsia"/>
        </w:rPr>
      </w:pPr>
      <w:r>
        <w:rPr>
          <w:rFonts w:hint="eastAsia"/>
        </w:rPr>
        <w:t>钢筋混凝土或玻璃钢材质，池体呈矩形或圆形，顶部设检修口，池壁安装扶梯，水深3-5米。水体静止或缓流，可能存在藻类滋生、池壁结垢等问题。</w:t>
      </w:r>
    </w:p>
    <w:p w14:paraId="3C06307F">
      <w:pPr>
        <w:jc w:val="center"/>
        <w:rPr>
          <w:rFonts w:hint="eastAsia"/>
        </w:rPr>
      </w:pPr>
      <w:r>
        <w:drawing>
          <wp:inline distT="0" distB="0" distL="114300" distR="114300">
            <wp:extent cx="2441575" cy="1812925"/>
            <wp:effectExtent l="0" t="0" r="12065" b="635"/>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44"/>
                    <a:stretch>
                      <a:fillRect/>
                    </a:stretch>
                  </pic:blipFill>
                  <pic:spPr>
                    <a:xfrm>
                      <a:off x="0" y="0"/>
                      <a:ext cx="2441575" cy="1812925"/>
                    </a:xfrm>
                    <a:prstGeom prst="rect">
                      <a:avLst/>
                    </a:prstGeom>
                    <a:noFill/>
                    <a:ln>
                      <a:noFill/>
                    </a:ln>
                  </pic:spPr>
                </pic:pic>
              </a:graphicData>
            </a:graphic>
          </wp:inline>
        </w:drawing>
      </w:r>
      <w:r>
        <w:drawing>
          <wp:inline distT="0" distB="0" distL="114300" distR="114300">
            <wp:extent cx="2078990" cy="1807845"/>
            <wp:effectExtent l="0" t="0" r="8890" b="5715"/>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pic:cNvPicPr>
                  </pic:nvPicPr>
                  <pic:blipFill>
                    <a:blip r:embed="rId45"/>
                    <a:stretch>
                      <a:fillRect/>
                    </a:stretch>
                  </pic:blipFill>
                  <pic:spPr>
                    <a:xfrm>
                      <a:off x="0" y="0"/>
                      <a:ext cx="2078990" cy="1807845"/>
                    </a:xfrm>
                    <a:prstGeom prst="rect">
                      <a:avLst/>
                    </a:prstGeom>
                    <a:noFill/>
                    <a:ln>
                      <a:noFill/>
                    </a:ln>
                  </pic:spPr>
                </pic:pic>
              </a:graphicData>
            </a:graphic>
          </wp:inline>
        </w:drawing>
      </w:r>
    </w:p>
    <w:p w14:paraId="218379FA">
      <w:pPr>
        <w:rPr>
          <w:rFonts w:hint="eastAsia"/>
        </w:rPr>
      </w:pPr>
      <w:r>
        <w:rPr>
          <w:rFonts w:hint="eastAsia"/>
          <w:b/>
          <w:bCs/>
        </w:rPr>
        <w:t>监测设备：</w:t>
      </w:r>
      <w:r>
        <w:rPr>
          <w:rFonts w:hint="eastAsia"/>
        </w:rPr>
        <w:t>超声波液位计</w:t>
      </w:r>
    </w:p>
    <w:p w14:paraId="3910CB76">
      <w:pPr>
        <w:rPr>
          <w:rFonts w:hint="eastAsia"/>
          <w:b/>
          <w:bCs/>
        </w:rPr>
      </w:pPr>
      <w:r>
        <w:rPr>
          <w:rFonts w:hint="eastAsia"/>
          <w:b/>
          <w:bCs/>
        </w:rPr>
        <w:t>监测意义：</w:t>
      </w:r>
    </w:p>
    <w:p w14:paraId="2D2B37BF">
      <w:pPr>
        <w:rPr>
          <w:rFonts w:hint="eastAsia"/>
        </w:rPr>
      </w:pPr>
      <w:r>
        <w:rPr>
          <w:rFonts w:hint="eastAsia"/>
        </w:rPr>
        <w:t>液位监测：实时监控水位变化，联动水泵启停，防止溢流或抽空损坏设备；</w:t>
      </w:r>
    </w:p>
    <w:p w14:paraId="0D788F1C">
      <w:pPr>
        <w:rPr>
          <w:rFonts w:hint="eastAsia"/>
        </w:rPr>
      </w:pPr>
      <w:r>
        <w:rPr>
          <w:rFonts w:hint="eastAsia"/>
        </w:rPr>
        <w:t>数据联动：与流量计配合计算水池蓄水量，优化供水调度。</w:t>
      </w:r>
    </w:p>
    <w:p w14:paraId="77CC5C28">
      <w:pPr>
        <w:pStyle w:val="4"/>
        <w:rPr>
          <w:rFonts w:hint="eastAsia"/>
        </w:rPr>
      </w:pPr>
      <w:bookmarkStart w:id="17" w:name="_Toc25369"/>
      <w:r>
        <w:rPr>
          <w:rFonts w:hint="eastAsia"/>
        </w:rPr>
        <w:t>回收水池</w:t>
      </w:r>
      <w:bookmarkEnd w:id="17"/>
    </w:p>
    <w:p w14:paraId="2284B177">
      <w:pPr>
        <w:ind w:firstLine="480"/>
        <w:jc w:val="left"/>
        <w:rPr>
          <w:rFonts w:hint="eastAsia"/>
        </w:rPr>
      </w:pPr>
      <w:r>
        <w:rPr>
          <w:rFonts w:hint="eastAsia"/>
        </w:rPr>
        <w:t>多为地下混凝土结构，池底倾斜设计便于污泥收集，顶部加盖防雨水侵入。含高浓度污泥颗粒，易沉积且可能产生硫化氢气体。</w:t>
      </w:r>
    </w:p>
    <w:p w14:paraId="3A4DC833">
      <w:pPr>
        <w:ind w:firstLine="480"/>
        <w:jc w:val="center"/>
        <w:rPr>
          <w:rFonts w:hint="eastAsia"/>
        </w:rPr>
      </w:pPr>
      <w:r>
        <w:drawing>
          <wp:inline distT="0" distB="0" distL="114300" distR="114300">
            <wp:extent cx="3409950" cy="2110740"/>
            <wp:effectExtent l="0" t="0" r="3810" b="7620"/>
            <wp:docPr id="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pic:cNvPicPr>
                      <a:picLocks noChangeAspect="1"/>
                    </pic:cNvPicPr>
                  </pic:nvPicPr>
                  <pic:blipFill>
                    <a:blip r:embed="rId46"/>
                    <a:stretch>
                      <a:fillRect/>
                    </a:stretch>
                  </pic:blipFill>
                  <pic:spPr>
                    <a:xfrm>
                      <a:off x="0" y="0"/>
                      <a:ext cx="3409950" cy="2110740"/>
                    </a:xfrm>
                    <a:prstGeom prst="rect">
                      <a:avLst/>
                    </a:prstGeom>
                    <a:noFill/>
                    <a:ln>
                      <a:noFill/>
                    </a:ln>
                  </pic:spPr>
                </pic:pic>
              </a:graphicData>
            </a:graphic>
          </wp:inline>
        </w:drawing>
      </w:r>
    </w:p>
    <w:p w14:paraId="1CCCE725">
      <w:pPr>
        <w:ind w:firstLine="480"/>
        <w:jc w:val="left"/>
        <w:rPr>
          <w:rFonts w:hint="eastAsia"/>
        </w:rPr>
      </w:pPr>
      <w:r>
        <w:rPr>
          <w:rFonts w:hint="eastAsia"/>
          <w:b/>
          <w:bCs/>
        </w:rPr>
        <w:t>监测设备：</w:t>
      </w:r>
      <w:r>
        <w:rPr>
          <w:rFonts w:hint="eastAsia"/>
        </w:rPr>
        <w:t>污泥界面仪</w:t>
      </w:r>
    </w:p>
    <w:p w14:paraId="03000F84">
      <w:pPr>
        <w:ind w:firstLine="480"/>
        <w:jc w:val="left"/>
        <w:rPr>
          <w:rFonts w:hint="eastAsia"/>
          <w:b/>
          <w:bCs/>
        </w:rPr>
      </w:pPr>
      <w:r>
        <w:rPr>
          <w:rFonts w:hint="eastAsia"/>
          <w:b/>
          <w:bCs/>
        </w:rPr>
        <w:t>监测意义：</w:t>
      </w:r>
    </w:p>
    <w:p w14:paraId="762BF52D">
      <w:pPr>
        <w:ind w:firstLine="480"/>
        <w:jc w:val="left"/>
        <w:rPr>
          <w:rFonts w:hint="eastAsia"/>
        </w:rPr>
      </w:pPr>
      <w:r>
        <w:rPr>
          <w:rFonts w:hint="eastAsia"/>
        </w:rPr>
        <w:t>污泥层高度监测：精准识别污泥沉积厚度，指导排泥频率，避免污泥上浮污染清水区；</w:t>
      </w:r>
    </w:p>
    <w:p w14:paraId="5742F31C">
      <w:pPr>
        <w:ind w:firstLine="480"/>
        <w:jc w:val="left"/>
        <w:rPr>
          <w:rFonts w:hint="eastAsia"/>
        </w:rPr>
      </w:pPr>
      <w:r>
        <w:rPr>
          <w:rFonts w:hint="eastAsia"/>
        </w:rPr>
        <w:t>节能降耗：减少人工巡检，降低排泥泵无效运行能耗。</w:t>
      </w:r>
    </w:p>
    <w:p w14:paraId="7819F61E">
      <w:pPr>
        <w:pStyle w:val="4"/>
        <w:rPr>
          <w:rFonts w:hint="eastAsia"/>
        </w:rPr>
      </w:pPr>
      <w:bookmarkStart w:id="18" w:name="_Toc13819"/>
      <w:r>
        <w:rPr>
          <w:rFonts w:hint="eastAsia"/>
          <w:lang w:val="en-US" w:eastAsia="zh-CN"/>
        </w:rPr>
        <w:t>消毒池</w:t>
      </w:r>
      <w:bookmarkEnd w:id="18"/>
    </w:p>
    <w:p w14:paraId="721A0FD3">
      <w:pPr>
        <w:keepNext w:val="0"/>
        <w:keepLines w:val="0"/>
        <w:widowControl/>
        <w:suppressLineNumbers w:val="0"/>
        <w:bidi w:val="0"/>
        <w:spacing w:before="0" w:beforeAutospacing="0" w:after="0" w:afterAutospacing="0"/>
        <w:ind w:left="0" w:right="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农村供水中，消毒池作用关键。它通过投加氯气、二氧化氯</w:t>
      </w:r>
      <w:r>
        <w:rPr>
          <w:rFonts w:hint="eastAsia" w:cs="宋体"/>
          <w:kern w:val="0"/>
          <w:sz w:val="24"/>
          <w:szCs w:val="24"/>
          <w:lang w:val="en-US" w:eastAsia="zh-CN" w:bidi="ar"/>
        </w:rPr>
        <w:t>、臭氧</w:t>
      </w:r>
      <w:r>
        <w:rPr>
          <w:rFonts w:ascii="宋体" w:hAnsi="宋体" w:eastAsia="宋体" w:cs="宋体"/>
          <w:kern w:val="0"/>
          <w:sz w:val="24"/>
          <w:szCs w:val="24"/>
          <w:lang w:val="en-US" w:eastAsia="zh-CN" w:bidi="ar"/>
        </w:rPr>
        <w:t>等消毒剂，凭借其强氧化性，破坏细菌、病毒等病原体结构与酶系统，使其失活，杀灭水中大量病原体。经消毒池处理，水中残留消毒剂能在后续储存、输送时抑制微生物滋生，防止二次污染，保障管网水质达标。同时，消毒池可降低因水源污染引发疾病传播的风险，有力提升农村供水安全性，守护居民健康。</w:t>
      </w:r>
    </w:p>
    <w:p w14:paraId="66F857AF">
      <w:pPr>
        <w:keepNext w:val="0"/>
        <w:keepLines w:val="0"/>
        <w:widowControl/>
        <w:suppressLineNumbers w:val="0"/>
        <w:bidi w:val="0"/>
        <w:spacing w:before="0" w:beforeAutospacing="0" w:after="0" w:afterAutospacing="0"/>
        <w:ind w:left="0" w:right="0"/>
        <w:jc w:val="center"/>
        <w:rPr>
          <w:rFonts w:ascii="宋体" w:hAnsi="宋体" w:eastAsia="宋体" w:cs="宋体"/>
          <w:kern w:val="0"/>
          <w:sz w:val="24"/>
          <w:szCs w:val="24"/>
          <w:lang w:val="en-US" w:eastAsia="zh-CN" w:bidi="ar"/>
        </w:rPr>
      </w:pPr>
      <w:r>
        <w:drawing>
          <wp:inline distT="0" distB="0" distL="114300" distR="114300">
            <wp:extent cx="3197225" cy="1979930"/>
            <wp:effectExtent l="0" t="0" r="3175" b="1270"/>
            <wp:docPr id="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pic:cNvPicPr>
                      <a:picLocks noChangeAspect="1"/>
                    </pic:cNvPicPr>
                  </pic:nvPicPr>
                  <pic:blipFill>
                    <a:blip r:embed="rId47"/>
                    <a:stretch>
                      <a:fillRect/>
                    </a:stretch>
                  </pic:blipFill>
                  <pic:spPr>
                    <a:xfrm>
                      <a:off x="0" y="0"/>
                      <a:ext cx="3197225" cy="1979930"/>
                    </a:xfrm>
                    <a:prstGeom prst="rect">
                      <a:avLst/>
                    </a:prstGeom>
                    <a:noFill/>
                    <a:ln>
                      <a:noFill/>
                    </a:ln>
                  </pic:spPr>
                </pic:pic>
              </a:graphicData>
            </a:graphic>
          </wp:inline>
        </w:drawing>
      </w:r>
    </w:p>
    <w:p w14:paraId="11112C6E">
      <w:pPr>
        <w:ind w:firstLine="480"/>
        <w:jc w:val="left"/>
        <w:rPr>
          <w:rFonts w:hint="default"/>
          <w:lang w:val="en-US"/>
        </w:rPr>
      </w:pPr>
      <w:r>
        <w:rPr>
          <w:rFonts w:hint="eastAsia"/>
          <w:b/>
          <w:bCs/>
        </w:rPr>
        <w:t>监测</w:t>
      </w:r>
      <w:r>
        <w:rPr>
          <w:rFonts w:hint="eastAsia"/>
          <w:b/>
          <w:bCs/>
          <w:lang w:val="en-US" w:eastAsia="zh-CN"/>
        </w:rPr>
        <w:t>参数</w:t>
      </w:r>
      <w:r>
        <w:rPr>
          <w:rFonts w:hint="eastAsia"/>
          <w:b/>
          <w:bCs/>
        </w:rPr>
        <w:t>：</w:t>
      </w:r>
      <w:r>
        <w:rPr>
          <w:rFonts w:hint="eastAsia"/>
        </w:rPr>
        <w:t>余氯（若采用氯消毒）</w:t>
      </w:r>
      <w:r>
        <w:rPr>
          <w:rFonts w:hint="eastAsia"/>
          <w:lang w:eastAsia="zh-CN"/>
        </w:rPr>
        <w:t>、</w:t>
      </w:r>
      <w:r>
        <w:rPr>
          <w:rFonts w:hint="eastAsia"/>
          <w:lang w:val="en-US" w:eastAsia="zh-CN"/>
        </w:rPr>
        <w:t>二氧化氯、臭氧</w:t>
      </w:r>
    </w:p>
    <w:p w14:paraId="09E9B504">
      <w:pPr>
        <w:ind w:firstLine="480"/>
        <w:jc w:val="left"/>
        <w:rPr>
          <w:rFonts w:hint="eastAsia"/>
          <w:b/>
          <w:bCs/>
        </w:rPr>
      </w:pPr>
      <w:r>
        <w:rPr>
          <w:rFonts w:hint="eastAsia"/>
          <w:b/>
          <w:bCs/>
        </w:rPr>
        <w:t>监测意义：</w:t>
      </w:r>
    </w:p>
    <w:p w14:paraId="26D98C33">
      <w:pPr>
        <w:rPr>
          <w:rFonts w:hint="eastAsia"/>
        </w:rPr>
      </w:pPr>
      <w:r>
        <w:rPr>
          <w:rFonts w:hint="eastAsia"/>
        </w:rPr>
        <w:t>余氯：监控消毒剂残留量，防止剂量不足引发微生物滋生或过量导致口感异味。</w:t>
      </w:r>
    </w:p>
    <w:p w14:paraId="2365D902">
      <w:pPr>
        <w:rPr>
          <w:rFonts w:hint="eastAsia" w:ascii="宋体" w:hAnsi="宋体" w:eastAsia="宋体" w:cs="宋体"/>
        </w:rPr>
      </w:pPr>
      <w:r>
        <w:rPr>
          <w:rFonts w:hint="eastAsia" w:ascii="宋体" w:hAnsi="宋体" w:eastAsia="宋体" w:cs="宋体"/>
        </w:rPr>
        <w:t>二氧化氯：可精准把控消毒剂量，避免不足或过量，保证消毒效果与水质安全。</w:t>
      </w:r>
    </w:p>
    <w:p w14:paraId="3B831BB8">
      <w:pPr>
        <w:rPr>
          <w:rFonts w:hint="eastAsia" w:ascii="宋体" w:hAnsi="宋体" w:eastAsia="宋体" w:cs="宋体"/>
        </w:rPr>
      </w:pPr>
      <w:r>
        <w:rPr>
          <w:rFonts w:hint="eastAsia" w:ascii="宋体" w:hAnsi="宋体" w:eastAsia="宋体" w:cs="宋体"/>
        </w:rPr>
        <w:t xml:space="preserve">臭氧：利于及时调控投加量，有效去除水中污染物，同时防止臭氧残留危害。 </w:t>
      </w:r>
    </w:p>
    <w:p w14:paraId="66981E4C">
      <w:pPr>
        <w:pStyle w:val="4"/>
        <w:rPr>
          <w:rFonts w:hint="eastAsia"/>
        </w:rPr>
      </w:pPr>
      <w:bookmarkStart w:id="19" w:name="_Toc11731"/>
      <w:r>
        <w:rPr>
          <w:rFonts w:hint="eastAsia"/>
          <w:lang w:val="en-US" w:eastAsia="zh-CN"/>
        </w:rPr>
        <w:t>出水管道</w:t>
      </w:r>
      <w:bookmarkEnd w:id="19"/>
    </w:p>
    <w:p w14:paraId="3AEF715A">
      <w:pPr>
        <w:rPr>
          <w:rFonts w:hint="eastAsia"/>
        </w:rPr>
      </w:pPr>
      <w:r>
        <w:rPr>
          <w:rFonts w:hint="eastAsia"/>
        </w:rPr>
        <w:t>多采用不锈钢或UPVC管道，管径与进水管道匹配，常安装于清水池出口至配水管网的关键节点，部分区域设置透明观察窗。水流稳定，水质较清洁，但需长期承受压力波动。</w:t>
      </w:r>
    </w:p>
    <w:p w14:paraId="6B21502A">
      <w:pPr>
        <w:rPr>
          <w:rFonts w:hint="eastAsia"/>
        </w:rPr>
      </w:pPr>
      <w:r>
        <w:drawing>
          <wp:inline distT="0" distB="0" distL="114300" distR="114300">
            <wp:extent cx="3193415" cy="1924685"/>
            <wp:effectExtent l="0" t="0" r="6985" b="10795"/>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48"/>
                    <a:stretch>
                      <a:fillRect/>
                    </a:stretch>
                  </pic:blipFill>
                  <pic:spPr>
                    <a:xfrm>
                      <a:off x="0" y="0"/>
                      <a:ext cx="3193415" cy="1924685"/>
                    </a:xfrm>
                    <a:prstGeom prst="rect">
                      <a:avLst/>
                    </a:prstGeom>
                    <a:noFill/>
                    <a:ln>
                      <a:noFill/>
                    </a:ln>
                  </pic:spPr>
                </pic:pic>
              </a:graphicData>
            </a:graphic>
          </wp:inline>
        </w:drawing>
      </w:r>
      <w:r>
        <w:drawing>
          <wp:inline distT="0" distB="0" distL="114300" distR="114300">
            <wp:extent cx="1306830" cy="1925955"/>
            <wp:effectExtent l="0" t="0" r="3810" b="9525"/>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49"/>
                    <a:stretch>
                      <a:fillRect/>
                    </a:stretch>
                  </pic:blipFill>
                  <pic:spPr>
                    <a:xfrm>
                      <a:off x="0" y="0"/>
                      <a:ext cx="1306830" cy="1925955"/>
                    </a:xfrm>
                    <a:prstGeom prst="rect">
                      <a:avLst/>
                    </a:prstGeom>
                    <a:noFill/>
                    <a:ln>
                      <a:noFill/>
                    </a:ln>
                  </pic:spPr>
                </pic:pic>
              </a:graphicData>
            </a:graphic>
          </wp:inline>
        </w:drawing>
      </w:r>
    </w:p>
    <w:p w14:paraId="1E8A4B32">
      <w:pPr>
        <w:rPr>
          <w:rFonts w:hint="eastAsia"/>
        </w:rPr>
      </w:pPr>
      <w:r>
        <w:rPr>
          <w:rFonts w:hint="eastAsia"/>
          <w:b/>
          <w:bCs/>
        </w:rPr>
        <w:t>监测参数：</w:t>
      </w:r>
      <w:r>
        <w:rPr>
          <w:rFonts w:hint="eastAsia"/>
        </w:rPr>
        <w:t>pH值、浊度、</w:t>
      </w:r>
      <w:r>
        <w:rPr>
          <w:rFonts w:hint="eastAsia"/>
          <w:lang w:val="en-US" w:eastAsia="zh-CN"/>
        </w:rPr>
        <w:t>高锰酸盐、氨氮、大肠杆菌、生物毒性</w:t>
      </w:r>
    </w:p>
    <w:p w14:paraId="72492898">
      <w:pPr>
        <w:rPr>
          <w:rFonts w:hint="eastAsia"/>
          <w:b/>
          <w:bCs/>
        </w:rPr>
      </w:pPr>
      <w:r>
        <w:rPr>
          <w:rFonts w:hint="eastAsia"/>
          <w:b/>
          <w:bCs/>
        </w:rPr>
        <w:t>监测意义：</w:t>
      </w:r>
    </w:p>
    <w:p w14:paraId="134D0CD9">
      <w:pPr>
        <w:rPr>
          <w:rFonts w:hint="eastAsia"/>
        </w:rPr>
      </w:pPr>
      <w:r>
        <w:rPr>
          <w:rFonts w:hint="eastAsia"/>
        </w:rPr>
        <w:t>pH值：确保出水符合《生活饮用水卫生标准》（pH 6.5-8.5），避免管网二次污染；</w:t>
      </w:r>
    </w:p>
    <w:p w14:paraId="23C70805">
      <w:pPr>
        <w:rPr>
          <w:rFonts w:hint="eastAsia"/>
        </w:rPr>
      </w:pPr>
      <w:r>
        <w:rPr>
          <w:rFonts w:hint="eastAsia"/>
        </w:rPr>
        <w:t>浊度：验证过滤工艺效果，确保出水浊度≤1 NTU；</w:t>
      </w:r>
    </w:p>
    <w:p w14:paraId="18547C91">
      <w:pPr>
        <w:rPr>
          <w:rFonts w:hint="eastAsia"/>
        </w:rPr>
      </w:pPr>
      <w:r>
        <w:rPr>
          <w:rFonts w:hint="eastAsia"/>
        </w:rPr>
        <w:t>高锰酸盐：可评估有机物净化成效，防止超标，杜绝有害消毒副产物产生。</w:t>
      </w:r>
    </w:p>
    <w:p w14:paraId="17654B7B">
      <w:pPr>
        <w:rPr>
          <w:rFonts w:hint="eastAsia"/>
        </w:rPr>
      </w:pPr>
      <w:r>
        <w:rPr>
          <w:rFonts w:hint="eastAsia"/>
        </w:rPr>
        <w:t>氨氮：能掌握处理工艺对其去除效果，稳定余氯，防范水质二次污染。</w:t>
      </w:r>
    </w:p>
    <w:p w14:paraId="34E157A5">
      <w:pPr>
        <w:rPr>
          <w:rFonts w:hint="eastAsia"/>
        </w:rPr>
      </w:pPr>
      <w:r>
        <w:rPr>
          <w:rFonts w:hint="eastAsia"/>
        </w:rPr>
        <w:t>大肠杆菌：可确认微生物处理成果，防止粪便污染，保障居民用水卫生。</w:t>
      </w:r>
    </w:p>
    <w:p w14:paraId="7C890CA1">
      <w:pPr>
        <w:rPr>
          <w:rFonts w:hint="eastAsia"/>
        </w:rPr>
      </w:pPr>
      <w:r>
        <w:rPr>
          <w:rFonts w:hint="eastAsia"/>
        </w:rPr>
        <w:t>生物毒性：能排查隐匿毒物，补充常规检测，全方位筑牢饮水防线。</w:t>
      </w:r>
    </w:p>
    <w:p w14:paraId="19E18FB0">
      <w:pPr>
        <w:rPr>
          <w:rFonts w:hint="eastAsia" w:ascii="宋体" w:hAnsi="宋体" w:eastAsia="宋体" w:cs="宋体"/>
        </w:rPr>
      </w:pPr>
    </w:p>
    <w:p w14:paraId="3B7B8965">
      <w:pPr>
        <w:pStyle w:val="2"/>
        <w:rPr>
          <w:rFonts w:hint="eastAsia"/>
        </w:rPr>
      </w:pPr>
      <w:bookmarkStart w:id="20" w:name="_Toc25801"/>
      <w:bookmarkStart w:id="21" w:name="_Toc27010"/>
      <w:r>
        <w:rPr>
          <w:rFonts w:hint="eastAsia"/>
        </w:rPr>
        <w:t>设备寿命及维护</w:t>
      </w:r>
      <w:bookmarkEnd w:id="20"/>
      <w:bookmarkEnd w:id="21"/>
    </w:p>
    <w:p w14:paraId="0D52CE59">
      <w:pPr>
        <w:pStyle w:val="3"/>
        <w:rPr>
          <w:rFonts w:hint="eastAsia"/>
        </w:rPr>
      </w:pPr>
      <w:bookmarkStart w:id="22" w:name="_Toc21660"/>
      <w:r>
        <w:rPr>
          <w:rFonts w:hint="eastAsia"/>
        </w:rPr>
        <w:t>设备寿命周期与维护周期表</w:t>
      </w:r>
      <w:bookmarkEnd w:id="22"/>
    </w:p>
    <w:tbl>
      <w:tblPr>
        <w:tblStyle w:val="20"/>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39"/>
        <w:gridCol w:w="2839"/>
        <w:gridCol w:w="2841"/>
      </w:tblGrid>
      <w:tr w14:paraId="43702D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2E63A8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b/>
                <w:bCs/>
              </w:rPr>
            </w:pPr>
            <w:r>
              <w:rPr>
                <w:rFonts w:hint="eastAsia"/>
                <w:b/>
                <w:bCs/>
              </w:rPr>
              <w:t>设备名称</w:t>
            </w:r>
          </w:p>
        </w:tc>
        <w:tc>
          <w:tcPr>
            <w:tcW w:w="1666" w:type="pct"/>
            <w:vAlign w:val="center"/>
          </w:tcPr>
          <w:p w14:paraId="4046E9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b/>
                <w:bCs/>
              </w:rPr>
            </w:pPr>
            <w:r>
              <w:rPr>
                <w:rFonts w:hint="eastAsia"/>
                <w:b/>
                <w:bCs/>
              </w:rPr>
              <w:t>维护周期</w:t>
            </w:r>
          </w:p>
        </w:tc>
        <w:tc>
          <w:tcPr>
            <w:tcW w:w="1667" w:type="pct"/>
            <w:vAlign w:val="center"/>
          </w:tcPr>
          <w:p w14:paraId="7B88A00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b/>
                <w:bCs/>
              </w:rPr>
            </w:pPr>
            <w:r>
              <w:rPr>
                <w:rFonts w:hint="eastAsia"/>
                <w:b/>
                <w:bCs/>
              </w:rPr>
              <w:t>使用寿命</w:t>
            </w:r>
          </w:p>
        </w:tc>
      </w:tr>
      <w:tr w14:paraId="7FCB91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41910B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大肠杆菌在线分析仪</w:t>
            </w:r>
          </w:p>
        </w:tc>
        <w:tc>
          <w:tcPr>
            <w:tcW w:w="1666" w:type="pct"/>
            <w:vAlign w:val="center"/>
          </w:tcPr>
          <w:p w14:paraId="747DFE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1个月/次</w:t>
            </w:r>
          </w:p>
        </w:tc>
        <w:tc>
          <w:tcPr>
            <w:tcW w:w="1667" w:type="pct"/>
            <w:vAlign w:val="center"/>
          </w:tcPr>
          <w:p w14:paraId="209499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3-5年</w:t>
            </w:r>
          </w:p>
        </w:tc>
      </w:tr>
      <w:tr w14:paraId="557D21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3F8D14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生物毒性在线分析仪</w:t>
            </w:r>
          </w:p>
        </w:tc>
        <w:tc>
          <w:tcPr>
            <w:tcW w:w="1666" w:type="pct"/>
            <w:vAlign w:val="center"/>
          </w:tcPr>
          <w:p w14:paraId="2254C8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1个月/次</w:t>
            </w:r>
          </w:p>
        </w:tc>
        <w:tc>
          <w:tcPr>
            <w:tcW w:w="1667" w:type="pct"/>
            <w:vAlign w:val="center"/>
          </w:tcPr>
          <w:p w14:paraId="299508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3-5年</w:t>
            </w:r>
          </w:p>
        </w:tc>
      </w:tr>
      <w:tr w14:paraId="1003ED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3C7C6D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在线色度传感器</w:t>
            </w:r>
          </w:p>
        </w:tc>
        <w:tc>
          <w:tcPr>
            <w:tcW w:w="1666" w:type="pct"/>
            <w:vAlign w:val="center"/>
          </w:tcPr>
          <w:p w14:paraId="0C881E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3-4个月/次</w:t>
            </w:r>
          </w:p>
        </w:tc>
        <w:tc>
          <w:tcPr>
            <w:tcW w:w="1667" w:type="pct"/>
            <w:vAlign w:val="center"/>
          </w:tcPr>
          <w:p w14:paraId="5D0125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2-3年</w:t>
            </w:r>
          </w:p>
        </w:tc>
      </w:tr>
      <w:tr w14:paraId="6AA4F0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01B769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在线浊度传感器</w:t>
            </w:r>
          </w:p>
        </w:tc>
        <w:tc>
          <w:tcPr>
            <w:tcW w:w="1666" w:type="pct"/>
            <w:vAlign w:val="center"/>
          </w:tcPr>
          <w:p w14:paraId="744CA3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3-4个月/次</w:t>
            </w:r>
          </w:p>
        </w:tc>
        <w:tc>
          <w:tcPr>
            <w:tcW w:w="1667" w:type="pct"/>
            <w:vAlign w:val="center"/>
          </w:tcPr>
          <w:p w14:paraId="3B2DE4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2-3年</w:t>
            </w:r>
          </w:p>
        </w:tc>
      </w:tr>
      <w:tr w14:paraId="224784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37889A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在线PH传感器</w:t>
            </w:r>
          </w:p>
        </w:tc>
        <w:tc>
          <w:tcPr>
            <w:tcW w:w="1666" w:type="pct"/>
            <w:vAlign w:val="center"/>
          </w:tcPr>
          <w:p w14:paraId="4D345B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3-4个月/次</w:t>
            </w:r>
          </w:p>
        </w:tc>
        <w:tc>
          <w:tcPr>
            <w:tcW w:w="1667" w:type="pct"/>
            <w:vAlign w:val="center"/>
          </w:tcPr>
          <w:p w14:paraId="60097D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1年</w:t>
            </w:r>
          </w:p>
        </w:tc>
      </w:tr>
      <w:tr w14:paraId="0BBFDF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28F555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在线电导率传感器</w:t>
            </w:r>
          </w:p>
        </w:tc>
        <w:tc>
          <w:tcPr>
            <w:tcW w:w="1666" w:type="pct"/>
            <w:vAlign w:val="center"/>
          </w:tcPr>
          <w:p w14:paraId="3BD2E6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3-4个月/次</w:t>
            </w:r>
          </w:p>
        </w:tc>
        <w:tc>
          <w:tcPr>
            <w:tcW w:w="1667" w:type="pct"/>
            <w:vAlign w:val="center"/>
          </w:tcPr>
          <w:p w14:paraId="71CC26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2-3年</w:t>
            </w:r>
          </w:p>
        </w:tc>
      </w:tr>
      <w:tr w14:paraId="6E7F6A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1C4E09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在线硬度传感器</w:t>
            </w:r>
          </w:p>
        </w:tc>
        <w:tc>
          <w:tcPr>
            <w:tcW w:w="1666" w:type="pct"/>
            <w:vAlign w:val="center"/>
          </w:tcPr>
          <w:p w14:paraId="6B23CA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3-4个月/次</w:t>
            </w:r>
          </w:p>
        </w:tc>
        <w:tc>
          <w:tcPr>
            <w:tcW w:w="1667" w:type="pct"/>
            <w:vAlign w:val="center"/>
          </w:tcPr>
          <w:p w14:paraId="353072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半年</w:t>
            </w:r>
          </w:p>
        </w:tc>
      </w:tr>
      <w:tr w14:paraId="1CB9FE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073A70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在线硬度分析仪</w:t>
            </w:r>
          </w:p>
        </w:tc>
        <w:tc>
          <w:tcPr>
            <w:tcW w:w="1666" w:type="pct"/>
            <w:vAlign w:val="center"/>
          </w:tcPr>
          <w:p w14:paraId="49B6F4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1个月/次</w:t>
            </w:r>
          </w:p>
        </w:tc>
        <w:tc>
          <w:tcPr>
            <w:tcW w:w="1667" w:type="pct"/>
            <w:vAlign w:val="center"/>
          </w:tcPr>
          <w:p w14:paraId="256404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3-5年</w:t>
            </w:r>
          </w:p>
        </w:tc>
      </w:tr>
      <w:tr w14:paraId="6D25AD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11439F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在线氨氮传感器</w:t>
            </w:r>
          </w:p>
        </w:tc>
        <w:tc>
          <w:tcPr>
            <w:tcW w:w="1666" w:type="pct"/>
            <w:vAlign w:val="center"/>
          </w:tcPr>
          <w:p w14:paraId="75E3E3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3-4个月/次</w:t>
            </w:r>
          </w:p>
        </w:tc>
        <w:tc>
          <w:tcPr>
            <w:tcW w:w="1667" w:type="pct"/>
            <w:vAlign w:val="center"/>
          </w:tcPr>
          <w:p w14:paraId="7A2C11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半年</w:t>
            </w:r>
          </w:p>
        </w:tc>
      </w:tr>
      <w:tr w14:paraId="30E711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46AE5C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在线氨氮分析仪</w:t>
            </w:r>
          </w:p>
        </w:tc>
        <w:tc>
          <w:tcPr>
            <w:tcW w:w="1666" w:type="pct"/>
            <w:vAlign w:val="center"/>
          </w:tcPr>
          <w:p w14:paraId="2FBD48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1个月/次</w:t>
            </w:r>
          </w:p>
        </w:tc>
        <w:tc>
          <w:tcPr>
            <w:tcW w:w="1667" w:type="pct"/>
            <w:vAlign w:val="center"/>
          </w:tcPr>
          <w:p w14:paraId="60CDE6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3-5年</w:t>
            </w:r>
          </w:p>
        </w:tc>
      </w:tr>
      <w:tr w14:paraId="2B55BC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6" w:type="pct"/>
            <w:vAlign w:val="center"/>
          </w:tcPr>
          <w:p w14:paraId="7E7CC0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在线光学硝氮传感器</w:t>
            </w:r>
          </w:p>
        </w:tc>
        <w:tc>
          <w:tcPr>
            <w:tcW w:w="2839" w:type="dxa"/>
            <w:vAlign w:val="center"/>
          </w:tcPr>
          <w:p w14:paraId="6E5912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3-4个月/次</w:t>
            </w:r>
          </w:p>
        </w:tc>
        <w:tc>
          <w:tcPr>
            <w:tcW w:w="2841" w:type="dxa"/>
            <w:vAlign w:val="center"/>
          </w:tcPr>
          <w:p w14:paraId="7A77A9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2-3年</w:t>
            </w:r>
          </w:p>
        </w:tc>
      </w:tr>
      <w:tr w14:paraId="4B913F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504119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在线高锰酸盐指数分析仪</w:t>
            </w:r>
          </w:p>
        </w:tc>
        <w:tc>
          <w:tcPr>
            <w:tcW w:w="1666" w:type="pct"/>
            <w:vAlign w:val="center"/>
          </w:tcPr>
          <w:p w14:paraId="51A90D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1个月/次</w:t>
            </w:r>
          </w:p>
        </w:tc>
        <w:tc>
          <w:tcPr>
            <w:tcW w:w="1667" w:type="pct"/>
            <w:vAlign w:val="center"/>
          </w:tcPr>
          <w:p w14:paraId="721117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3-5年</w:t>
            </w:r>
          </w:p>
        </w:tc>
      </w:tr>
      <w:tr w14:paraId="7859D5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77DA4C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在线余氯传感器</w:t>
            </w:r>
          </w:p>
        </w:tc>
        <w:tc>
          <w:tcPr>
            <w:tcW w:w="1666" w:type="pct"/>
            <w:vAlign w:val="center"/>
          </w:tcPr>
          <w:p w14:paraId="26900C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3-4个月/次</w:t>
            </w:r>
          </w:p>
        </w:tc>
        <w:tc>
          <w:tcPr>
            <w:tcW w:w="1667" w:type="pct"/>
            <w:vAlign w:val="center"/>
          </w:tcPr>
          <w:p w14:paraId="3771D1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1年</w:t>
            </w:r>
          </w:p>
        </w:tc>
      </w:tr>
      <w:tr w14:paraId="4F4B01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3FC263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在线余氯分析仪</w:t>
            </w:r>
          </w:p>
        </w:tc>
        <w:tc>
          <w:tcPr>
            <w:tcW w:w="1666" w:type="pct"/>
            <w:vAlign w:val="center"/>
          </w:tcPr>
          <w:p w14:paraId="174D4F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1个月/次</w:t>
            </w:r>
          </w:p>
        </w:tc>
        <w:tc>
          <w:tcPr>
            <w:tcW w:w="1667" w:type="pct"/>
            <w:vAlign w:val="center"/>
          </w:tcPr>
          <w:p w14:paraId="110E0D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2-3年</w:t>
            </w:r>
          </w:p>
        </w:tc>
      </w:tr>
      <w:tr w14:paraId="5641F9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3FC1E3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在线二氧化氯传感器</w:t>
            </w:r>
          </w:p>
        </w:tc>
        <w:tc>
          <w:tcPr>
            <w:tcW w:w="1666" w:type="pct"/>
            <w:vAlign w:val="center"/>
          </w:tcPr>
          <w:p w14:paraId="193DF7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3-4个月/次</w:t>
            </w:r>
          </w:p>
        </w:tc>
        <w:tc>
          <w:tcPr>
            <w:tcW w:w="1667" w:type="pct"/>
            <w:vAlign w:val="center"/>
          </w:tcPr>
          <w:p w14:paraId="11BF0B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1年</w:t>
            </w:r>
          </w:p>
        </w:tc>
      </w:tr>
      <w:tr w14:paraId="5E7CDE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404C7B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在线臭氧传感器</w:t>
            </w:r>
          </w:p>
        </w:tc>
        <w:tc>
          <w:tcPr>
            <w:tcW w:w="1666" w:type="pct"/>
            <w:vAlign w:val="center"/>
          </w:tcPr>
          <w:p w14:paraId="091CE5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3-4个月/次</w:t>
            </w:r>
          </w:p>
        </w:tc>
        <w:tc>
          <w:tcPr>
            <w:tcW w:w="1667" w:type="pct"/>
            <w:vAlign w:val="center"/>
          </w:tcPr>
          <w:p w14:paraId="21490B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1年</w:t>
            </w:r>
          </w:p>
        </w:tc>
      </w:tr>
      <w:tr w14:paraId="02FD79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3BD3C7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sz w:val="21"/>
                <w:szCs w:val="21"/>
              </w:rPr>
              <w:t>在线全光谱多参数传感器</w:t>
            </w:r>
          </w:p>
        </w:tc>
        <w:tc>
          <w:tcPr>
            <w:tcW w:w="1666" w:type="pct"/>
            <w:shd w:val="clear" w:color="auto" w:fill="auto"/>
            <w:vAlign w:val="center"/>
          </w:tcPr>
          <w:p w14:paraId="3F22B5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3-4个月/次</w:t>
            </w:r>
          </w:p>
        </w:tc>
        <w:tc>
          <w:tcPr>
            <w:tcW w:w="1667" w:type="pct"/>
            <w:shd w:val="clear" w:color="auto" w:fill="auto"/>
            <w:vAlign w:val="center"/>
          </w:tcPr>
          <w:p w14:paraId="56DC65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2-3年</w:t>
            </w:r>
          </w:p>
        </w:tc>
      </w:tr>
      <w:tr w14:paraId="61D47E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5455A4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sz w:val="21"/>
                <w:szCs w:val="21"/>
              </w:rPr>
              <w:t>便携式多参数分析仪</w:t>
            </w:r>
          </w:p>
        </w:tc>
        <w:tc>
          <w:tcPr>
            <w:tcW w:w="1666" w:type="pct"/>
            <w:shd w:val="clear" w:color="auto" w:fill="auto"/>
            <w:vAlign w:val="center"/>
          </w:tcPr>
          <w:p w14:paraId="494D52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3-4个月/次</w:t>
            </w:r>
          </w:p>
        </w:tc>
        <w:tc>
          <w:tcPr>
            <w:tcW w:w="1667" w:type="pct"/>
            <w:shd w:val="clear" w:color="auto" w:fill="auto"/>
            <w:vAlign w:val="center"/>
          </w:tcPr>
          <w:p w14:paraId="09F154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2-3年</w:t>
            </w:r>
          </w:p>
        </w:tc>
      </w:tr>
      <w:tr w14:paraId="25952D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4C0971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电磁流量计</w:t>
            </w:r>
          </w:p>
        </w:tc>
        <w:tc>
          <w:tcPr>
            <w:tcW w:w="1666" w:type="pct"/>
            <w:vAlign w:val="center"/>
          </w:tcPr>
          <w:p w14:paraId="61DDA9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3-4个月/次</w:t>
            </w:r>
          </w:p>
        </w:tc>
        <w:tc>
          <w:tcPr>
            <w:tcW w:w="1667" w:type="pct"/>
            <w:vAlign w:val="center"/>
          </w:tcPr>
          <w:p w14:paraId="53CADE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3-5年</w:t>
            </w:r>
          </w:p>
        </w:tc>
      </w:tr>
      <w:tr w14:paraId="7ABF33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666" w:type="pct"/>
            <w:vAlign w:val="center"/>
          </w:tcPr>
          <w:p w14:paraId="2879C6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超声波液位计</w:t>
            </w:r>
          </w:p>
        </w:tc>
        <w:tc>
          <w:tcPr>
            <w:tcW w:w="1666" w:type="pct"/>
            <w:vAlign w:val="center"/>
          </w:tcPr>
          <w:p w14:paraId="24EFF5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6-8个月/次</w:t>
            </w:r>
          </w:p>
        </w:tc>
        <w:tc>
          <w:tcPr>
            <w:tcW w:w="1667" w:type="pct"/>
            <w:vAlign w:val="center"/>
          </w:tcPr>
          <w:p w14:paraId="33F639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3-5年</w:t>
            </w:r>
          </w:p>
        </w:tc>
      </w:tr>
      <w:tr w14:paraId="38D62E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5D58AF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eastAsia="宋体"/>
                <w:lang w:val="en-US" w:eastAsia="zh-CN"/>
              </w:rPr>
            </w:pPr>
            <w:r>
              <w:rPr>
                <w:rFonts w:hint="eastAsia"/>
                <w:lang w:val="en-US" w:eastAsia="zh-CN"/>
              </w:rPr>
              <w:t>污泥界面仪</w:t>
            </w:r>
          </w:p>
        </w:tc>
        <w:tc>
          <w:tcPr>
            <w:tcW w:w="1666" w:type="pct"/>
            <w:vAlign w:val="center"/>
          </w:tcPr>
          <w:p w14:paraId="3FA00B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6-8个月/次</w:t>
            </w:r>
          </w:p>
        </w:tc>
        <w:tc>
          <w:tcPr>
            <w:tcW w:w="1667" w:type="pct"/>
            <w:vAlign w:val="center"/>
          </w:tcPr>
          <w:p w14:paraId="72E393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3-5年</w:t>
            </w:r>
          </w:p>
        </w:tc>
      </w:tr>
    </w:tbl>
    <w:p w14:paraId="3788AA6A">
      <w:pPr>
        <w:ind w:firstLine="480"/>
        <w:rPr>
          <w:rFonts w:hint="eastAsia"/>
        </w:rPr>
      </w:pPr>
    </w:p>
    <w:p w14:paraId="63A5D5AD">
      <w:pPr>
        <w:pStyle w:val="3"/>
        <w:rPr>
          <w:rFonts w:hint="eastAsia"/>
        </w:rPr>
      </w:pPr>
      <w:bookmarkStart w:id="23" w:name="_Toc13940"/>
      <w:r>
        <w:rPr>
          <w:rFonts w:hint="eastAsia"/>
          <w:lang w:val="en-US" w:eastAsia="zh-CN"/>
        </w:rPr>
        <w:t>设备</w:t>
      </w:r>
      <w:r>
        <w:rPr>
          <w:rFonts w:hint="eastAsia"/>
        </w:rPr>
        <w:t>日常维护</w:t>
      </w:r>
      <w:bookmarkEnd w:id="23"/>
    </w:p>
    <w:p w14:paraId="52C67ED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大肠杆菌在线分析仪</w:t>
      </w:r>
      <w:r>
        <w:rPr>
          <w:rFonts w:hint="eastAsia"/>
          <w:b/>
          <w:bCs/>
          <w:lang w:eastAsia="zh-CN"/>
        </w:rPr>
        <w:t>：</w:t>
      </w:r>
    </w:p>
    <w:p w14:paraId="78F33E20">
      <w:pPr>
        <w:rPr>
          <w:rFonts w:hint="eastAsia"/>
          <w:b w:val="0"/>
          <w:bCs w:val="0"/>
          <w:lang w:eastAsia="zh-CN"/>
        </w:rPr>
      </w:pPr>
      <w:r>
        <w:rPr>
          <w:rFonts w:hint="eastAsia"/>
          <w:b w:val="0"/>
          <w:bCs w:val="0"/>
          <w:lang w:eastAsia="zh-CN"/>
        </w:rPr>
        <w:t>（</w:t>
      </w:r>
      <w:r>
        <w:rPr>
          <w:rFonts w:hint="eastAsia"/>
          <w:b w:val="0"/>
          <w:bCs w:val="0"/>
          <w:lang w:val="en-US" w:eastAsia="zh-CN"/>
        </w:rPr>
        <w:t>1</w:t>
      </w:r>
      <w:r>
        <w:rPr>
          <w:rFonts w:hint="eastAsia"/>
          <w:b w:val="0"/>
          <w:bCs w:val="0"/>
          <w:lang w:eastAsia="zh-CN"/>
        </w:rPr>
        <w:t xml:space="preserve">）检查酶底物试剂余量及有效期，避免试剂结块或污染。  </w:t>
      </w:r>
    </w:p>
    <w:p w14:paraId="566820BC">
      <w:pPr>
        <w:rPr>
          <w:rFonts w:hint="eastAsia"/>
          <w:b w:val="0"/>
          <w:bCs w:val="0"/>
          <w:lang w:eastAsia="zh-CN"/>
        </w:rPr>
      </w:pPr>
      <w:r>
        <w:rPr>
          <w:rFonts w:hint="eastAsia"/>
          <w:b w:val="0"/>
          <w:bCs w:val="0"/>
          <w:lang w:eastAsia="zh-CN"/>
        </w:rPr>
        <w:t>（</w:t>
      </w:r>
      <w:r>
        <w:rPr>
          <w:rFonts w:hint="eastAsia"/>
          <w:b w:val="0"/>
          <w:bCs w:val="0"/>
          <w:lang w:val="en-US" w:eastAsia="zh-CN"/>
        </w:rPr>
        <w:t>2</w:t>
      </w:r>
      <w:r>
        <w:rPr>
          <w:rFonts w:hint="eastAsia"/>
          <w:b w:val="0"/>
          <w:bCs w:val="0"/>
          <w:lang w:eastAsia="zh-CN"/>
        </w:rPr>
        <w:t xml:space="preserve">）监测培养仓温度（通常37℃±1℃），确保恒温条件。  </w:t>
      </w:r>
    </w:p>
    <w:p w14:paraId="0F72F730">
      <w:pPr>
        <w:rPr>
          <w:rFonts w:hint="eastAsia"/>
          <w:b w:val="0"/>
          <w:bCs w:val="0"/>
          <w:lang w:eastAsia="zh-CN"/>
        </w:rPr>
      </w:pPr>
      <w:r>
        <w:rPr>
          <w:rFonts w:hint="eastAsia"/>
          <w:b w:val="0"/>
          <w:bCs w:val="0"/>
          <w:lang w:eastAsia="zh-CN"/>
        </w:rPr>
        <w:t>（</w:t>
      </w:r>
      <w:r>
        <w:rPr>
          <w:rFonts w:hint="eastAsia"/>
          <w:b w:val="0"/>
          <w:bCs w:val="0"/>
          <w:lang w:val="en-US" w:eastAsia="zh-CN"/>
        </w:rPr>
        <w:t>3</w:t>
      </w:r>
      <w:r>
        <w:rPr>
          <w:rFonts w:hint="eastAsia"/>
          <w:b w:val="0"/>
          <w:bCs w:val="0"/>
          <w:lang w:eastAsia="zh-CN"/>
        </w:rPr>
        <w:t xml:space="preserve">）用无菌水冲洗进样管路，防止生物膜堵塞。  </w:t>
      </w:r>
    </w:p>
    <w:p w14:paraId="2596D9E0">
      <w:pPr>
        <w:rPr>
          <w:rFonts w:hint="eastAsia"/>
          <w:b w:val="0"/>
          <w:bCs w:val="0"/>
          <w:lang w:eastAsia="zh-CN"/>
        </w:rPr>
      </w:pPr>
      <w:r>
        <w:rPr>
          <w:rFonts w:hint="eastAsia"/>
          <w:b w:val="0"/>
          <w:bCs w:val="0"/>
          <w:lang w:eastAsia="zh-CN"/>
        </w:rPr>
        <w:t>（</w:t>
      </w:r>
      <w:r>
        <w:rPr>
          <w:rFonts w:hint="eastAsia"/>
          <w:b w:val="0"/>
          <w:bCs w:val="0"/>
          <w:lang w:val="en-US" w:eastAsia="zh-CN"/>
        </w:rPr>
        <w:t>4</w:t>
      </w:r>
      <w:r>
        <w:rPr>
          <w:rFonts w:hint="eastAsia"/>
          <w:b w:val="0"/>
          <w:bCs w:val="0"/>
          <w:lang w:eastAsia="zh-CN"/>
        </w:rPr>
        <w:t xml:space="preserve">）用阴性/阳性标准样验证检测结果准确性。  </w:t>
      </w:r>
    </w:p>
    <w:p w14:paraId="708B2B09">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生物毒性在线分析仪</w:t>
      </w:r>
      <w:r>
        <w:rPr>
          <w:rFonts w:hint="eastAsia"/>
          <w:b/>
          <w:bCs/>
          <w:lang w:eastAsia="zh-CN"/>
        </w:rPr>
        <w:t>：</w:t>
      </w:r>
    </w:p>
    <w:p w14:paraId="01FC35CA">
      <w:pPr>
        <w:rPr>
          <w:rFonts w:hint="eastAsia"/>
          <w:b w:val="0"/>
          <w:bCs w:val="0"/>
          <w:lang w:eastAsia="zh-CN"/>
        </w:rPr>
      </w:pPr>
      <w:r>
        <w:rPr>
          <w:rFonts w:hint="eastAsia"/>
          <w:b w:val="0"/>
          <w:bCs w:val="0"/>
          <w:lang w:eastAsia="zh-CN"/>
        </w:rPr>
        <w:t xml:space="preserve">（1）补充发光细菌冻干粉，保存于-20℃冰箱备用。  </w:t>
      </w:r>
    </w:p>
    <w:p w14:paraId="5AF29EF2">
      <w:pPr>
        <w:rPr>
          <w:rFonts w:hint="eastAsia"/>
          <w:b w:val="0"/>
          <w:bCs w:val="0"/>
          <w:lang w:eastAsia="zh-CN"/>
        </w:rPr>
      </w:pPr>
      <w:r>
        <w:rPr>
          <w:rFonts w:hint="eastAsia"/>
          <w:b w:val="0"/>
          <w:bCs w:val="0"/>
          <w:lang w:eastAsia="zh-CN"/>
        </w:rPr>
        <w:t xml:space="preserve">（2）纯水清洗反应池，避免残留抑制发光。  </w:t>
      </w:r>
    </w:p>
    <w:p w14:paraId="04DAA663">
      <w:pPr>
        <w:rPr>
          <w:rFonts w:hint="eastAsia"/>
          <w:b w:val="0"/>
          <w:bCs w:val="0"/>
          <w:lang w:eastAsia="zh-CN"/>
        </w:rPr>
      </w:pPr>
      <w:r>
        <w:rPr>
          <w:rFonts w:hint="eastAsia"/>
          <w:b w:val="0"/>
          <w:bCs w:val="0"/>
          <w:lang w:eastAsia="zh-CN"/>
        </w:rPr>
        <w:t xml:space="preserve">（3）开机后执行基线校准，确保发光值稳定。  </w:t>
      </w:r>
    </w:p>
    <w:p w14:paraId="54F434F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在线色度传感器</w:t>
      </w:r>
      <w:r>
        <w:rPr>
          <w:rFonts w:hint="eastAsia"/>
          <w:b/>
          <w:bCs/>
          <w:lang w:eastAsia="zh-CN"/>
        </w:rPr>
        <w:t>：</w:t>
      </w:r>
    </w:p>
    <w:p w14:paraId="2BD08F65">
      <w:pPr>
        <w:rPr>
          <w:rFonts w:hint="eastAsia"/>
          <w:b w:val="0"/>
          <w:bCs w:val="0"/>
          <w:lang w:eastAsia="zh-CN"/>
        </w:rPr>
      </w:pPr>
      <w:r>
        <w:rPr>
          <w:rFonts w:hint="eastAsia"/>
          <w:b w:val="0"/>
          <w:bCs w:val="0"/>
          <w:lang w:eastAsia="zh-CN"/>
        </w:rPr>
        <w:t>（1）外表面清洁用自来水清洗传感器外表面，有碎屑用湿润软布擦拭，顽固污垢可用加家用洗涤液的自来水清洗。</w:t>
      </w:r>
    </w:p>
    <w:p w14:paraId="10DB57CF">
      <w:pPr>
        <w:rPr>
          <w:rFonts w:hint="eastAsia"/>
          <w:b w:val="0"/>
          <w:bCs w:val="0"/>
          <w:lang w:eastAsia="zh-CN"/>
        </w:rPr>
      </w:pPr>
      <w:r>
        <w:rPr>
          <w:rFonts w:hint="eastAsia"/>
          <w:b w:val="0"/>
          <w:bCs w:val="0"/>
          <w:lang w:eastAsia="zh-CN"/>
        </w:rPr>
        <w:t>（2）检查线缆是否绷紧，防止内部电线断裂影响传感器工作。</w:t>
      </w:r>
    </w:p>
    <w:p w14:paraId="5BDC6513">
      <w:pPr>
        <w:rPr>
          <w:rFonts w:hint="eastAsia"/>
          <w:b w:val="0"/>
          <w:bCs w:val="0"/>
          <w:lang w:eastAsia="zh-CN"/>
        </w:rPr>
      </w:pPr>
      <w:r>
        <w:rPr>
          <w:rFonts w:hint="eastAsia"/>
          <w:b w:val="0"/>
          <w:bCs w:val="0"/>
          <w:lang w:eastAsia="zh-CN"/>
        </w:rPr>
        <w:t>（3）查看测量窗口是否脏污，清洁刷是否正常及有无损坏。</w:t>
      </w:r>
    </w:p>
    <w:p w14:paraId="71011D58">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在线浊度传感器</w:t>
      </w:r>
      <w:r>
        <w:rPr>
          <w:rFonts w:hint="eastAsia"/>
          <w:b/>
          <w:bCs/>
          <w:lang w:eastAsia="zh-CN"/>
        </w:rPr>
        <w:t>：</w:t>
      </w:r>
    </w:p>
    <w:p w14:paraId="6E542AFA">
      <w:pPr>
        <w:rPr>
          <w:rFonts w:hint="eastAsia"/>
          <w:b w:val="0"/>
          <w:bCs w:val="0"/>
          <w:lang w:eastAsia="zh-CN"/>
        </w:rPr>
      </w:pPr>
      <w:r>
        <w:rPr>
          <w:rFonts w:hint="eastAsia"/>
          <w:b w:val="0"/>
          <w:bCs w:val="0"/>
          <w:lang w:eastAsia="zh-CN"/>
        </w:rPr>
        <w:t xml:space="preserve">（1）外表面清洁自来水冲洗表面，软布擦拭残留碎屑，顽固污垢可用稀释家用洗涤液清洗。  </w:t>
      </w:r>
    </w:p>
    <w:p w14:paraId="398D667A">
      <w:pPr>
        <w:rPr>
          <w:rFonts w:hint="eastAsia"/>
          <w:b w:val="0"/>
          <w:bCs w:val="0"/>
          <w:lang w:eastAsia="zh-CN"/>
        </w:rPr>
      </w:pPr>
      <w:r>
        <w:rPr>
          <w:rFonts w:hint="eastAsia"/>
          <w:b w:val="0"/>
          <w:bCs w:val="0"/>
          <w:lang w:eastAsia="zh-CN"/>
        </w:rPr>
        <w:t xml:space="preserve">（2）线缆检查确保线缆松弛无绷紧，避免内部断裂导致故障。  </w:t>
      </w:r>
    </w:p>
    <w:p w14:paraId="087CDDC9">
      <w:pPr>
        <w:rPr>
          <w:rFonts w:hint="eastAsia"/>
          <w:b w:val="0"/>
          <w:bCs w:val="0"/>
          <w:lang w:eastAsia="zh-CN"/>
        </w:rPr>
      </w:pPr>
      <w:r>
        <w:rPr>
          <w:rFonts w:hint="eastAsia"/>
          <w:b w:val="0"/>
          <w:bCs w:val="0"/>
          <w:lang w:eastAsia="zh-CN"/>
        </w:rPr>
        <w:t xml:space="preserve">（3）测量窗口维护检查测量窗口是否脏污，清洁刷是否正常工作。  </w:t>
      </w:r>
    </w:p>
    <w:p w14:paraId="03F2985A">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在线PH传感器</w:t>
      </w:r>
      <w:r>
        <w:rPr>
          <w:rFonts w:hint="eastAsia"/>
          <w:b/>
          <w:bCs/>
          <w:lang w:eastAsia="zh-CN"/>
        </w:rPr>
        <w:t>：</w:t>
      </w:r>
    </w:p>
    <w:p w14:paraId="2516CE02">
      <w:pPr>
        <w:rPr>
          <w:rFonts w:hint="eastAsia"/>
          <w:b w:val="0"/>
          <w:bCs w:val="0"/>
          <w:lang w:eastAsia="zh-CN"/>
        </w:rPr>
      </w:pPr>
      <w:r>
        <w:rPr>
          <w:rFonts w:hint="eastAsia"/>
          <w:b w:val="0"/>
          <w:bCs w:val="0"/>
          <w:lang w:eastAsia="zh-CN"/>
        </w:rPr>
        <w:t>（1）测量前用蒸馏水洗净并擦干传感器，插入被测液1/3深度，防杂质污染。</w:t>
      </w:r>
    </w:p>
    <w:p w14:paraId="28A20722">
      <w:pPr>
        <w:rPr>
          <w:rFonts w:hint="eastAsia"/>
          <w:b w:val="0"/>
          <w:bCs w:val="0"/>
          <w:lang w:eastAsia="zh-CN"/>
        </w:rPr>
      </w:pPr>
      <w:r>
        <w:rPr>
          <w:rFonts w:hint="eastAsia"/>
          <w:b w:val="0"/>
          <w:bCs w:val="0"/>
          <w:lang w:eastAsia="zh-CN"/>
        </w:rPr>
        <w:t>（2）闲置保养，洗净后浸泡于3mol/L氯化钾溶液中（保护套或容器），维持电极性能。</w:t>
      </w:r>
    </w:p>
    <w:p w14:paraId="60C0071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在线电导率传感器</w:t>
      </w:r>
      <w:r>
        <w:rPr>
          <w:rFonts w:hint="eastAsia"/>
          <w:b/>
          <w:bCs/>
          <w:lang w:eastAsia="zh-CN"/>
        </w:rPr>
        <w:t>：</w:t>
      </w:r>
    </w:p>
    <w:p w14:paraId="123065FD">
      <w:pPr>
        <w:rPr>
          <w:rFonts w:hint="eastAsia"/>
          <w:b w:val="0"/>
          <w:bCs w:val="0"/>
          <w:lang w:eastAsia="zh-CN"/>
        </w:rPr>
      </w:pPr>
      <w:r>
        <w:rPr>
          <w:rFonts w:hint="eastAsia"/>
          <w:b w:val="0"/>
          <w:bCs w:val="0"/>
          <w:lang w:eastAsia="zh-CN"/>
        </w:rPr>
        <w:t xml:space="preserve">（1）用软毛刷清除附着物（防划伤），蒸馏水洗净后校准。  </w:t>
      </w:r>
    </w:p>
    <w:p w14:paraId="12EF5C8D">
      <w:pPr>
        <w:rPr>
          <w:rFonts w:hint="eastAsia"/>
          <w:b w:val="0"/>
          <w:bCs w:val="0"/>
          <w:lang w:eastAsia="zh-CN"/>
        </w:rPr>
      </w:pPr>
      <w:r>
        <w:rPr>
          <w:rFonts w:hint="eastAsia"/>
          <w:b w:val="0"/>
          <w:bCs w:val="0"/>
          <w:lang w:eastAsia="zh-CN"/>
        </w:rPr>
        <w:t>（2）根据工况调整校准频率，确保测量准确性。</w:t>
      </w:r>
    </w:p>
    <w:p w14:paraId="34A12A2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在线硬度传感器</w:t>
      </w:r>
      <w:r>
        <w:rPr>
          <w:rFonts w:hint="eastAsia"/>
          <w:b/>
          <w:bCs/>
          <w:lang w:eastAsia="zh-CN"/>
        </w:rPr>
        <w:t>：</w:t>
      </w:r>
    </w:p>
    <w:p w14:paraId="5A23EDD1">
      <w:pPr>
        <w:rPr>
          <w:rFonts w:hint="eastAsia"/>
          <w:b w:val="0"/>
          <w:bCs w:val="0"/>
          <w:lang w:eastAsia="zh-CN"/>
        </w:rPr>
      </w:pPr>
      <w:r>
        <w:rPr>
          <w:rFonts w:hint="eastAsia"/>
          <w:b w:val="0"/>
          <w:bCs w:val="0"/>
          <w:lang w:eastAsia="zh-CN"/>
        </w:rPr>
        <w:t>（1）测试前，电极在自来水中通电浸泡48小时，活化后在去离子水中洗净。</w:t>
      </w:r>
    </w:p>
    <w:p w14:paraId="131887FE">
      <w:pPr>
        <w:rPr>
          <w:rFonts w:hint="eastAsia"/>
          <w:b w:val="0"/>
          <w:bCs w:val="0"/>
          <w:lang w:eastAsia="zh-CN"/>
        </w:rPr>
      </w:pPr>
      <w:r>
        <w:rPr>
          <w:rFonts w:hint="eastAsia"/>
          <w:b w:val="0"/>
          <w:bCs w:val="0"/>
          <w:lang w:eastAsia="zh-CN"/>
        </w:rPr>
        <w:t>（2）电极若长期（两周以上）不使用，需干燥储存，感应元件套入保护帽。</w:t>
      </w:r>
    </w:p>
    <w:p w14:paraId="62D8B767">
      <w:pPr>
        <w:rPr>
          <w:rFonts w:hint="eastAsia"/>
          <w:b w:val="0"/>
          <w:bCs w:val="0"/>
          <w:lang w:eastAsia="zh-CN"/>
        </w:rPr>
      </w:pPr>
      <w:r>
        <w:rPr>
          <w:rFonts w:hint="eastAsia"/>
          <w:b w:val="0"/>
          <w:bCs w:val="0"/>
          <w:lang w:eastAsia="zh-CN"/>
        </w:rPr>
        <w:t>（3）检查接线端子的干燥情况，有沾污时用无水酒精擦拭并吹干。</w:t>
      </w:r>
    </w:p>
    <w:p w14:paraId="04A1FEE2">
      <w:pPr>
        <w:rPr>
          <w:rFonts w:hint="eastAsia"/>
          <w:b w:val="0"/>
          <w:bCs w:val="0"/>
          <w:lang w:eastAsia="zh-CN"/>
        </w:rPr>
      </w:pPr>
      <w:r>
        <w:rPr>
          <w:rFonts w:hint="eastAsia"/>
          <w:b w:val="0"/>
          <w:bCs w:val="0"/>
          <w:lang w:eastAsia="zh-CN"/>
        </w:rPr>
        <w:t>（3）使用久的电极，若PVC膜半透明或有沉积物，用蒸馏水（或去离子水）冲洗。</w:t>
      </w:r>
    </w:p>
    <w:p w14:paraId="6E41A767">
      <w:pPr>
        <w:rPr>
          <w:rFonts w:hint="eastAsia"/>
          <w:b w:val="0"/>
          <w:bCs w:val="0"/>
          <w:lang w:eastAsia="zh-CN"/>
        </w:rPr>
      </w:pPr>
      <w:r>
        <w:rPr>
          <w:rFonts w:hint="eastAsia"/>
          <w:b w:val="0"/>
          <w:bCs w:val="0"/>
          <w:lang w:eastAsia="zh-CN"/>
        </w:rPr>
        <w:t>（4）电极使用久出现测量误差，须进行校正操作。</w:t>
      </w:r>
    </w:p>
    <w:p w14:paraId="03EE5C38">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在线硬度分析仪</w:t>
      </w:r>
      <w:r>
        <w:rPr>
          <w:rFonts w:hint="eastAsia"/>
          <w:b/>
          <w:bCs/>
          <w:lang w:eastAsia="zh-CN"/>
        </w:rPr>
        <w:t>：</w:t>
      </w:r>
    </w:p>
    <w:p w14:paraId="1E5F006B">
      <w:pPr>
        <w:rPr>
          <w:rFonts w:hint="eastAsia"/>
          <w:b w:val="0"/>
          <w:bCs w:val="0"/>
          <w:lang w:eastAsia="zh-CN"/>
        </w:rPr>
      </w:pPr>
      <w:r>
        <w:rPr>
          <w:rFonts w:hint="eastAsia"/>
          <w:b w:val="0"/>
          <w:bCs w:val="0"/>
          <w:lang w:eastAsia="zh-CN"/>
        </w:rPr>
        <w:t xml:space="preserve">（1）检查蠕动泵管是否老化，每3个月更换一次。  </w:t>
      </w:r>
    </w:p>
    <w:p w14:paraId="1D2B8434">
      <w:pPr>
        <w:rPr>
          <w:rFonts w:hint="eastAsia"/>
          <w:b w:val="0"/>
          <w:bCs w:val="0"/>
          <w:lang w:eastAsia="zh-CN"/>
        </w:rPr>
      </w:pPr>
      <w:r>
        <w:rPr>
          <w:rFonts w:hint="eastAsia"/>
          <w:b w:val="0"/>
          <w:bCs w:val="0"/>
          <w:lang w:eastAsia="zh-CN"/>
        </w:rPr>
        <w:t xml:space="preserve">（2）用软布擦拭比色皿，避免划痕或污渍影响吸光度。  </w:t>
      </w:r>
    </w:p>
    <w:p w14:paraId="4A0DEF38">
      <w:pPr>
        <w:rPr>
          <w:rFonts w:hint="eastAsia"/>
          <w:b w:val="0"/>
          <w:bCs w:val="0"/>
          <w:lang w:eastAsia="zh-CN"/>
        </w:rPr>
      </w:pPr>
      <w:r>
        <w:rPr>
          <w:rFonts w:hint="eastAsia"/>
          <w:b w:val="0"/>
          <w:bCs w:val="0"/>
          <w:lang w:eastAsia="zh-CN"/>
        </w:rPr>
        <w:t xml:space="preserve">（3）更换EDTA滴定液和缓冲溶液，防止失效。  </w:t>
      </w:r>
    </w:p>
    <w:p w14:paraId="52FD994E">
      <w:pPr>
        <w:rPr>
          <w:rFonts w:hint="eastAsia"/>
          <w:b w:val="0"/>
          <w:bCs w:val="0"/>
          <w:lang w:eastAsia="zh-CN"/>
        </w:rPr>
      </w:pPr>
      <w:r>
        <w:rPr>
          <w:rFonts w:hint="eastAsia"/>
          <w:b w:val="0"/>
          <w:bCs w:val="0"/>
          <w:lang w:eastAsia="zh-CN"/>
        </w:rPr>
        <w:t>（4）用已知硬度标准液校准，误差＞5%时重新标定。</w:t>
      </w:r>
    </w:p>
    <w:p w14:paraId="538A043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在线氨氮传感器</w:t>
      </w:r>
      <w:r>
        <w:rPr>
          <w:rFonts w:hint="eastAsia"/>
          <w:b/>
          <w:bCs/>
          <w:lang w:eastAsia="zh-CN"/>
        </w:rPr>
        <w:t>：</w:t>
      </w:r>
    </w:p>
    <w:p w14:paraId="4C957267">
      <w:pPr>
        <w:rPr>
          <w:rFonts w:hint="eastAsia"/>
          <w:b w:val="0"/>
          <w:bCs w:val="0"/>
          <w:lang w:eastAsia="zh-CN"/>
        </w:rPr>
      </w:pPr>
      <w:r>
        <w:rPr>
          <w:rFonts w:hint="eastAsia"/>
          <w:b w:val="0"/>
          <w:bCs w:val="0"/>
          <w:lang w:eastAsia="zh-CN"/>
        </w:rPr>
        <w:t>（1）摘掉电极保护套，在清水中浸泡2小时活化，去离子水洗净后测试，初次用需在清水中泡30分钟以上、12小时以内。</w:t>
      </w:r>
    </w:p>
    <w:p w14:paraId="72236911">
      <w:pPr>
        <w:rPr>
          <w:rFonts w:hint="eastAsia"/>
          <w:b w:val="0"/>
          <w:bCs w:val="0"/>
          <w:lang w:eastAsia="zh-CN"/>
        </w:rPr>
      </w:pPr>
      <w:r>
        <w:rPr>
          <w:rFonts w:hint="eastAsia"/>
          <w:b w:val="0"/>
          <w:bCs w:val="0"/>
          <w:lang w:eastAsia="zh-CN"/>
        </w:rPr>
        <w:t>（2）长期（超两周）不用干燥储存，套上保护帽；短期不用放清水中浸泡；几天不用用含保护液外壳保存，下次用前清水泡30分钟以上。</w:t>
      </w:r>
    </w:p>
    <w:p w14:paraId="705A9D48">
      <w:pPr>
        <w:rPr>
          <w:rFonts w:hint="eastAsia"/>
          <w:b w:val="0"/>
          <w:bCs w:val="0"/>
          <w:lang w:eastAsia="zh-CN"/>
        </w:rPr>
      </w:pPr>
      <w:r>
        <w:rPr>
          <w:rFonts w:hint="eastAsia"/>
          <w:b w:val="0"/>
          <w:bCs w:val="0"/>
          <w:lang w:eastAsia="zh-CN"/>
        </w:rPr>
        <w:t>（3）检查接线端子干燥情况，沾污时用无水酒精擦拭吹干。</w:t>
      </w:r>
    </w:p>
    <w:p w14:paraId="5E3C8F29">
      <w:pPr>
        <w:rPr>
          <w:rFonts w:hint="eastAsia"/>
          <w:b w:val="0"/>
          <w:bCs w:val="0"/>
          <w:lang w:eastAsia="zh-CN"/>
        </w:rPr>
      </w:pPr>
      <w:r>
        <w:rPr>
          <w:rFonts w:hint="eastAsia"/>
          <w:b w:val="0"/>
          <w:bCs w:val="0"/>
          <w:lang w:eastAsia="zh-CN"/>
        </w:rPr>
        <w:t>（4）PVC膜半透明或有沉积物，用蒸馏水（或去离子水）冲洗。</w:t>
      </w:r>
    </w:p>
    <w:p w14:paraId="7CD3206B">
      <w:pPr>
        <w:rPr>
          <w:rFonts w:hint="eastAsia"/>
          <w:b w:val="0"/>
          <w:bCs w:val="0"/>
          <w:lang w:eastAsia="zh-CN"/>
        </w:rPr>
      </w:pPr>
      <w:r>
        <w:rPr>
          <w:rFonts w:hint="eastAsia"/>
          <w:b w:val="0"/>
          <w:bCs w:val="0"/>
          <w:lang w:eastAsia="zh-CN"/>
        </w:rPr>
        <w:t>（5）电极使用久出现测量误差，须进行校正。</w:t>
      </w:r>
    </w:p>
    <w:p w14:paraId="7C68B262">
      <w:pPr>
        <w:rPr>
          <w:rFonts w:hint="eastAsia"/>
          <w:b w:val="0"/>
          <w:bCs w:val="0"/>
          <w:lang w:eastAsia="zh-CN"/>
        </w:rPr>
      </w:pPr>
      <w:r>
        <w:rPr>
          <w:rFonts w:hint="eastAsia"/>
          <w:b w:val="0"/>
          <w:bCs w:val="0"/>
          <w:lang w:eastAsia="zh-CN"/>
        </w:rPr>
        <w:t>（6）校准时放校准液中轻晃、静置，待读数稳定（约5分钟）再校准。</w:t>
      </w:r>
    </w:p>
    <w:p w14:paraId="5163B919">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在线氨氮分析仪</w:t>
      </w:r>
      <w:r>
        <w:rPr>
          <w:rFonts w:hint="eastAsia"/>
          <w:b/>
          <w:bCs/>
          <w:lang w:eastAsia="zh-CN"/>
        </w:rPr>
        <w:t>：</w:t>
      </w:r>
    </w:p>
    <w:p w14:paraId="3D920A1F">
      <w:pPr>
        <w:rPr>
          <w:rFonts w:hint="eastAsia"/>
          <w:b w:val="0"/>
          <w:bCs w:val="0"/>
          <w:lang w:eastAsia="zh-CN"/>
        </w:rPr>
      </w:pPr>
      <w:r>
        <w:rPr>
          <w:rFonts w:hint="eastAsia"/>
          <w:b w:val="0"/>
          <w:bCs w:val="0"/>
          <w:lang w:eastAsia="zh-CN"/>
        </w:rPr>
        <w:t xml:space="preserve">（1）检查水杨酸钠、次氯酸盐等试剂是否变色或沉淀。  </w:t>
      </w:r>
    </w:p>
    <w:p w14:paraId="3CB3C8C9">
      <w:pPr>
        <w:rPr>
          <w:rFonts w:hint="eastAsia"/>
          <w:b w:val="0"/>
          <w:bCs w:val="0"/>
          <w:lang w:eastAsia="zh-CN"/>
        </w:rPr>
      </w:pPr>
      <w:r>
        <w:rPr>
          <w:rFonts w:hint="eastAsia"/>
          <w:b w:val="0"/>
          <w:bCs w:val="0"/>
          <w:lang w:eastAsia="zh-CN"/>
        </w:rPr>
        <w:t xml:space="preserve">（2）清洁比色皿及光源窗口，确保透光率。  </w:t>
      </w:r>
    </w:p>
    <w:p w14:paraId="1B221248">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在线光学硝氮传感器</w:t>
      </w:r>
      <w:r>
        <w:rPr>
          <w:rFonts w:hint="eastAsia"/>
          <w:b/>
          <w:bCs/>
          <w:lang w:eastAsia="zh-CN"/>
        </w:rPr>
        <w:t>：</w:t>
      </w:r>
    </w:p>
    <w:p w14:paraId="460A004D">
      <w:pPr>
        <w:rPr>
          <w:rFonts w:hint="eastAsia"/>
          <w:b w:val="0"/>
          <w:bCs w:val="0"/>
          <w:lang w:eastAsia="zh-CN"/>
        </w:rPr>
      </w:pPr>
      <w:r>
        <w:rPr>
          <w:rFonts w:hint="eastAsia"/>
          <w:b w:val="0"/>
          <w:bCs w:val="0"/>
          <w:lang w:eastAsia="zh-CN"/>
        </w:rPr>
        <w:t>（1）定期用自来水清洗传感器外表面，若有碎屑用湿润软布擦拭，顽固污垢可加家用洗涤液清洗；每18个月返厂检测保养自清洁刷；检查测量窗口和清洁刷是否脏污、损坏。</w:t>
      </w:r>
    </w:p>
    <w:p w14:paraId="416BE4CF">
      <w:pPr>
        <w:rPr>
          <w:rFonts w:hint="eastAsia"/>
          <w:b w:val="0"/>
          <w:bCs w:val="0"/>
          <w:lang w:eastAsia="zh-CN"/>
        </w:rPr>
      </w:pPr>
      <w:r>
        <w:rPr>
          <w:rFonts w:hint="eastAsia"/>
          <w:b w:val="0"/>
          <w:bCs w:val="0"/>
          <w:lang w:eastAsia="zh-CN"/>
        </w:rPr>
        <w:t>（2）查看线缆是否绷紧，防止内部电线断裂影响传感器正常工作。</w:t>
      </w:r>
    </w:p>
    <w:p w14:paraId="077B92B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在线高锰酸盐指数分析仪</w:t>
      </w:r>
      <w:r>
        <w:rPr>
          <w:rFonts w:hint="eastAsia"/>
          <w:b/>
          <w:bCs/>
          <w:lang w:eastAsia="zh-CN"/>
        </w:rPr>
        <w:t>：</w:t>
      </w:r>
    </w:p>
    <w:p w14:paraId="53B0113C">
      <w:pPr>
        <w:rPr>
          <w:rFonts w:hint="eastAsia"/>
          <w:b w:val="0"/>
          <w:bCs w:val="0"/>
          <w:lang w:eastAsia="zh-CN"/>
        </w:rPr>
      </w:pPr>
      <w:r>
        <w:rPr>
          <w:rFonts w:hint="eastAsia"/>
          <w:b w:val="0"/>
          <w:bCs w:val="0"/>
          <w:lang w:eastAsia="zh-CN"/>
        </w:rPr>
        <w:t xml:space="preserve">（1）检查高锰酸钾溶液浓度，出现沉淀立即更换。  </w:t>
      </w:r>
    </w:p>
    <w:p w14:paraId="0674B6AE">
      <w:pPr>
        <w:rPr>
          <w:rFonts w:hint="eastAsia"/>
          <w:b w:val="0"/>
          <w:bCs w:val="0"/>
          <w:lang w:eastAsia="zh-CN"/>
        </w:rPr>
      </w:pPr>
      <w:r>
        <w:rPr>
          <w:rFonts w:hint="eastAsia"/>
          <w:b w:val="0"/>
          <w:bCs w:val="0"/>
          <w:lang w:eastAsia="zh-CN"/>
        </w:rPr>
        <w:t xml:space="preserve">（2）清洁消解池，清除积碳或残留物。  </w:t>
      </w:r>
    </w:p>
    <w:p w14:paraId="44075496">
      <w:pPr>
        <w:rPr>
          <w:rFonts w:hint="eastAsia"/>
          <w:b w:val="0"/>
          <w:bCs w:val="0"/>
          <w:lang w:eastAsia="zh-CN"/>
        </w:rPr>
      </w:pPr>
      <w:r>
        <w:rPr>
          <w:rFonts w:hint="eastAsia"/>
          <w:b w:val="0"/>
          <w:bCs w:val="0"/>
          <w:lang w:eastAsia="zh-CN"/>
        </w:rPr>
        <w:t xml:space="preserve">（3）观察草酸钠滴定液消耗速度，防止漏液。  </w:t>
      </w:r>
    </w:p>
    <w:p w14:paraId="7D6B96ED">
      <w:pPr>
        <w:rPr>
          <w:rFonts w:hint="eastAsia"/>
          <w:b w:val="0"/>
          <w:bCs w:val="0"/>
          <w:lang w:eastAsia="zh-CN"/>
        </w:rPr>
      </w:pPr>
      <w:r>
        <w:rPr>
          <w:rFonts w:hint="eastAsia"/>
          <w:b w:val="0"/>
          <w:bCs w:val="0"/>
          <w:lang w:eastAsia="zh-CN"/>
        </w:rPr>
        <w:t xml:space="preserve">（4）用COD标准样（邻苯二甲酸氢钾）进行交叉验证。 </w:t>
      </w:r>
    </w:p>
    <w:p w14:paraId="6821D88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在线余氯</w:t>
      </w:r>
      <w:r>
        <w:rPr>
          <w:rFonts w:hint="eastAsia"/>
          <w:b/>
          <w:bCs/>
          <w:lang w:val="en-US" w:eastAsia="zh-CN"/>
        </w:rPr>
        <w:t>/二氧化氯/臭氧</w:t>
      </w:r>
      <w:r>
        <w:rPr>
          <w:rFonts w:hint="eastAsia"/>
          <w:b/>
          <w:bCs/>
        </w:rPr>
        <w:t>传感器</w:t>
      </w:r>
      <w:r>
        <w:rPr>
          <w:rFonts w:hint="eastAsia"/>
          <w:b/>
          <w:bCs/>
          <w:lang w:eastAsia="zh-CN"/>
        </w:rPr>
        <w:t>：</w:t>
      </w:r>
    </w:p>
    <w:p w14:paraId="14E0F3B9">
      <w:pPr>
        <w:rPr>
          <w:rFonts w:hint="eastAsia"/>
          <w:b w:val="0"/>
          <w:bCs w:val="0"/>
          <w:lang w:eastAsia="zh-CN"/>
        </w:rPr>
      </w:pPr>
      <w:r>
        <w:rPr>
          <w:rFonts w:hint="eastAsia"/>
          <w:b w:val="0"/>
          <w:bCs w:val="0"/>
          <w:lang w:eastAsia="zh-CN"/>
        </w:rPr>
        <w:t>（1）新电极和长期放置的电极使用前，放自来水中静置24小时活化；初次或长期干燥放置（超半月），不通电在3mol/L KCL溶液浸泡2h以上活化，再在含氯流通溶液中极化2h以上（可至24h，先通水后通电）。</w:t>
      </w:r>
    </w:p>
    <w:p w14:paraId="6D8C1FB9">
      <w:pPr>
        <w:rPr>
          <w:rFonts w:hint="eastAsia"/>
          <w:b w:val="0"/>
          <w:bCs w:val="0"/>
          <w:lang w:eastAsia="zh-CN"/>
        </w:rPr>
      </w:pPr>
      <w:r>
        <w:rPr>
          <w:rFonts w:hint="eastAsia"/>
          <w:b w:val="0"/>
          <w:bCs w:val="0"/>
          <w:lang w:eastAsia="zh-CN"/>
        </w:rPr>
        <w:t>（2）校准操作若返回数值不准确，对传感器进行零点和斜率校准。</w:t>
      </w:r>
    </w:p>
    <w:p w14:paraId="6D0D7123">
      <w:pPr>
        <w:rPr>
          <w:rFonts w:hint="eastAsia"/>
          <w:b w:val="0"/>
          <w:bCs w:val="0"/>
          <w:lang w:eastAsia="zh-CN"/>
        </w:rPr>
      </w:pPr>
      <w:r>
        <w:rPr>
          <w:rFonts w:hint="eastAsia"/>
          <w:b w:val="0"/>
          <w:bCs w:val="0"/>
          <w:lang w:eastAsia="zh-CN"/>
        </w:rPr>
        <w:t>（3）传感器长期不用时，用纯净水清洗探头，放于含3mol/L KCL溶液的保护罩内储存。</w:t>
      </w:r>
    </w:p>
    <w:p w14:paraId="06C37CC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在线余氯分析仪</w:t>
      </w:r>
      <w:r>
        <w:rPr>
          <w:rFonts w:hint="eastAsia"/>
          <w:b/>
          <w:bCs/>
          <w:lang w:eastAsia="zh-CN"/>
        </w:rPr>
        <w:t>：</w:t>
      </w:r>
    </w:p>
    <w:p w14:paraId="02F5DBAF">
      <w:pPr>
        <w:rPr>
          <w:rFonts w:hint="eastAsia"/>
          <w:b w:val="0"/>
          <w:bCs w:val="0"/>
          <w:lang w:eastAsia="zh-CN"/>
        </w:rPr>
      </w:pPr>
      <w:r>
        <w:rPr>
          <w:rFonts w:hint="eastAsia"/>
          <w:b w:val="0"/>
          <w:bCs w:val="0"/>
          <w:lang w:eastAsia="zh-CN"/>
        </w:rPr>
        <w:t xml:space="preserve">（1）检查DPD试剂粉末是否潮解，每月更换缓冲液。  </w:t>
      </w:r>
    </w:p>
    <w:p w14:paraId="70F208F6">
      <w:pPr>
        <w:rPr>
          <w:rFonts w:hint="eastAsia"/>
          <w:b w:val="0"/>
          <w:bCs w:val="0"/>
          <w:lang w:eastAsia="zh-CN"/>
        </w:rPr>
      </w:pPr>
      <w:r>
        <w:rPr>
          <w:rFonts w:hint="eastAsia"/>
          <w:b w:val="0"/>
          <w:bCs w:val="0"/>
          <w:lang w:eastAsia="zh-CN"/>
        </w:rPr>
        <w:t xml:space="preserve">（2）用无尘布擦拭比色皿，防止指纹或水渍。  </w:t>
      </w:r>
    </w:p>
    <w:p w14:paraId="400CF8D3">
      <w:pPr>
        <w:rPr>
          <w:rFonts w:hint="eastAsia"/>
          <w:b w:val="0"/>
          <w:bCs w:val="0"/>
          <w:lang w:eastAsia="zh-CN"/>
        </w:rPr>
      </w:pPr>
      <w:r>
        <w:rPr>
          <w:rFonts w:hint="eastAsia"/>
          <w:b w:val="0"/>
          <w:bCs w:val="0"/>
          <w:lang w:eastAsia="zh-CN"/>
        </w:rPr>
        <w:t xml:space="preserve">（3）用1.0mg/L氯标准液校准，误差＞5%时调整。  </w:t>
      </w:r>
    </w:p>
    <w:p w14:paraId="1A0B7D68">
      <w:pPr>
        <w:rPr>
          <w:rFonts w:hint="eastAsia"/>
          <w:b w:val="0"/>
          <w:bCs w:val="0"/>
          <w:lang w:eastAsia="zh-CN"/>
        </w:rPr>
      </w:pPr>
      <w:r>
        <w:rPr>
          <w:rFonts w:hint="eastAsia"/>
          <w:b w:val="0"/>
          <w:bCs w:val="0"/>
          <w:lang w:eastAsia="zh-CN"/>
        </w:rPr>
        <w:t xml:space="preserve">（4）检查前置过滤器，及时更换堵塞滤芯（0.45μm）。  </w:t>
      </w:r>
    </w:p>
    <w:p w14:paraId="5601E09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lang w:eastAsia="zh-CN"/>
        </w:rPr>
        <w:t>在线全光谱多参数传感器：</w:t>
      </w:r>
    </w:p>
    <w:p w14:paraId="410A3761">
      <w:pPr>
        <w:rPr>
          <w:rFonts w:hint="eastAsia"/>
          <w:b w:val="0"/>
          <w:bCs w:val="0"/>
          <w:lang w:eastAsia="zh-CN"/>
        </w:rPr>
      </w:pPr>
      <w:r>
        <w:rPr>
          <w:rFonts w:hint="eastAsia"/>
          <w:b w:val="0"/>
          <w:bCs w:val="0"/>
          <w:lang w:eastAsia="zh-CN"/>
        </w:rPr>
        <w:t>（1）定期用自来水清洗外表面，若有碎屑残留，用湿润软布擦拭；顽固污垢可加家用洗涤液清洗。</w:t>
      </w:r>
    </w:p>
    <w:p w14:paraId="46AD25D5">
      <w:pPr>
        <w:rPr>
          <w:rFonts w:hint="eastAsia"/>
          <w:b w:val="0"/>
          <w:bCs w:val="0"/>
          <w:lang w:eastAsia="zh-CN"/>
        </w:rPr>
      </w:pPr>
      <w:r>
        <w:rPr>
          <w:rFonts w:hint="eastAsia"/>
          <w:b w:val="0"/>
          <w:bCs w:val="0"/>
          <w:lang w:eastAsia="zh-CN"/>
        </w:rPr>
        <w:t>（2）查看线缆是否绷紧、测量窗口有无脏污、清洁刷是否正常及有无损坏。</w:t>
      </w:r>
    </w:p>
    <w:p w14:paraId="07BCEEDC">
      <w:pPr>
        <w:rPr>
          <w:rFonts w:hint="eastAsia"/>
          <w:b w:val="0"/>
          <w:bCs w:val="0"/>
          <w:lang w:eastAsia="zh-CN"/>
        </w:rPr>
      </w:pPr>
      <w:r>
        <w:rPr>
          <w:rFonts w:hint="eastAsia"/>
          <w:b w:val="0"/>
          <w:bCs w:val="0"/>
          <w:lang w:eastAsia="zh-CN"/>
        </w:rPr>
        <w:t>（3）校准传感器，在使用前将传感器置入去离子水，保证光路浸没且无气泡，发送光谱校准指令完成校准。</w:t>
      </w:r>
    </w:p>
    <w:p w14:paraId="069607A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lang w:eastAsia="zh-CN"/>
        </w:rPr>
        <w:t>便携式多参数分析仪：</w:t>
      </w:r>
    </w:p>
    <w:p w14:paraId="580D7483">
      <w:pPr>
        <w:rPr>
          <w:rFonts w:hint="eastAsia"/>
          <w:b w:val="0"/>
          <w:bCs w:val="0"/>
          <w:lang w:eastAsia="zh-CN"/>
        </w:rPr>
      </w:pPr>
      <w:r>
        <w:rPr>
          <w:rFonts w:hint="eastAsia"/>
          <w:b w:val="0"/>
          <w:bCs w:val="0"/>
          <w:lang w:eastAsia="zh-CN"/>
        </w:rPr>
        <w:t>（1）平常不用时拔掉电源插头。若有反应液体溅到载物台或仪器外壁，及时用湿抹布擦去，必要时消毒。每次使用完毕用湿抹布擦拭保持洁净。</w:t>
      </w:r>
    </w:p>
    <w:p w14:paraId="15DC1935">
      <w:pPr>
        <w:rPr>
          <w:rFonts w:hint="eastAsia"/>
          <w:b w:val="0"/>
          <w:bCs w:val="0"/>
          <w:lang w:eastAsia="zh-CN"/>
        </w:rPr>
      </w:pPr>
      <w:r>
        <w:rPr>
          <w:rFonts w:hint="eastAsia"/>
          <w:b w:val="0"/>
          <w:bCs w:val="0"/>
          <w:lang w:eastAsia="zh-CN"/>
        </w:rPr>
        <w:t>（2）仪器有开机自检功能，出现故障时，依据故障提示或常见故障排查方法处理。如水质检测仪不能启动，检查电源；自检不正常，查看光源灯、重新设置波长值或更换滤光片；检测结果不正确，根据具体原因更换光源灯、滤光片、试剂，排除干扰源，重新校准标定或处理样本；</w:t>
      </w:r>
    </w:p>
    <w:p w14:paraId="49E3E056">
      <w:pPr>
        <w:rPr>
          <w:rFonts w:hint="eastAsia"/>
          <w:b w:val="0"/>
          <w:bCs w:val="0"/>
          <w:lang w:eastAsia="zh-CN"/>
        </w:rPr>
      </w:pPr>
      <w:r>
        <w:rPr>
          <w:rFonts w:hint="eastAsia"/>
          <w:b w:val="0"/>
          <w:bCs w:val="0"/>
          <w:lang w:eastAsia="zh-CN"/>
        </w:rPr>
        <w:t>（3）本仪器属于计量类仪器，出现检测结果超出规定范围、实验条件改变、用标准溶液检验出现误差等情形时，需使用标准溶液重新进行校准和标定，标液可选用国家标物中心发行的质控品、从厂家购买或用户自行配置（配置应严格按照对应检测项目最新版本的环境标准），以保证测定结果的准确性。</w:t>
      </w:r>
    </w:p>
    <w:p w14:paraId="03E678E9">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电磁流量计</w:t>
      </w:r>
      <w:r>
        <w:rPr>
          <w:rFonts w:hint="eastAsia"/>
          <w:b/>
          <w:bCs/>
          <w:lang w:eastAsia="zh-CN"/>
        </w:rPr>
        <w:t>：</w:t>
      </w:r>
    </w:p>
    <w:p w14:paraId="2A58B2CD">
      <w:pPr>
        <w:rPr>
          <w:rFonts w:hint="eastAsia"/>
          <w:b w:val="0"/>
          <w:bCs w:val="0"/>
          <w:lang w:eastAsia="zh-CN"/>
        </w:rPr>
      </w:pPr>
      <w:r>
        <w:rPr>
          <w:rFonts w:hint="eastAsia"/>
          <w:b w:val="0"/>
          <w:bCs w:val="0"/>
          <w:lang w:eastAsia="zh-CN"/>
        </w:rPr>
        <w:t>（1）定期清理电磁流量计转换器和传感器表面，去除灰尘、污垢和杂物，避免其进入设备内部影响正常运行。清理时应使用干净、柔软的布，避免刮伤设备外壳。</w:t>
      </w:r>
    </w:p>
    <w:p w14:paraId="4743DB7B">
      <w:pPr>
        <w:rPr>
          <w:rFonts w:hint="eastAsia"/>
          <w:b w:val="0"/>
          <w:bCs w:val="0"/>
          <w:lang w:eastAsia="zh-CN"/>
        </w:rPr>
      </w:pPr>
      <w:r>
        <w:rPr>
          <w:rFonts w:hint="eastAsia"/>
          <w:b w:val="0"/>
          <w:bCs w:val="0"/>
          <w:lang w:eastAsia="zh-CN"/>
        </w:rPr>
        <w:t>（2）经常检查连接电线电缆，查看是否有破损、老化、松动等情况。对于信号线、励磁电流线、输出与电源线等，若发现问题及时更换或修复，确保线路连接可靠，减少信号传输干扰和电气故障风险。如流量信号传输电缆若有破损，可能导致测量数据不准确 。</w:t>
      </w:r>
    </w:p>
    <w:p w14:paraId="3530DDAE">
      <w:pPr>
        <w:rPr>
          <w:rFonts w:hint="eastAsia"/>
          <w:b w:val="0"/>
          <w:bCs w:val="0"/>
          <w:lang w:eastAsia="zh-CN"/>
        </w:rPr>
      </w:pPr>
      <w:r>
        <w:rPr>
          <w:rFonts w:hint="eastAsia"/>
          <w:b w:val="0"/>
          <w:bCs w:val="0"/>
          <w:lang w:eastAsia="zh-CN"/>
        </w:rPr>
        <w:t>（3）定期查看仪表参数设置，确保其与实际测量需求相符。根据使用情况和相关标准，对仪表进行校准，如模拟量输出校准，包括电流“0”点修正、满度修正和线性度检查等，保证测量精度。若测量环境或工艺发生变化，及时调整测量管道口径、流量单位、仪表量程等参数 。</w:t>
      </w:r>
    </w:p>
    <w:p w14:paraId="1D744683">
      <w:pPr>
        <w:rPr>
          <w:rFonts w:hint="eastAsia"/>
          <w:b w:val="0"/>
          <w:bCs w:val="0"/>
          <w:lang w:eastAsia="zh-CN"/>
        </w:rPr>
      </w:pPr>
      <w:r>
        <w:rPr>
          <w:rFonts w:hint="eastAsia"/>
          <w:b w:val="0"/>
          <w:bCs w:val="0"/>
          <w:lang w:eastAsia="zh-CN"/>
        </w:rPr>
        <w:t>（4）定期进行仪表功能测试，如检查数字量输出（频率输出和脉冲输出）、模拟量输出、报警输出等功能是否正常。测试时可通过连接相应设备，观察输出信号是否符合预期。例如，模拟量输出可使用电流表或电压表进行测量，检查输出电流是否在规定范围内 。</w:t>
      </w:r>
    </w:p>
    <w:p w14:paraId="0CE27C7E">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lang w:val="en-US" w:eastAsia="zh-CN"/>
        </w:rPr>
        <w:t>超声波液位计</w:t>
      </w:r>
      <w:r>
        <w:rPr>
          <w:rFonts w:hint="eastAsia"/>
          <w:b/>
          <w:bCs/>
          <w:lang w:eastAsia="zh-CN"/>
        </w:rPr>
        <w:t>：</w:t>
      </w:r>
    </w:p>
    <w:p w14:paraId="6775F1E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lang w:eastAsia="zh-CN"/>
        </w:rPr>
      </w:pPr>
      <w:r>
        <w:rPr>
          <w:rFonts w:hint="eastAsia"/>
          <w:b w:val="0"/>
          <w:bCs w:val="0"/>
          <w:lang w:eastAsia="zh-CN"/>
        </w:rPr>
        <w:t>1）定期用软布擦去传感器表面灰尘、污垢，顽固污渍用温和清洁剂处理。</w:t>
      </w:r>
    </w:p>
    <w:p w14:paraId="55E1748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lang w:eastAsia="zh-CN"/>
        </w:rPr>
      </w:pPr>
      <w:r>
        <w:rPr>
          <w:rFonts w:hint="eastAsia"/>
          <w:b w:val="0"/>
          <w:bCs w:val="0"/>
          <w:lang w:eastAsia="zh-CN"/>
        </w:rPr>
        <w:t>（2）查看安装位置是否变动、安装支架是否牢固，保证液位计垂直安装。</w:t>
      </w:r>
    </w:p>
    <w:p w14:paraId="6B9791F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lang w:eastAsia="zh-CN"/>
        </w:rPr>
      </w:pPr>
      <w:r>
        <w:rPr>
          <w:rFonts w:hint="eastAsia"/>
          <w:b w:val="0"/>
          <w:bCs w:val="0"/>
          <w:lang w:eastAsia="zh-CN"/>
        </w:rPr>
        <w:t>（3）检查线缆有无破损、老化、松动，接线端子是否正常，及时处理问题。</w:t>
      </w:r>
    </w:p>
    <w:p w14:paraId="24D3C1A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lang w:eastAsia="zh-CN"/>
        </w:rPr>
      </w:pPr>
      <w:r>
        <w:rPr>
          <w:rFonts w:hint="eastAsia"/>
          <w:b w:val="0"/>
          <w:bCs w:val="0"/>
          <w:lang w:eastAsia="zh-CN"/>
        </w:rPr>
        <w:t>（4）按手册要求定期校准，对比测量结果与标准液位值并调整。</w:t>
      </w:r>
    </w:p>
    <w:p w14:paraId="3BEE949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lang w:eastAsia="zh-CN"/>
        </w:rPr>
      </w:pPr>
      <w:r>
        <w:rPr>
          <w:rFonts w:hint="eastAsia"/>
          <w:b w:val="0"/>
          <w:bCs w:val="0"/>
          <w:lang w:eastAsia="zh-CN"/>
        </w:rPr>
        <w:t>（5）记录测量数据，分析变化趋势，排查异常数据原因。</w:t>
      </w:r>
    </w:p>
    <w:p w14:paraId="642DFD58">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b/>
          <w:bCs/>
          <w:lang w:val="en-US" w:eastAsia="zh-CN"/>
        </w:rPr>
      </w:pPr>
      <w:r>
        <w:rPr>
          <w:rFonts w:hint="eastAsia"/>
          <w:b/>
          <w:bCs/>
          <w:lang w:val="en-US" w:eastAsia="zh-CN"/>
        </w:rPr>
        <w:t>污泥界面仪：</w:t>
      </w:r>
    </w:p>
    <w:p w14:paraId="527919DF">
      <w:pPr>
        <w:rPr>
          <w:rFonts w:hint="eastAsia"/>
        </w:rPr>
      </w:pPr>
      <w:r>
        <w:rPr>
          <w:rFonts w:hint="eastAsia"/>
        </w:rPr>
        <w:t>（1）定期用清水冲洗传感器表面，若有难以清除的污垢，用柔软湿布蘸温和清洁剂擦拭，避免刮伤。</w:t>
      </w:r>
    </w:p>
    <w:p w14:paraId="6041EF6F">
      <w:pPr>
        <w:rPr>
          <w:rFonts w:hint="eastAsia"/>
        </w:rPr>
      </w:pPr>
      <w:r>
        <w:rPr>
          <w:rFonts w:hint="eastAsia"/>
        </w:rPr>
        <w:t>（2）查看设备各部件连接是否稳固，线缆有无破损、老化、松动情况。检查传感器的安装位置是否偏移，保证其能准确测量。</w:t>
      </w:r>
    </w:p>
    <w:p w14:paraId="237694F9">
      <w:pPr>
        <w:rPr>
          <w:rFonts w:hint="eastAsia"/>
        </w:rPr>
      </w:pPr>
      <w:r>
        <w:rPr>
          <w:rFonts w:hint="eastAsia"/>
        </w:rPr>
        <w:t>（3）按照仪器使用手册规定的时间和方法进行校准，通常包括零点校准和量程校准，确保测量数据的准确性。</w:t>
      </w:r>
    </w:p>
    <w:p w14:paraId="3000D992">
      <w:pPr>
        <w:rPr>
          <w:rFonts w:hint="eastAsia"/>
        </w:rPr>
      </w:pPr>
      <w:r>
        <w:rPr>
          <w:rFonts w:hint="eastAsia"/>
        </w:rPr>
        <w:t>（4）日常监测中，关注测量数据的变化趋势，若出现异常波动，及时排查原因，判断是否因设备故障导致。</w:t>
      </w:r>
    </w:p>
    <w:p w14:paraId="272C27F3">
      <w:pPr>
        <w:pStyle w:val="3"/>
        <w:rPr>
          <w:rFonts w:hint="eastAsia"/>
        </w:rPr>
      </w:pPr>
      <w:bookmarkStart w:id="24" w:name="_Toc28330"/>
      <w:r>
        <w:rPr>
          <w:rFonts w:hint="eastAsia"/>
          <w:lang w:val="en-US" w:eastAsia="zh-CN"/>
        </w:rPr>
        <w:t>设备</w:t>
      </w:r>
      <w:r>
        <w:rPr>
          <w:rFonts w:hint="eastAsia"/>
        </w:rPr>
        <w:t>维护注意事项</w:t>
      </w:r>
      <w:bookmarkEnd w:id="24"/>
    </w:p>
    <w:p w14:paraId="2D7A7703">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大肠杆菌在线分析仪</w:t>
      </w:r>
      <w:r>
        <w:rPr>
          <w:rFonts w:hint="eastAsia"/>
          <w:b/>
          <w:bCs/>
          <w:lang w:eastAsia="zh-CN"/>
        </w:rPr>
        <w:t>：</w:t>
      </w:r>
    </w:p>
    <w:p w14:paraId="0317D396">
      <w:pPr>
        <w:rPr>
          <w:rFonts w:hint="eastAsia"/>
          <w:b w:val="0"/>
          <w:bCs w:val="0"/>
          <w:lang w:eastAsia="zh-CN"/>
        </w:rPr>
      </w:pPr>
      <w:r>
        <w:rPr>
          <w:rFonts w:hint="eastAsia"/>
          <w:b w:val="0"/>
          <w:bCs w:val="0"/>
          <w:lang w:eastAsia="zh-CN"/>
        </w:rPr>
        <w:t>（</w:t>
      </w:r>
      <w:r>
        <w:rPr>
          <w:rFonts w:hint="eastAsia"/>
          <w:b w:val="0"/>
          <w:bCs w:val="0"/>
          <w:lang w:val="en-US" w:eastAsia="zh-CN"/>
        </w:rPr>
        <w:t>1</w:t>
      </w:r>
      <w:r>
        <w:rPr>
          <w:rFonts w:hint="eastAsia"/>
          <w:b w:val="0"/>
          <w:bCs w:val="0"/>
          <w:lang w:eastAsia="zh-CN"/>
        </w:rPr>
        <w:t xml:space="preserve">）操作时佩戴手套，避免试剂接触皮肤或交叉污染。  </w:t>
      </w:r>
    </w:p>
    <w:p w14:paraId="09AE75ED">
      <w:pPr>
        <w:rPr>
          <w:rFonts w:hint="eastAsia"/>
          <w:b w:val="0"/>
          <w:bCs w:val="0"/>
          <w:lang w:eastAsia="zh-CN"/>
        </w:rPr>
      </w:pPr>
      <w:r>
        <w:rPr>
          <w:rFonts w:hint="eastAsia"/>
          <w:b w:val="0"/>
          <w:bCs w:val="0"/>
          <w:lang w:eastAsia="zh-CN"/>
        </w:rPr>
        <w:t>（</w:t>
      </w:r>
      <w:r>
        <w:rPr>
          <w:rFonts w:hint="eastAsia"/>
          <w:b w:val="0"/>
          <w:bCs w:val="0"/>
          <w:lang w:val="en-US" w:eastAsia="zh-CN"/>
        </w:rPr>
        <w:t>2</w:t>
      </w:r>
      <w:r>
        <w:rPr>
          <w:rFonts w:hint="eastAsia"/>
          <w:b w:val="0"/>
          <w:bCs w:val="0"/>
          <w:lang w:eastAsia="zh-CN"/>
        </w:rPr>
        <w:t xml:space="preserve">）废液（含培养液）需高温灭菌后再按生物危害废物处理。  </w:t>
      </w:r>
    </w:p>
    <w:p w14:paraId="7424661E">
      <w:pPr>
        <w:rPr>
          <w:rFonts w:hint="eastAsia"/>
          <w:b w:val="0"/>
          <w:bCs w:val="0"/>
          <w:lang w:eastAsia="zh-CN"/>
        </w:rPr>
      </w:pPr>
      <w:r>
        <w:rPr>
          <w:rFonts w:hint="eastAsia"/>
          <w:b w:val="0"/>
          <w:bCs w:val="0"/>
          <w:lang w:eastAsia="zh-CN"/>
        </w:rPr>
        <w:t>（</w:t>
      </w:r>
      <w:r>
        <w:rPr>
          <w:rFonts w:hint="eastAsia"/>
          <w:b w:val="0"/>
          <w:bCs w:val="0"/>
          <w:lang w:val="en-US" w:eastAsia="zh-CN"/>
        </w:rPr>
        <w:t>3</w:t>
      </w:r>
      <w:r>
        <w:rPr>
          <w:rFonts w:hint="eastAsia"/>
          <w:b w:val="0"/>
          <w:bCs w:val="0"/>
          <w:lang w:eastAsia="zh-CN"/>
        </w:rPr>
        <w:t xml:space="preserve">）长期停用前需彻底清洗管路并排空试剂，防止残留物变质。  </w:t>
      </w:r>
    </w:p>
    <w:p w14:paraId="5D8A0EA9">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生物毒性在线分析仪</w:t>
      </w:r>
      <w:r>
        <w:rPr>
          <w:rFonts w:hint="eastAsia"/>
          <w:b/>
          <w:bCs/>
          <w:lang w:eastAsia="zh-CN"/>
        </w:rPr>
        <w:t>：</w:t>
      </w:r>
    </w:p>
    <w:p w14:paraId="34E8C00B">
      <w:pPr>
        <w:rPr>
          <w:rFonts w:hint="eastAsia"/>
          <w:b w:val="0"/>
          <w:bCs w:val="0"/>
          <w:lang w:eastAsia="zh-CN"/>
        </w:rPr>
      </w:pPr>
      <w:r>
        <w:rPr>
          <w:rFonts w:hint="eastAsia"/>
          <w:b w:val="0"/>
          <w:bCs w:val="0"/>
          <w:lang w:eastAsia="zh-CN"/>
        </w:rPr>
        <w:t xml:space="preserve">（1）菌种冻干粉需严格避光、防潮保存，开封后立即使用。  </w:t>
      </w:r>
    </w:p>
    <w:p w14:paraId="4F352A35">
      <w:pPr>
        <w:rPr>
          <w:rFonts w:hint="eastAsia"/>
          <w:b w:val="0"/>
          <w:bCs w:val="0"/>
          <w:lang w:eastAsia="zh-CN"/>
        </w:rPr>
      </w:pPr>
      <w:r>
        <w:rPr>
          <w:rFonts w:hint="eastAsia"/>
          <w:b w:val="0"/>
          <w:bCs w:val="0"/>
          <w:lang w:eastAsia="zh-CN"/>
        </w:rPr>
        <w:t xml:space="preserve">（2）避免测试高浊度或强酸/碱性水样，防止干扰发光信号。  </w:t>
      </w:r>
    </w:p>
    <w:p w14:paraId="3803C63A">
      <w:pPr>
        <w:rPr>
          <w:rFonts w:hint="eastAsia"/>
          <w:b w:val="0"/>
          <w:bCs w:val="0"/>
          <w:lang w:eastAsia="zh-CN"/>
        </w:rPr>
      </w:pPr>
      <w:r>
        <w:rPr>
          <w:rFonts w:hint="eastAsia"/>
          <w:b w:val="0"/>
          <w:bCs w:val="0"/>
          <w:lang w:eastAsia="zh-CN"/>
        </w:rPr>
        <w:t xml:space="preserve">（3）定期备份发光强度-毒性关系曲线数据，防止校准丢失。  </w:t>
      </w:r>
    </w:p>
    <w:p w14:paraId="68DA920A">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在线色度传感器</w:t>
      </w:r>
      <w:r>
        <w:rPr>
          <w:rFonts w:hint="eastAsia"/>
          <w:b/>
          <w:bCs/>
          <w:lang w:eastAsia="zh-CN"/>
        </w:rPr>
        <w:t>：</w:t>
      </w:r>
    </w:p>
    <w:p w14:paraId="76E2CBCD">
      <w:pPr>
        <w:rPr>
          <w:rFonts w:hint="eastAsia"/>
          <w:b w:val="0"/>
          <w:bCs w:val="0"/>
          <w:lang w:eastAsia="zh-CN"/>
        </w:rPr>
      </w:pPr>
      <w:r>
        <w:rPr>
          <w:rFonts w:hint="eastAsia"/>
          <w:b w:val="0"/>
          <w:bCs w:val="0"/>
          <w:lang w:eastAsia="zh-CN"/>
        </w:rPr>
        <w:t>（1）避免传感器及探头受到剧烈机械撞击，因其含敏感光学和电子部件，且内部无用户需维护部件。</w:t>
      </w:r>
    </w:p>
    <w:p w14:paraId="301808A9">
      <w:pPr>
        <w:rPr>
          <w:rFonts w:hint="eastAsia"/>
          <w:b w:val="0"/>
          <w:bCs w:val="0"/>
          <w:lang w:eastAsia="zh-CN"/>
        </w:rPr>
      </w:pPr>
      <w:r>
        <w:rPr>
          <w:rFonts w:hint="eastAsia"/>
          <w:b w:val="0"/>
          <w:bCs w:val="0"/>
          <w:lang w:eastAsia="zh-CN"/>
        </w:rPr>
        <w:t>（2）测量时保证石英片干净，无异物、气泡。</w:t>
      </w:r>
    </w:p>
    <w:p w14:paraId="587B3FDD">
      <w:pPr>
        <w:rPr>
          <w:rFonts w:hint="eastAsia"/>
          <w:b w:val="0"/>
          <w:bCs w:val="0"/>
          <w:lang w:eastAsia="zh-CN"/>
        </w:rPr>
      </w:pPr>
      <w:r>
        <w:rPr>
          <w:rFonts w:hint="eastAsia"/>
          <w:b w:val="0"/>
          <w:bCs w:val="0"/>
          <w:lang w:eastAsia="zh-CN"/>
        </w:rPr>
        <w:t>（3）水流较急时固定传感器，防止损坏。</w:t>
      </w:r>
    </w:p>
    <w:p w14:paraId="3A0FED05">
      <w:pPr>
        <w:rPr>
          <w:rFonts w:hint="eastAsia"/>
          <w:b w:val="0"/>
          <w:bCs w:val="0"/>
          <w:lang w:eastAsia="zh-CN"/>
        </w:rPr>
      </w:pPr>
      <w:r>
        <w:rPr>
          <w:rFonts w:hint="eastAsia"/>
          <w:b w:val="0"/>
          <w:bCs w:val="0"/>
          <w:lang w:eastAsia="zh-CN"/>
        </w:rPr>
        <w:t>（4）禁止用传感器电缆吊装，确保线缆接头紧固；12VDC电源供电时，尾线线缆超150M需适当增压。</w:t>
      </w:r>
    </w:p>
    <w:p w14:paraId="0009D6FE">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在线浊度传感器</w:t>
      </w:r>
      <w:r>
        <w:rPr>
          <w:rFonts w:hint="eastAsia"/>
          <w:b/>
          <w:bCs/>
          <w:lang w:eastAsia="zh-CN"/>
        </w:rPr>
        <w:t>：</w:t>
      </w:r>
    </w:p>
    <w:p w14:paraId="6E081AD4">
      <w:pPr>
        <w:rPr>
          <w:rFonts w:hint="eastAsia"/>
          <w:b w:val="0"/>
          <w:bCs w:val="0"/>
          <w:lang w:eastAsia="zh-CN"/>
        </w:rPr>
      </w:pPr>
      <w:r>
        <w:rPr>
          <w:rFonts w:hint="eastAsia"/>
          <w:b w:val="0"/>
          <w:bCs w:val="0"/>
          <w:lang w:eastAsia="zh-CN"/>
        </w:rPr>
        <w:t xml:space="preserve">（1）使用时取下保护套，闲置时及时安装，防止探头划伤。  </w:t>
      </w:r>
    </w:p>
    <w:p w14:paraId="355968EA">
      <w:pPr>
        <w:rPr>
          <w:rFonts w:hint="eastAsia"/>
          <w:b w:val="0"/>
          <w:bCs w:val="0"/>
          <w:lang w:eastAsia="zh-CN"/>
        </w:rPr>
      </w:pPr>
      <w:r>
        <w:rPr>
          <w:rFonts w:hint="eastAsia"/>
          <w:b w:val="0"/>
          <w:bCs w:val="0"/>
          <w:lang w:eastAsia="zh-CN"/>
        </w:rPr>
        <w:t xml:space="preserve">（2）避免探头附着气泡，保持探头离容器底/壁≥100mm。  </w:t>
      </w:r>
    </w:p>
    <w:p w14:paraId="6E0EAC9E">
      <w:pPr>
        <w:rPr>
          <w:rFonts w:hint="eastAsia"/>
          <w:b w:val="0"/>
          <w:bCs w:val="0"/>
          <w:lang w:eastAsia="zh-CN"/>
        </w:rPr>
      </w:pPr>
      <w:r>
        <w:rPr>
          <w:rFonts w:hint="eastAsia"/>
          <w:b w:val="0"/>
          <w:bCs w:val="0"/>
          <w:lang w:eastAsia="zh-CN"/>
        </w:rPr>
        <w:t xml:space="preserve">（3）避免剧烈撞击，防止光学/电子部件损坏。  </w:t>
      </w:r>
    </w:p>
    <w:p w14:paraId="3904AC81">
      <w:pPr>
        <w:rPr>
          <w:rFonts w:hint="eastAsia"/>
          <w:b w:val="0"/>
          <w:bCs w:val="0"/>
          <w:lang w:eastAsia="zh-CN"/>
        </w:rPr>
      </w:pPr>
      <w:r>
        <w:rPr>
          <w:rFonts w:hint="eastAsia"/>
          <w:b w:val="0"/>
          <w:bCs w:val="0"/>
          <w:lang w:eastAsia="zh-CN"/>
        </w:rPr>
        <w:t xml:space="preserve">（4）禁止在含荧光物质的容器中测试，防止干扰。  </w:t>
      </w:r>
    </w:p>
    <w:p w14:paraId="55C105C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在线PH传感器</w:t>
      </w:r>
      <w:r>
        <w:rPr>
          <w:rFonts w:hint="eastAsia"/>
          <w:b/>
          <w:bCs/>
          <w:lang w:eastAsia="zh-CN"/>
        </w:rPr>
        <w:t>：</w:t>
      </w:r>
    </w:p>
    <w:p w14:paraId="5D04BD84">
      <w:pPr>
        <w:rPr>
          <w:rFonts w:hint="eastAsia"/>
          <w:b w:val="0"/>
          <w:bCs w:val="0"/>
          <w:lang w:eastAsia="zh-CN"/>
        </w:rPr>
      </w:pPr>
      <w:r>
        <w:rPr>
          <w:rFonts w:hint="eastAsia"/>
          <w:b w:val="0"/>
          <w:bCs w:val="0"/>
          <w:lang w:eastAsia="zh-CN"/>
        </w:rPr>
        <w:t>（1）用无水酒精擦拭接线端子上的沾污，确保干燥后使用。</w:t>
      </w:r>
    </w:p>
    <w:p w14:paraId="68B481C0">
      <w:pPr>
        <w:rPr>
          <w:rFonts w:hint="eastAsia"/>
          <w:b w:val="0"/>
          <w:bCs w:val="0"/>
          <w:lang w:eastAsia="zh-CN"/>
        </w:rPr>
      </w:pPr>
      <w:r>
        <w:rPr>
          <w:rFonts w:hint="eastAsia"/>
          <w:b w:val="0"/>
          <w:bCs w:val="0"/>
          <w:lang w:eastAsia="zh-CN"/>
        </w:rPr>
        <w:t>（2）勿长期浸泡蒸馏水/蛋白质溶液，远离有机硅油脂。</w:t>
      </w:r>
    </w:p>
    <w:p w14:paraId="59F94A84">
      <w:pPr>
        <w:rPr>
          <w:rFonts w:hint="eastAsia"/>
          <w:b w:val="0"/>
          <w:bCs w:val="0"/>
          <w:lang w:eastAsia="zh-CN"/>
        </w:rPr>
      </w:pPr>
      <w:r>
        <w:rPr>
          <w:rFonts w:hint="eastAsia"/>
          <w:b w:val="0"/>
          <w:bCs w:val="0"/>
          <w:lang w:eastAsia="zh-CN"/>
        </w:rPr>
        <w:t>（3）玻璃膜老化/沉积时，用稀盐酸清洗后水洗，必要时重新标定。</w:t>
      </w:r>
    </w:p>
    <w:p w14:paraId="2531457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在线电导率传感器</w:t>
      </w:r>
      <w:r>
        <w:rPr>
          <w:rFonts w:hint="eastAsia"/>
          <w:b/>
          <w:bCs/>
          <w:lang w:eastAsia="zh-CN"/>
        </w:rPr>
        <w:t>：</w:t>
      </w:r>
    </w:p>
    <w:p w14:paraId="19016FED">
      <w:pPr>
        <w:rPr>
          <w:rFonts w:hint="eastAsia"/>
          <w:b w:val="0"/>
          <w:bCs w:val="0"/>
          <w:lang w:eastAsia="zh-CN"/>
        </w:rPr>
      </w:pPr>
      <w:r>
        <w:rPr>
          <w:rFonts w:hint="eastAsia"/>
          <w:b w:val="0"/>
          <w:bCs w:val="0"/>
          <w:lang w:eastAsia="zh-CN"/>
        </w:rPr>
        <w:t xml:space="preserve">（1）校准与测试时电极需完全浸入标准液（无气泡），距容器底/壁≥2cm。  </w:t>
      </w:r>
    </w:p>
    <w:p w14:paraId="23A8AEAD">
      <w:pPr>
        <w:rPr>
          <w:rFonts w:hint="eastAsia"/>
          <w:b w:val="0"/>
          <w:bCs w:val="0"/>
          <w:lang w:eastAsia="zh-CN"/>
        </w:rPr>
      </w:pPr>
      <w:r>
        <w:rPr>
          <w:rFonts w:hint="eastAsia"/>
          <w:b w:val="0"/>
          <w:bCs w:val="0"/>
          <w:lang w:eastAsia="zh-CN"/>
        </w:rPr>
        <w:t xml:space="preserve">（2）石墨电极使用前需用自来水浸泡1小时，闲置时保持湿润。  </w:t>
      </w:r>
    </w:p>
    <w:p w14:paraId="3C7EECC7">
      <w:pPr>
        <w:rPr>
          <w:rFonts w:hint="eastAsia"/>
          <w:b w:val="0"/>
          <w:bCs w:val="0"/>
          <w:lang w:eastAsia="zh-CN"/>
        </w:rPr>
      </w:pPr>
      <w:r>
        <w:rPr>
          <w:rFonts w:hint="eastAsia"/>
          <w:b w:val="0"/>
          <w:bCs w:val="0"/>
          <w:lang w:eastAsia="zh-CN"/>
        </w:rPr>
        <w:t xml:space="preserve">（3） 非防水端子避免浸水，线缆需松弛固定，防止摩擦或断裂。  </w:t>
      </w:r>
    </w:p>
    <w:p w14:paraId="2FA90198">
      <w:pPr>
        <w:rPr>
          <w:rFonts w:hint="eastAsia"/>
          <w:b w:val="0"/>
          <w:bCs w:val="0"/>
          <w:lang w:eastAsia="zh-CN"/>
        </w:rPr>
      </w:pPr>
      <w:r>
        <w:rPr>
          <w:rFonts w:hint="eastAsia"/>
          <w:b w:val="0"/>
          <w:bCs w:val="0"/>
          <w:lang w:eastAsia="zh-CN"/>
        </w:rPr>
        <w:t xml:space="preserve">（4）避免与有机硅油脂接触。  </w:t>
      </w:r>
    </w:p>
    <w:p w14:paraId="051D2A3E">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在线硬度传感器</w:t>
      </w:r>
      <w:r>
        <w:rPr>
          <w:rFonts w:hint="eastAsia"/>
          <w:b/>
          <w:bCs/>
          <w:lang w:eastAsia="zh-CN"/>
        </w:rPr>
        <w:t>：</w:t>
      </w:r>
    </w:p>
    <w:p w14:paraId="59CB241F">
      <w:pPr>
        <w:rPr>
          <w:rFonts w:hint="eastAsia"/>
          <w:b w:val="0"/>
          <w:bCs w:val="0"/>
          <w:lang w:eastAsia="zh-CN"/>
        </w:rPr>
      </w:pPr>
      <w:r>
        <w:rPr>
          <w:rFonts w:hint="eastAsia"/>
          <w:b w:val="0"/>
          <w:bCs w:val="0"/>
          <w:lang w:eastAsia="zh-CN"/>
        </w:rPr>
        <w:t>（1）防止电极长期浸泡在蒸馏水或蛋白质溶液中，避免与有机硅油脂接触。</w:t>
      </w:r>
    </w:p>
    <w:p w14:paraId="37FFDA4A">
      <w:pPr>
        <w:rPr>
          <w:rFonts w:hint="eastAsia"/>
          <w:b w:val="0"/>
          <w:bCs w:val="0"/>
          <w:lang w:eastAsia="zh-CN"/>
        </w:rPr>
      </w:pPr>
      <w:r>
        <w:rPr>
          <w:rFonts w:hint="eastAsia"/>
          <w:b w:val="0"/>
          <w:bCs w:val="0"/>
          <w:lang w:eastAsia="zh-CN"/>
        </w:rPr>
        <w:t xml:space="preserve">（2）按上述维护保养后仍无法标定和测量，说明电极失效，需更换电极。 </w:t>
      </w:r>
    </w:p>
    <w:p w14:paraId="3B2D0229">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在线硬度分析仪</w:t>
      </w:r>
      <w:r>
        <w:rPr>
          <w:rFonts w:hint="eastAsia"/>
          <w:b/>
          <w:bCs/>
          <w:lang w:eastAsia="zh-CN"/>
        </w:rPr>
        <w:t>：</w:t>
      </w:r>
    </w:p>
    <w:p w14:paraId="7494E44F">
      <w:pPr>
        <w:rPr>
          <w:rFonts w:hint="eastAsia"/>
          <w:b w:val="0"/>
          <w:bCs w:val="0"/>
          <w:lang w:eastAsia="zh-CN"/>
        </w:rPr>
      </w:pPr>
      <w:r>
        <w:rPr>
          <w:rFonts w:hint="eastAsia"/>
          <w:b w:val="0"/>
          <w:bCs w:val="0"/>
          <w:lang w:eastAsia="zh-CN"/>
        </w:rPr>
        <w:t xml:space="preserve">（1）避免水样含高浓度重金属或悬浮物，需预处理后进样。  </w:t>
      </w:r>
    </w:p>
    <w:p w14:paraId="225CABB0">
      <w:pPr>
        <w:rPr>
          <w:rFonts w:hint="eastAsia"/>
          <w:b w:val="0"/>
          <w:bCs w:val="0"/>
          <w:lang w:eastAsia="zh-CN"/>
        </w:rPr>
      </w:pPr>
      <w:r>
        <w:rPr>
          <w:rFonts w:hint="eastAsia"/>
          <w:b w:val="0"/>
          <w:bCs w:val="0"/>
          <w:lang w:eastAsia="zh-CN"/>
        </w:rPr>
        <w:t xml:space="preserve">（2）废液（含EDTA）需单独收集，按络合剂危废处理。  </w:t>
      </w:r>
    </w:p>
    <w:p w14:paraId="6A6B5249">
      <w:pPr>
        <w:rPr>
          <w:rFonts w:hint="eastAsia"/>
          <w:b w:val="0"/>
          <w:bCs w:val="0"/>
          <w:lang w:eastAsia="zh-CN"/>
        </w:rPr>
      </w:pPr>
      <w:r>
        <w:rPr>
          <w:rFonts w:hint="eastAsia"/>
          <w:b w:val="0"/>
          <w:bCs w:val="0"/>
          <w:lang w:eastAsia="zh-CN"/>
        </w:rPr>
        <w:t xml:space="preserve">（3） 冬季需加装恒温装置，防止试剂结晶堵塞管路。  </w:t>
      </w:r>
    </w:p>
    <w:p w14:paraId="7B505CD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在线氨氮传感器</w:t>
      </w:r>
      <w:r>
        <w:rPr>
          <w:rFonts w:hint="eastAsia"/>
          <w:b/>
          <w:bCs/>
          <w:lang w:eastAsia="zh-CN"/>
        </w:rPr>
        <w:t>：</w:t>
      </w:r>
    </w:p>
    <w:p w14:paraId="507BC0D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lang w:eastAsia="zh-CN"/>
        </w:rPr>
      </w:pPr>
      <w:r>
        <w:rPr>
          <w:rFonts w:hint="eastAsia"/>
          <w:b w:val="0"/>
          <w:bCs w:val="0"/>
          <w:lang w:eastAsia="zh-CN"/>
        </w:rPr>
        <w:t>（1）膜头用去离子水清洗，勿碰伤，测量时距底部至少2cm，敏感膜内无气泡，可轻敲除泡。</w:t>
      </w:r>
    </w:p>
    <w:p w14:paraId="4A92684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lang w:eastAsia="zh-CN"/>
        </w:rPr>
      </w:pPr>
      <w:r>
        <w:rPr>
          <w:rFonts w:hint="eastAsia"/>
          <w:b w:val="0"/>
          <w:bCs w:val="0"/>
          <w:lang w:eastAsia="zh-CN"/>
        </w:rPr>
        <w:t>（2）避免放腐蚀性、能腐蚀PVC溶液（如强酸），酮类及饱和有机物溶液（如四氢呋喃、蛋白质溶液），强电磁和核辐射环境；不建议在成分复杂液体（如海水、电镀废水）长期放置。</w:t>
      </w:r>
    </w:p>
    <w:p w14:paraId="3BB1A89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lang w:eastAsia="zh-CN"/>
        </w:rPr>
      </w:pPr>
      <w:r>
        <w:rPr>
          <w:rFonts w:hint="eastAsia"/>
          <w:b w:val="0"/>
          <w:bCs w:val="0"/>
          <w:lang w:eastAsia="zh-CN"/>
        </w:rPr>
        <w:t>（3）检查通讯时，两电极须浸泡在溶液中。</w:t>
      </w:r>
    </w:p>
    <w:p w14:paraId="0777BD1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lang w:eastAsia="zh-CN"/>
        </w:rPr>
      </w:pPr>
      <w:r>
        <w:rPr>
          <w:rFonts w:hint="eastAsia"/>
          <w:b w:val="0"/>
          <w:bCs w:val="0"/>
          <w:lang w:eastAsia="zh-CN"/>
        </w:rPr>
        <w:t>（4）标液有使用次数限制，1mg/L的2次/瓶、10mg/L的4次/瓶、100mg/L的6次/瓶。</w:t>
      </w:r>
    </w:p>
    <w:p w14:paraId="73B0436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lang w:eastAsia="zh-CN"/>
        </w:rPr>
      </w:pPr>
      <w:r>
        <w:rPr>
          <w:rFonts w:hint="eastAsia"/>
          <w:b w:val="0"/>
          <w:bCs w:val="0"/>
          <w:lang w:eastAsia="zh-CN"/>
        </w:rPr>
        <w:t xml:space="preserve">（5）注意保护参比电极外漏白色布条，勿揪出损坏。 </w:t>
      </w:r>
    </w:p>
    <w:p w14:paraId="6A76248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lang w:eastAsia="zh-CN"/>
        </w:rPr>
      </w:pPr>
      <w:r>
        <w:rPr>
          <w:rFonts w:hint="eastAsia"/>
          <w:b w:val="0"/>
          <w:bCs w:val="0"/>
          <w:lang w:eastAsia="zh-CN"/>
        </w:rPr>
        <w:t>（6）防止电极长期浸泡在蒸馏水或蛋白质溶液中，避免与有机硅油脂接触。</w:t>
      </w:r>
    </w:p>
    <w:p w14:paraId="44124A5D">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在线氨氮分析仪</w:t>
      </w:r>
      <w:r>
        <w:rPr>
          <w:rFonts w:hint="eastAsia"/>
          <w:b/>
          <w:bCs/>
          <w:lang w:eastAsia="zh-CN"/>
        </w:rPr>
        <w:t>：</w:t>
      </w:r>
    </w:p>
    <w:p w14:paraId="1C156966">
      <w:pPr>
        <w:rPr>
          <w:rFonts w:hint="eastAsia"/>
          <w:b w:val="0"/>
          <w:bCs w:val="0"/>
          <w:lang w:eastAsia="zh-CN"/>
        </w:rPr>
      </w:pPr>
      <w:r>
        <w:rPr>
          <w:rFonts w:hint="eastAsia"/>
          <w:b w:val="0"/>
          <w:bCs w:val="0"/>
          <w:lang w:eastAsia="zh-CN"/>
        </w:rPr>
        <w:t xml:space="preserve">（1）高浓度余氯或硫化物水样需预处理，防止干扰显色反应。  </w:t>
      </w:r>
    </w:p>
    <w:p w14:paraId="62B78AFC">
      <w:pPr>
        <w:rPr>
          <w:rFonts w:hint="eastAsia"/>
          <w:b w:val="0"/>
          <w:bCs w:val="0"/>
          <w:lang w:eastAsia="zh-CN"/>
        </w:rPr>
      </w:pPr>
      <w:r>
        <w:rPr>
          <w:rFonts w:hint="eastAsia"/>
          <w:b w:val="0"/>
          <w:bCs w:val="0"/>
          <w:lang w:eastAsia="zh-CN"/>
        </w:rPr>
        <w:t xml:space="preserve">（2）试剂避光保存，显色反应后废液含重金属需单独处理。  </w:t>
      </w:r>
    </w:p>
    <w:p w14:paraId="58D93CD0">
      <w:pPr>
        <w:rPr>
          <w:rFonts w:hint="eastAsia"/>
          <w:b w:val="0"/>
          <w:bCs w:val="0"/>
          <w:lang w:eastAsia="zh-CN"/>
        </w:rPr>
      </w:pPr>
      <w:r>
        <w:rPr>
          <w:rFonts w:hint="eastAsia"/>
          <w:b w:val="0"/>
          <w:bCs w:val="0"/>
          <w:lang w:eastAsia="zh-CN"/>
        </w:rPr>
        <w:t xml:space="preserve">（3）避免剧烈震动，防止比色系统光路偏移。  </w:t>
      </w:r>
    </w:p>
    <w:p w14:paraId="38EE076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在线光学硝氮传感器</w:t>
      </w:r>
      <w:r>
        <w:rPr>
          <w:rFonts w:hint="eastAsia"/>
          <w:b/>
          <w:bCs/>
          <w:lang w:eastAsia="zh-CN"/>
        </w:rPr>
        <w:t>：</w:t>
      </w:r>
    </w:p>
    <w:p w14:paraId="696E566A">
      <w:pPr>
        <w:rPr>
          <w:rFonts w:hint="eastAsia"/>
          <w:b w:val="0"/>
          <w:bCs w:val="0"/>
          <w:lang w:eastAsia="zh-CN"/>
        </w:rPr>
      </w:pPr>
      <w:r>
        <w:rPr>
          <w:rFonts w:hint="eastAsia"/>
          <w:b w:val="0"/>
          <w:bCs w:val="0"/>
          <w:lang w:eastAsia="zh-CN"/>
        </w:rPr>
        <w:t>1）安装时离水面深度不超2米，低于可能的最低水位30cm以下，避免水流冲击致其撞击水利设施，水流急时固定传感器，放置在无气泡位置，建议水平放置并使测量区域迎向水流方向，给线缆装保护套。</w:t>
      </w:r>
    </w:p>
    <w:p w14:paraId="43E03197">
      <w:pPr>
        <w:rPr>
          <w:rFonts w:hint="eastAsia"/>
          <w:b w:val="0"/>
          <w:bCs w:val="0"/>
          <w:lang w:eastAsia="zh-CN"/>
        </w:rPr>
      </w:pPr>
      <w:r>
        <w:rPr>
          <w:rFonts w:hint="eastAsia"/>
          <w:b w:val="0"/>
          <w:bCs w:val="0"/>
          <w:lang w:eastAsia="zh-CN"/>
        </w:rPr>
        <w:t>（2）仔细检查5芯双绞屏蔽线接线顺序，做好防水处理，使用防腐蚀线缆，防止接线错误和线路损坏。</w:t>
      </w:r>
    </w:p>
    <w:p w14:paraId="60FFD541">
      <w:pPr>
        <w:rPr>
          <w:rFonts w:hint="eastAsia"/>
          <w:b w:val="0"/>
          <w:bCs w:val="0"/>
          <w:lang w:eastAsia="zh-CN"/>
        </w:rPr>
      </w:pPr>
      <w:r>
        <w:rPr>
          <w:rFonts w:hint="eastAsia"/>
          <w:b w:val="0"/>
          <w:bCs w:val="0"/>
          <w:lang w:eastAsia="zh-CN"/>
        </w:rPr>
        <w:t>（3）避免阳光暴晒，勿触摸测量区域，测量和校准时防止表面附着气泡，避免施加机械应力。</w:t>
      </w:r>
    </w:p>
    <w:p w14:paraId="43166FB8">
      <w:pPr>
        <w:rPr>
          <w:rFonts w:hint="eastAsia"/>
          <w:b w:val="0"/>
          <w:bCs w:val="0"/>
          <w:lang w:eastAsia="zh-CN"/>
        </w:rPr>
      </w:pPr>
      <w:r>
        <w:rPr>
          <w:rFonts w:hint="eastAsia"/>
          <w:b w:val="0"/>
          <w:bCs w:val="0"/>
          <w:lang w:eastAsia="zh-CN"/>
        </w:rPr>
        <w:t xml:space="preserve">（4）操作界面无连接或无测量结果，检查控制器与线缆连接或联系厂家；测量值异常，清洗视窗表面或更换清洁刷。 </w:t>
      </w:r>
    </w:p>
    <w:p w14:paraId="2BA135C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在线高锰酸盐指数分析仪</w:t>
      </w:r>
      <w:r>
        <w:rPr>
          <w:rFonts w:hint="eastAsia"/>
          <w:b/>
          <w:bCs/>
          <w:lang w:eastAsia="zh-CN"/>
        </w:rPr>
        <w:t>：</w:t>
      </w:r>
    </w:p>
    <w:p w14:paraId="14FB58BD">
      <w:pPr>
        <w:rPr>
          <w:rFonts w:hint="eastAsia"/>
          <w:b w:val="0"/>
          <w:bCs w:val="0"/>
          <w:lang w:eastAsia="zh-CN"/>
        </w:rPr>
      </w:pPr>
      <w:r>
        <w:rPr>
          <w:rFonts w:hint="eastAsia"/>
          <w:b w:val="0"/>
          <w:bCs w:val="0"/>
          <w:lang w:eastAsia="zh-CN"/>
        </w:rPr>
        <w:t xml:space="preserve">（1）高锰酸钾属强氧化剂，需单独存放，远离有机物和酸类。  </w:t>
      </w:r>
    </w:p>
    <w:p w14:paraId="24EC3971">
      <w:pPr>
        <w:rPr>
          <w:rFonts w:hint="eastAsia"/>
          <w:b w:val="0"/>
          <w:bCs w:val="0"/>
          <w:lang w:eastAsia="zh-CN"/>
        </w:rPr>
      </w:pPr>
      <w:r>
        <w:rPr>
          <w:rFonts w:hint="eastAsia"/>
          <w:b w:val="0"/>
          <w:bCs w:val="0"/>
          <w:lang w:eastAsia="zh-CN"/>
        </w:rPr>
        <w:t xml:space="preserve">（2）消解温度需严格控制在100±2℃，避免反应不完全。  </w:t>
      </w:r>
    </w:p>
    <w:p w14:paraId="2C767B53">
      <w:pPr>
        <w:rPr>
          <w:rFonts w:hint="eastAsia"/>
          <w:b w:val="0"/>
          <w:bCs w:val="0"/>
          <w:lang w:eastAsia="zh-CN"/>
        </w:rPr>
      </w:pPr>
      <w:r>
        <w:rPr>
          <w:rFonts w:hint="eastAsia"/>
          <w:b w:val="0"/>
          <w:bCs w:val="0"/>
          <w:lang w:eastAsia="zh-CN"/>
        </w:rPr>
        <w:t xml:space="preserve">（3）废液含重金属和酸性物质，需中和后按危废处理。  </w:t>
      </w:r>
    </w:p>
    <w:p w14:paraId="4C2453A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在线余氯</w:t>
      </w:r>
      <w:r>
        <w:rPr>
          <w:rFonts w:hint="eastAsia"/>
          <w:b/>
          <w:bCs/>
          <w:lang w:val="en-US" w:eastAsia="zh-CN"/>
        </w:rPr>
        <w:t>/二氧化氯/臭氧</w:t>
      </w:r>
      <w:r>
        <w:rPr>
          <w:rFonts w:hint="eastAsia"/>
          <w:b/>
          <w:bCs/>
        </w:rPr>
        <w:t>传感器</w:t>
      </w:r>
      <w:r>
        <w:rPr>
          <w:rFonts w:hint="eastAsia"/>
          <w:b/>
          <w:bCs/>
          <w:lang w:eastAsia="zh-CN"/>
        </w:rPr>
        <w:t>：</w:t>
      </w:r>
    </w:p>
    <w:p w14:paraId="5531529D">
      <w:pPr>
        <w:rPr>
          <w:rFonts w:hint="eastAsia"/>
          <w:b w:val="0"/>
          <w:bCs w:val="0"/>
          <w:lang w:eastAsia="zh-CN"/>
        </w:rPr>
      </w:pPr>
      <w:r>
        <w:rPr>
          <w:rFonts w:hint="eastAsia"/>
          <w:b w:val="0"/>
          <w:bCs w:val="0"/>
          <w:lang w:eastAsia="zh-CN"/>
        </w:rPr>
        <w:t>（1）测试水样PH应维持在6.00-8.00范围内，避免将传感器长期浸泡在无氯的水样中。</w:t>
      </w:r>
    </w:p>
    <w:p w14:paraId="0B059DB2">
      <w:pPr>
        <w:rPr>
          <w:rFonts w:hint="eastAsia"/>
          <w:b w:val="0"/>
          <w:bCs w:val="0"/>
          <w:lang w:eastAsia="zh-CN"/>
        </w:rPr>
      </w:pPr>
      <w:r>
        <w:rPr>
          <w:rFonts w:hint="eastAsia"/>
          <w:b w:val="0"/>
          <w:bCs w:val="0"/>
          <w:lang w:eastAsia="zh-CN"/>
        </w:rPr>
        <w:t>（2）测试过程传感器持续浸泡在水样中，禁止通电干烧；停止测量先断电，后断水。</w:t>
      </w:r>
    </w:p>
    <w:p w14:paraId="3A96C94A">
      <w:pPr>
        <w:rPr>
          <w:rFonts w:hint="eastAsia"/>
          <w:b w:val="0"/>
          <w:bCs w:val="0"/>
          <w:lang w:eastAsia="zh-CN"/>
        </w:rPr>
      </w:pPr>
      <w:r>
        <w:rPr>
          <w:rFonts w:hint="eastAsia"/>
          <w:b w:val="0"/>
          <w:bCs w:val="0"/>
          <w:lang w:eastAsia="zh-CN"/>
        </w:rPr>
        <w:t>（3）若校准后数值仍不准确，可返厂检查。</w:t>
      </w:r>
    </w:p>
    <w:p w14:paraId="6392EBA5">
      <w:pPr>
        <w:rPr>
          <w:rFonts w:hint="eastAsia"/>
          <w:b w:val="0"/>
          <w:bCs w:val="0"/>
          <w:lang w:eastAsia="zh-CN"/>
        </w:rPr>
      </w:pPr>
      <w:r>
        <w:rPr>
          <w:rFonts w:hint="eastAsia"/>
          <w:b w:val="0"/>
          <w:bCs w:val="0"/>
          <w:lang w:eastAsia="zh-CN"/>
        </w:rPr>
        <w:t xml:space="preserve">（4）建议搭配流通池使用，流量控制在30-60L/h 。 </w:t>
      </w:r>
    </w:p>
    <w:p w14:paraId="782861E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在线余氯分析仪</w:t>
      </w:r>
      <w:r>
        <w:rPr>
          <w:rFonts w:hint="eastAsia"/>
          <w:b/>
          <w:bCs/>
          <w:lang w:eastAsia="zh-CN"/>
        </w:rPr>
        <w:t>：</w:t>
      </w:r>
    </w:p>
    <w:p w14:paraId="3F5B816B">
      <w:pPr>
        <w:rPr>
          <w:rFonts w:hint="eastAsia"/>
          <w:b w:val="0"/>
          <w:bCs w:val="0"/>
          <w:lang w:eastAsia="zh-CN"/>
        </w:rPr>
      </w:pPr>
      <w:r>
        <w:rPr>
          <w:rFonts w:hint="eastAsia"/>
          <w:b w:val="0"/>
          <w:bCs w:val="0"/>
          <w:lang w:eastAsia="zh-CN"/>
        </w:rPr>
        <w:t xml:space="preserve">（1） 比色过程需严格避光，避免显色反应受光照干扰。  </w:t>
      </w:r>
    </w:p>
    <w:p w14:paraId="72DDFC96">
      <w:pPr>
        <w:rPr>
          <w:rFonts w:hint="eastAsia"/>
          <w:b w:val="0"/>
          <w:bCs w:val="0"/>
          <w:lang w:eastAsia="zh-CN"/>
        </w:rPr>
      </w:pPr>
      <w:r>
        <w:rPr>
          <w:rFonts w:hint="eastAsia"/>
          <w:b w:val="0"/>
          <w:bCs w:val="0"/>
          <w:lang w:eastAsia="zh-CN"/>
        </w:rPr>
        <w:t xml:space="preserve">（2）高浓度臭氧或二氧化氯需增加预处理，防止假阳性。  </w:t>
      </w:r>
    </w:p>
    <w:p w14:paraId="5EC60940">
      <w:pPr>
        <w:rPr>
          <w:rFonts w:hint="eastAsia"/>
          <w:b w:val="0"/>
          <w:bCs w:val="0"/>
          <w:lang w:eastAsia="zh-CN"/>
        </w:rPr>
      </w:pPr>
      <w:r>
        <w:rPr>
          <w:rFonts w:hint="eastAsia"/>
          <w:b w:val="0"/>
          <w:bCs w:val="0"/>
          <w:lang w:eastAsia="zh-CN"/>
        </w:rPr>
        <w:t xml:space="preserve">（3）废液含DPD显色剂，需收集后统一处理，禁止直排。  </w:t>
      </w:r>
    </w:p>
    <w:p w14:paraId="1A4DD4F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lang w:eastAsia="zh-CN"/>
        </w:rPr>
        <w:t>在线全光谱多参数传感器：</w:t>
      </w:r>
    </w:p>
    <w:p w14:paraId="33F771BF">
      <w:pPr>
        <w:rPr>
          <w:rFonts w:hint="eastAsia"/>
          <w:b w:val="0"/>
          <w:bCs w:val="0"/>
          <w:lang w:eastAsia="zh-CN"/>
        </w:rPr>
      </w:pPr>
      <w:r>
        <w:rPr>
          <w:rFonts w:hint="eastAsia"/>
          <w:b w:val="0"/>
          <w:bCs w:val="0"/>
          <w:lang w:eastAsia="zh-CN"/>
        </w:rPr>
        <w:t>（1）防止传感器受到剧烈机械撞击，使用中避免对其直接施加机械应力（压力、划痕等）。</w:t>
      </w:r>
    </w:p>
    <w:p w14:paraId="2CE52806">
      <w:pPr>
        <w:rPr>
          <w:rFonts w:hint="eastAsia"/>
          <w:b w:val="0"/>
          <w:bCs w:val="0"/>
          <w:lang w:eastAsia="zh-CN"/>
        </w:rPr>
      </w:pPr>
      <w:r>
        <w:rPr>
          <w:rFonts w:hint="eastAsia"/>
          <w:b w:val="0"/>
          <w:bCs w:val="0"/>
          <w:lang w:eastAsia="zh-CN"/>
        </w:rPr>
        <w:t>（2）避免传感器被阳光暴晒，不要用手触摸传感器。</w:t>
      </w:r>
    </w:p>
    <w:p w14:paraId="4A5DFCE2">
      <w:pPr>
        <w:rPr>
          <w:rFonts w:hint="eastAsia"/>
          <w:b w:val="0"/>
          <w:bCs w:val="0"/>
          <w:lang w:eastAsia="zh-CN"/>
        </w:rPr>
      </w:pPr>
      <w:r>
        <w:rPr>
          <w:rFonts w:hint="eastAsia"/>
          <w:b w:val="0"/>
          <w:bCs w:val="0"/>
          <w:lang w:eastAsia="zh-CN"/>
        </w:rPr>
        <w:t>（3）测量和校准时，确保传感器表面无气泡附着。</w:t>
      </w:r>
    </w:p>
    <w:p w14:paraId="6BEC600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lang w:eastAsia="zh-CN"/>
        </w:rPr>
        <w:t>便携式多参数分析仪：</w:t>
      </w:r>
    </w:p>
    <w:p w14:paraId="326F4DC8">
      <w:pPr>
        <w:rPr>
          <w:rFonts w:hint="eastAsia"/>
          <w:b w:val="0"/>
          <w:bCs w:val="0"/>
          <w:lang w:eastAsia="zh-CN"/>
        </w:rPr>
      </w:pPr>
      <w:r>
        <w:rPr>
          <w:rFonts w:hint="eastAsia"/>
          <w:b w:val="0"/>
          <w:bCs w:val="0"/>
          <w:lang w:eastAsia="zh-CN"/>
        </w:rPr>
        <w:t>（1）仪器的维修需要专业人员操作，非专业人员请勿自行维修。维修或因其他原因拆卸外壳时必须切断电源。</w:t>
      </w:r>
    </w:p>
    <w:p w14:paraId="6EF5924D">
      <w:pPr>
        <w:rPr>
          <w:rFonts w:hint="eastAsia"/>
          <w:b w:val="0"/>
          <w:bCs w:val="0"/>
          <w:lang w:eastAsia="zh-CN"/>
        </w:rPr>
      </w:pPr>
      <w:r>
        <w:rPr>
          <w:rFonts w:hint="eastAsia"/>
          <w:b w:val="0"/>
          <w:bCs w:val="0"/>
          <w:lang w:eastAsia="zh-CN"/>
        </w:rPr>
        <w:t>（2）使用设备前做好防护措施，避免接触质量控制物、标准样本、废弃液体等可能有生物危害、腐蚀或有毒的物质。使用本仪器配套或推荐的试剂，禁止在强辐射源旁使用设备。</w:t>
      </w:r>
    </w:p>
    <w:p w14:paraId="0C99345A">
      <w:pPr>
        <w:rPr>
          <w:rFonts w:hint="eastAsia"/>
          <w:b w:val="0"/>
          <w:bCs w:val="0"/>
          <w:lang w:eastAsia="zh-CN"/>
        </w:rPr>
      </w:pPr>
      <w:r>
        <w:rPr>
          <w:rFonts w:hint="eastAsia"/>
          <w:b w:val="0"/>
          <w:bCs w:val="0"/>
          <w:lang w:eastAsia="zh-CN"/>
        </w:rPr>
        <w:t>（3）仪器正常工作环境温度为5℃～40℃，相对湿度30%～80%，需远离强电磁场干扰源，工作场地防尘、防振，空气中无酸、盐等腐蚀性气体。运输时包装完好，防止剧烈冲击、雨淋和暴晒，中转时合理堆放。贮存时放置在阴凉干燥、防湿通风处，不能露天堆放，避免雨雪浸入，贮存运输环境温度 -20℃～ +55℃，相对湿度≤93%，无腐蚀性气体且通风良好。</w:t>
      </w:r>
    </w:p>
    <w:p w14:paraId="768C9BB9">
      <w:pPr>
        <w:rPr>
          <w:rFonts w:hint="eastAsia"/>
          <w:b w:val="0"/>
          <w:bCs w:val="0"/>
          <w:lang w:eastAsia="zh-CN"/>
        </w:rPr>
      </w:pPr>
      <w:r>
        <w:rPr>
          <w:rFonts w:hint="eastAsia"/>
          <w:b w:val="0"/>
          <w:bCs w:val="0"/>
          <w:lang w:eastAsia="zh-CN"/>
        </w:rPr>
        <w:t xml:space="preserve">（4）请勿让任何溶剂、油脂类、腐蚀性物质接触仪器。仪器使用期限为6年，效期结束后按规定处理或联系回收，避免污染环境。 </w:t>
      </w:r>
    </w:p>
    <w:p w14:paraId="0947B4C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rPr>
        <w:t>电磁流量计</w:t>
      </w:r>
      <w:r>
        <w:rPr>
          <w:rFonts w:hint="eastAsia"/>
          <w:b/>
          <w:bCs/>
          <w:lang w:eastAsia="zh-CN"/>
        </w:rPr>
        <w:t>：</w:t>
      </w:r>
    </w:p>
    <w:p w14:paraId="149BB5BA">
      <w:pPr>
        <w:rPr>
          <w:rFonts w:hint="eastAsia"/>
          <w:b w:val="0"/>
          <w:bCs w:val="0"/>
          <w:lang w:eastAsia="zh-CN"/>
        </w:rPr>
      </w:pPr>
      <w:r>
        <w:rPr>
          <w:rFonts w:hint="eastAsia"/>
          <w:b w:val="0"/>
          <w:bCs w:val="0"/>
          <w:lang w:eastAsia="zh-CN"/>
        </w:rPr>
        <w:t>（1）应由专业人员进行设备操作和维护，操作前需熟悉设备说明书和操作规程。进行参数设置、密码修改、故障处理等操作时，严格按照规定步骤进行，避免误操作导致设备损坏或测量不准确。如修改密码时要牢记新密码，丢失密码可能影响设备正常使用 。</w:t>
      </w:r>
    </w:p>
    <w:p w14:paraId="3FF6EB63">
      <w:pPr>
        <w:rPr>
          <w:rFonts w:hint="eastAsia"/>
          <w:b w:val="0"/>
          <w:bCs w:val="0"/>
          <w:lang w:eastAsia="zh-CN"/>
        </w:rPr>
      </w:pPr>
      <w:r>
        <w:rPr>
          <w:rFonts w:hint="eastAsia"/>
          <w:b w:val="0"/>
          <w:bCs w:val="0"/>
          <w:lang w:eastAsia="zh-CN"/>
        </w:rPr>
        <w:t>（2）电磁流量计应在规定的环境条件下使用和存放。环境温度应控制在一体型 -10～+60℃，相对湿度在5%～90% 。避免设备在强电磁场干扰源附近使用，防止干扰测量信号。存放时要选择防雨、防潮、机械振动小且避免冲击的室内环境，温度范围 -20～+60℃，湿度不大于80% 。</w:t>
      </w:r>
    </w:p>
    <w:p w14:paraId="47EE80CB">
      <w:pPr>
        <w:rPr>
          <w:rFonts w:hint="eastAsia"/>
          <w:b w:val="0"/>
          <w:bCs w:val="0"/>
          <w:lang w:eastAsia="zh-CN"/>
        </w:rPr>
      </w:pPr>
      <w:r>
        <w:rPr>
          <w:rFonts w:hint="eastAsia"/>
          <w:b w:val="0"/>
          <w:bCs w:val="0"/>
          <w:lang w:eastAsia="zh-CN"/>
        </w:rPr>
        <w:t>（3）电磁流量转换器的印刷电路板采用表面焊接技术，用户不能打开转换器壳体，以免损坏内部电路或影响设备性能。若设备出现故障，应联系专业维修人员进行检修 。</w:t>
      </w:r>
    </w:p>
    <w:p w14:paraId="255300F1">
      <w:pPr>
        <w:rPr>
          <w:rFonts w:hint="eastAsia"/>
          <w:b w:val="0"/>
          <w:bCs w:val="0"/>
          <w:lang w:eastAsia="zh-CN"/>
        </w:rPr>
      </w:pPr>
      <w:r>
        <w:rPr>
          <w:rFonts w:hint="eastAsia"/>
          <w:b w:val="0"/>
          <w:bCs w:val="0"/>
          <w:lang w:eastAsia="zh-CN"/>
        </w:rPr>
        <w:t xml:space="preserve">（4）设备出现故障时，如仪表无显示、励磁报警、空管报警、测量流量不准确等，应根据故障提示和说明书进行排查。例如，仪表无显示时，检查电源是否接通、保险丝是否完好、供电电压是否符合要求；励磁报警时，检查励磁接线、传感器励磁线圈电阻等。对于无法自行解决的故障，及时联系厂家售后或专业维修机构，不得擅自拆解修理 。 </w:t>
      </w:r>
    </w:p>
    <w:p w14:paraId="456E1CB3">
      <w:pPr>
        <w:rPr>
          <w:rFonts w:hint="eastAsia"/>
          <w:b w:val="0"/>
          <w:bCs w:val="0"/>
          <w:lang w:eastAsia="zh-CN"/>
        </w:rPr>
      </w:pPr>
      <w:r>
        <w:rPr>
          <w:rFonts w:hint="eastAsia"/>
          <w:b w:val="0"/>
          <w:bCs w:val="0"/>
          <w:lang w:eastAsia="zh-CN"/>
        </w:rPr>
        <w:t xml:space="preserve">（5）安装电磁流量计时，要保证进出口有足够的直管段距离，一般上游为10倍管道内径，下游为5倍管道内径。水平安装时电极轴线近似水平，避免安装在水泵进口处、管道最高点或可能出现不满管的位置。安装位置应方便读数和操作，防止暴晒、过大温差和滴漏，合理支撑流量计，避免其作为负重支撑点 。 </w:t>
      </w:r>
    </w:p>
    <w:p w14:paraId="009CBB5E">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lang w:eastAsia="zh-CN"/>
        </w:rPr>
      </w:pPr>
      <w:r>
        <w:rPr>
          <w:rFonts w:hint="eastAsia"/>
          <w:b/>
          <w:bCs/>
          <w:lang w:val="en-US" w:eastAsia="zh-CN"/>
        </w:rPr>
        <w:t>超声波液位计</w:t>
      </w:r>
      <w:r>
        <w:rPr>
          <w:rFonts w:hint="eastAsia"/>
          <w:b/>
          <w:bCs/>
          <w:lang w:eastAsia="zh-CN"/>
        </w:rPr>
        <w:t>：</w:t>
      </w:r>
    </w:p>
    <w:p w14:paraId="523FBA2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lang w:eastAsia="zh-CN"/>
        </w:rPr>
      </w:pPr>
      <w:r>
        <w:rPr>
          <w:rFonts w:hint="eastAsia"/>
          <w:b w:val="0"/>
          <w:bCs w:val="0"/>
          <w:lang w:eastAsia="zh-CN"/>
        </w:rPr>
        <w:t>（1）远离强电磁干扰源和振动源，防止液体飞溅、浸没传感器，注意环境温湿度。</w:t>
      </w:r>
    </w:p>
    <w:p w14:paraId="0EAADF5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lang w:eastAsia="zh-CN"/>
        </w:rPr>
      </w:pPr>
      <w:r>
        <w:rPr>
          <w:rFonts w:hint="eastAsia"/>
          <w:b w:val="0"/>
          <w:bCs w:val="0"/>
          <w:lang w:eastAsia="zh-CN"/>
        </w:rPr>
        <w:t>（2）严格按手册流程操作，维护时切断电源，由专业人员进行。</w:t>
      </w:r>
    </w:p>
    <w:p w14:paraId="6EBD292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lang w:eastAsia="zh-CN"/>
        </w:rPr>
      </w:pPr>
      <w:r>
        <w:rPr>
          <w:rFonts w:hint="eastAsia"/>
          <w:b w:val="0"/>
          <w:bCs w:val="0"/>
          <w:lang w:eastAsia="zh-CN"/>
        </w:rPr>
        <w:t xml:space="preserve">（3）制定并执行定期维护计划，做好维护记录。 </w:t>
      </w:r>
    </w:p>
    <w:p w14:paraId="73F64B4F">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b/>
          <w:bCs/>
          <w:lang w:val="en-US" w:eastAsia="zh-CN"/>
        </w:rPr>
      </w:pPr>
      <w:r>
        <w:rPr>
          <w:rFonts w:hint="eastAsia"/>
          <w:b/>
          <w:bCs/>
          <w:lang w:val="en-US" w:eastAsia="zh-CN"/>
        </w:rPr>
        <w:t>污泥界面仪：</w:t>
      </w:r>
    </w:p>
    <w:p w14:paraId="37740CAB">
      <w:pPr>
        <w:rPr>
          <w:rFonts w:hint="eastAsia"/>
        </w:rPr>
      </w:pPr>
      <w:r>
        <w:rPr>
          <w:rFonts w:hint="eastAsia"/>
        </w:rPr>
        <w:t>（1）安装位置要避免强电磁干扰，远离大型电机、变压器等设备。同时，要防止设备受到剧烈振动，保证测量的稳定性。</w:t>
      </w:r>
    </w:p>
    <w:p w14:paraId="387DA618">
      <w:pPr>
        <w:rPr>
          <w:rFonts w:hint="eastAsia"/>
        </w:rPr>
      </w:pPr>
      <w:r>
        <w:rPr>
          <w:rFonts w:hint="eastAsia"/>
        </w:rPr>
        <w:t>（2）维护操作需由专业人员进行，严格依照操作手册执行。清洁、校准等操作时，务必先切断电源，防止触电事故。</w:t>
      </w:r>
    </w:p>
    <w:p w14:paraId="7956D8DD">
      <w:pPr>
        <w:rPr>
          <w:rFonts w:hint="eastAsia"/>
        </w:rPr>
      </w:pPr>
      <w:r>
        <w:rPr>
          <w:rFonts w:hint="eastAsia"/>
        </w:rPr>
        <w:t>（3）多数污泥界面仪在潮湿环境下工作，要做好防水措施，防止水进入设备内部损坏电子元件。若设备长时间停用，应放置在干燥通风处。</w:t>
      </w:r>
    </w:p>
    <w:p w14:paraId="67A7667E">
      <w:pPr>
        <w:rPr>
          <w:rFonts w:hint="eastAsia"/>
        </w:rPr>
      </w:pPr>
      <w:r>
        <w:rPr>
          <w:rFonts w:hint="eastAsia"/>
        </w:rPr>
        <w:t xml:space="preserve">（4）制定定期维护计划，明确维护周期和内容。每次维护后，详细记录维护情况，包括维护时间、维护项目、更换的部件等，便于后续查询和分析。 </w:t>
      </w:r>
    </w:p>
    <w:p w14:paraId="3C8BC9D7">
      <w:pPr>
        <w:rPr>
          <w:rFonts w:hint="eastAsia"/>
        </w:rPr>
      </w:pPr>
    </w:p>
    <w:p w14:paraId="000F6734">
      <w:pPr>
        <w:rPr>
          <w:rFonts w:hint="eastAsia"/>
        </w:rPr>
      </w:pPr>
    </w:p>
    <w:p w14:paraId="2A191B69">
      <w:pPr>
        <w:pStyle w:val="2"/>
        <w:rPr>
          <w:rFonts w:hint="eastAsia"/>
        </w:rPr>
      </w:pPr>
      <w:bookmarkStart w:id="25" w:name="_Toc6078"/>
      <w:bookmarkStart w:id="26" w:name="_Toc18219"/>
      <w:r>
        <w:rPr>
          <w:rFonts w:hint="eastAsia"/>
        </w:rPr>
        <w:t>案例展示</w:t>
      </w:r>
      <w:bookmarkEnd w:id="25"/>
      <w:bookmarkEnd w:id="26"/>
    </w:p>
    <w:p w14:paraId="203D48F6">
      <w:pPr>
        <w:pStyle w:val="3"/>
        <w:rPr>
          <w:rFonts w:hint="eastAsia"/>
        </w:rPr>
      </w:pPr>
      <w:bookmarkStart w:id="27" w:name="_Toc9871"/>
      <w:r>
        <w:rPr>
          <w:rFonts w:hint="eastAsia"/>
          <w:bCs/>
        </w:rPr>
        <w:t>案例一：</w:t>
      </w:r>
      <w:r>
        <w:rPr>
          <w:rFonts w:hint="eastAsia"/>
        </w:rPr>
        <w:t>某镇</w:t>
      </w:r>
      <w:r>
        <w:rPr>
          <w:rFonts w:hint="eastAsia"/>
          <w:lang w:val="en-US" w:eastAsia="zh-CN"/>
        </w:rPr>
        <w:t>供水站</w:t>
      </w:r>
      <w:r>
        <w:rPr>
          <w:rFonts w:hint="eastAsia"/>
        </w:rPr>
        <w:t>水质微站系统。</w:t>
      </w:r>
      <w:bookmarkEnd w:id="27"/>
    </w:p>
    <w:p w14:paraId="6A24D996">
      <w:pPr>
        <w:ind w:firstLine="480"/>
        <w:rPr>
          <w:rFonts w:hint="eastAsia"/>
        </w:rPr>
      </w:pPr>
      <w:r>
        <w:rPr>
          <w:rFonts w:hint="eastAsia"/>
        </w:rPr>
        <w:t>参数：PH、余氯、低浊</w:t>
      </w:r>
    </w:p>
    <w:p w14:paraId="22BC2FA1">
      <w:pPr>
        <w:ind w:firstLine="480"/>
        <w:jc w:val="center"/>
        <w:rPr>
          <w:rFonts w:hint="eastAsia" w:eastAsiaTheme="minorEastAsia"/>
        </w:rPr>
      </w:pPr>
      <w:r>
        <w:rPr>
          <w:rFonts w:hint="eastAsia" w:eastAsiaTheme="minorEastAsia"/>
        </w:rPr>
        <w:drawing>
          <wp:inline distT="0" distB="0" distL="114300" distR="114300">
            <wp:extent cx="1916430" cy="2214245"/>
            <wp:effectExtent l="0" t="0" r="0" b="0"/>
            <wp:docPr id="13" name="图片 13" descr="bd45ac0e3a534ad3950c7b12d7a6b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d45ac0e3a534ad3950c7b12d7a6b591"/>
                    <pic:cNvPicPr>
                      <a:picLocks noChangeAspect="1"/>
                    </pic:cNvPicPr>
                  </pic:nvPicPr>
                  <pic:blipFill>
                    <a:blip r:embed="rId50"/>
                    <a:srcRect l="37105" t="4838" r="35189" b="56991"/>
                    <a:stretch>
                      <a:fillRect/>
                    </a:stretch>
                  </pic:blipFill>
                  <pic:spPr>
                    <a:xfrm>
                      <a:off x="0" y="0"/>
                      <a:ext cx="1916430" cy="2214245"/>
                    </a:xfrm>
                    <a:prstGeom prst="rect">
                      <a:avLst/>
                    </a:prstGeom>
                  </pic:spPr>
                </pic:pic>
              </a:graphicData>
            </a:graphic>
          </wp:inline>
        </w:drawing>
      </w:r>
      <w:r>
        <w:rPr>
          <w:rFonts w:hint="eastAsia" w:eastAsiaTheme="minorEastAsia"/>
        </w:rPr>
        <w:drawing>
          <wp:inline distT="0" distB="0" distL="114300" distR="114300">
            <wp:extent cx="2850515" cy="2143125"/>
            <wp:effectExtent l="0" t="0" r="14605" b="5715"/>
            <wp:docPr id="8" name="图片 8" descr="bd45ac0e3a534ad3950c7b12d7a6b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d45ac0e3a534ad3950c7b12d7a6b591"/>
                    <pic:cNvPicPr>
                      <a:picLocks noChangeAspect="1"/>
                    </pic:cNvPicPr>
                  </pic:nvPicPr>
                  <pic:blipFill>
                    <a:blip r:embed="rId50"/>
                    <a:srcRect t="8764" r="62461" b="59876"/>
                    <a:stretch>
                      <a:fillRect/>
                    </a:stretch>
                  </pic:blipFill>
                  <pic:spPr>
                    <a:xfrm>
                      <a:off x="0" y="0"/>
                      <a:ext cx="2850515" cy="2143125"/>
                    </a:xfrm>
                    <a:prstGeom prst="rect">
                      <a:avLst/>
                    </a:prstGeom>
                  </pic:spPr>
                </pic:pic>
              </a:graphicData>
            </a:graphic>
          </wp:inline>
        </w:drawing>
      </w:r>
    </w:p>
    <w:p w14:paraId="287BE8B0">
      <w:pPr>
        <w:ind w:firstLine="480"/>
        <w:rPr>
          <w:rFonts w:hint="eastAsia" w:eastAsiaTheme="minorEastAsia"/>
        </w:rPr>
      </w:pPr>
      <w:r>
        <w:rPr>
          <w:rFonts w:hint="eastAsia" w:eastAsiaTheme="minorEastAsia"/>
        </w:rPr>
        <w:drawing>
          <wp:inline distT="0" distB="0" distL="114300" distR="114300">
            <wp:extent cx="1637665" cy="2332355"/>
            <wp:effectExtent l="0" t="0" r="8255" b="14605"/>
            <wp:docPr id="14" name="图片 14" descr="bd45ac0e3a534ad3950c7b12d7a6b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d45ac0e3a534ad3950c7b12d7a6b591"/>
                    <pic:cNvPicPr>
                      <a:picLocks noChangeAspect="1"/>
                    </pic:cNvPicPr>
                  </pic:nvPicPr>
                  <pic:blipFill>
                    <a:blip r:embed="rId50"/>
                    <a:srcRect l="64582" b="50817"/>
                    <a:stretch>
                      <a:fillRect/>
                    </a:stretch>
                  </pic:blipFill>
                  <pic:spPr>
                    <a:xfrm>
                      <a:off x="0" y="0"/>
                      <a:ext cx="1637665" cy="2332355"/>
                    </a:xfrm>
                    <a:prstGeom prst="rect">
                      <a:avLst/>
                    </a:prstGeom>
                  </pic:spPr>
                </pic:pic>
              </a:graphicData>
            </a:graphic>
          </wp:inline>
        </w:drawing>
      </w:r>
      <w:r>
        <w:rPr>
          <w:rFonts w:hint="eastAsia" w:eastAsiaTheme="minorEastAsia"/>
        </w:rPr>
        <w:drawing>
          <wp:inline distT="0" distB="0" distL="114300" distR="114300">
            <wp:extent cx="3319145" cy="2466340"/>
            <wp:effectExtent l="0" t="0" r="3175" b="2540"/>
            <wp:docPr id="12" name="图片 12" descr="bd45ac0e3a534ad3950c7b12d7a6b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d45ac0e3a534ad3950c7b12d7a6b591"/>
                    <pic:cNvPicPr>
                      <a:picLocks noChangeAspect="1"/>
                    </pic:cNvPicPr>
                  </pic:nvPicPr>
                  <pic:blipFill>
                    <a:blip r:embed="rId50"/>
                    <a:srcRect t="47991" r="32960"/>
                    <a:stretch>
                      <a:fillRect/>
                    </a:stretch>
                  </pic:blipFill>
                  <pic:spPr>
                    <a:xfrm>
                      <a:off x="0" y="0"/>
                      <a:ext cx="3319145" cy="2466340"/>
                    </a:xfrm>
                    <a:prstGeom prst="rect">
                      <a:avLst/>
                    </a:prstGeom>
                  </pic:spPr>
                </pic:pic>
              </a:graphicData>
            </a:graphic>
          </wp:inline>
        </w:drawing>
      </w:r>
    </w:p>
    <w:p w14:paraId="349A806E">
      <w:pPr>
        <w:ind w:firstLine="480"/>
        <w:rPr>
          <w:rFonts w:hint="eastAsia"/>
        </w:rPr>
      </w:pPr>
      <w:r>
        <w:drawing>
          <wp:inline distT="0" distB="0" distL="114300" distR="114300">
            <wp:extent cx="5269865" cy="4064000"/>
            <wp:effectExtent l="0" t="0" r="0"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51"/>
                    <a:srcRect b="8532"/>
                    <a:stretch>
                      <a:fillRect/>
                    </a:stretch>
                  </pic:blipFill>
                  <pic:spPr>
                    <a:xfrm>
                      <a:off x="0" y="0"/>
                      <a:ext cx="5269865" cy="4064000"/>
                    </a:xfrm>
                    <a:prstGeom prst="rect">
                      <a:avLst/>
                    </a:prstGeom>
                    <a:noFill/>
                    <a:ln>
                      <a:noFill/>
                    </a:ln>
                  </pic:spPr>
                </pic:pic>
              </a:graphicData>
            </a:graphic>
          </wp:inline>
        </w:drawing>
      </w:r>
    </w:p>
    <w:p w14:paraId="263DC34B">
      <w:pPr>
        <w:pStyle w:val="3"/>
        <w:rPr>
          <w:rFonts w:hint="eastAsia"/>
        </w:rPr>
      </w:pPr>
      <w:bookmarkStart w:id="28" w:name="_Toc7777"/>
      <w:r>
        <w:rPr>
          <w:rFonts w:hint="eastAsia"/>
          <w:bCs/>
        </w:rPr>
        <w:t>案例二：</w:t>
      </w:r>
      <w:r>
        <w:rPr>
          <w:rFonts w:hint="eastAsia"/>
        </w:rPr>
        <w:t>农村供水泵房</w:t>
      </w:r>
      <w:r>
        <w:rPr>
          <w:rFonts w:hint="eastAsia"/>
          <w:lang w:val="en-US" w:eastAsia="zh-CN"/>
        </w:rPr>
        <w:t>落地式</w:t>
      </w:r>
      <w:r>
        <w:rPr>
          <w:rFonts w:hint="eastAsia"/>
        </w:rPr>
        <w:t>供水水质微站系统。</w:t>
      </w:r>
      <w:bookmarkEnd w:id="28"/>
    </w:p>
    <w:p w14:paraId="2A79EB17">
      <w:pPr>
        <w:ind w:firstLine="480"/>
        <w:rPr>
          <w:rFonts w:hint="eastAsia"/>
        </w:rPr>
      </w:pPr>
      <w:r>
        <w:rPr>
          <w:rFonts w:hint="eastAsia"/>
        </w:rPr>
        <w:t>参数：PH、电导率、余氯、低浊、硝酸盐</w:t>
      </w:r>
    </w:p>
    <w:p w14:paraId="223C98D7">
      <w:pPr>
        <w:ind w:firstLine="480"/>
        <w:jc w:val="left"/>
        <w:rPr>
          <w:rFonts w:hint="eastAsia" w:eastAsiaTheme="minorEastAsia"/>
        </w:rPr>
      </w:pPr>
      <w:r>
        <w:rPr>
          <w:rFonts w:eastAsiaTheme="minorEastAsia"/>
        </w:rPr>
        <w:drawing>
          <wp:inline distT="0" distB="0" distL="114300" distR="114300">
            <wp:extent cx="2446655" cy="1836420"/>
            <wp:effectExtent l="0" t="0" r="6985" b="7620"/>
            <wp:docPr id="7" name="图片 7" descr="lADPJwY7aqo9UyXNDYDNEgA_4608_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lADPJwY7aqo9UyXNDYDNEgA_4608_3456"/>
                    <pic:cNvPicPr>
                      <a:picLocks noChangeAspect="1"/>
                    </pic:cNvPicPr>
                  </pic:nvPicPr>
                  <pic:blipFill>
                    <a:blip r:embed="rId52"/>
                    <a:stretch>
                      <a:fillRect/>
                    </a:stretch>
                  </pic:blipFill>
                  <pic:spPr>
                    <a:xfrm>
                      <a:off x="0" y="0"/>
                      <a:ext cx="2446655" cy="1836420"/>
                    </a:xfrm>
                    <a:prstGeom prst="rect">
                      <a:avLst/>
                    </a:prstGeom>
                  </pic:spPr>
                </pic:pic>
              </a:graphicData>
            </a:graphic>
          </wp:inline>
        </w:drawing>
      </w:r>
      <w:r>
        <w:rPr>
          <w:rFonts w:eastAsiaTheme="minorEastAsia"/>
        </w:rPr>
        <w:drawing>
          <wp:inline distT="0" distB="0" distL="114300" distR="114300">
            <wp:extent cx="2472690" cy="1854835"/>
            <wp:effectExtent l="0" t="0" r="11430" b="4445"/>
            <wp:docPr id="19" name="图片 19" descr="lADPD2eDbyqG86LNDYDNEgA_4608_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lADPD2eDbyqG86LNDYDNEgA_4608_3456"/>
                    <pic:cNvPicPr>
                      <a:picLocks noChangeAspect="1"/>
                    </pic:cNvPicPr>
                  </pic:nvPicPr>
                  <pic:blipFill>
                    <a:blip r:embed="rId53"/>
                    <a:stretch>
                      <a:fillRect/>
                    </a:stretch>
                  </pic:blipFill>
                  <pic:spPr>
                    <a:xfrm>
                      <a:off x="0" y="0"/>
                      <a:ext cx="2472690" cy="1854835"/>
                    </a:xfrm>
                    <a:prstGeom prst="rect">
                      <a:avLst/>
                    </a:prstGeom>
                  </pic:spPr>
                </pic:pic>
              </a:graphicData>
            </a:graphic>
          </wp:inline>
        </w:drawing>
      </w:r>
    </w:p>
    <w:p w14:paraId="09C02E86">
      <w:pPr>
        <w:ind w:firstLine="480"/>
        <w:jc w:val="left"/>
        <w:rPr>
          <w:rFonts w:hint="eastAsia" w:eastAsiaTheme="minorEastAsia"/>
        </w:rPr>
      </w:pPr>
      <w:r>
        <w:rPr>
          <w:rFonts w:eastAsiaTheme="minorEastAsia"/>
        </w:rPr>
        <w:drawing>
          <wp:inline distT="0" distB="0" distL="114300" distR="114300">
            <wp:extent cx="1666875" cy="2100580"/>
            <wp:effectExtent l="0" t="0" r="9525" b="13970"/>
            <wp:docPr id="16" name="图片 16" descr="lADPD4Bh5avz03fNEgDNDYA_3456_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lADPD4Bh5avz03fNEgDNDYA_3456_4608"/>
                    <pic:cNvPicPr>
                      <a:picLocks noChangeAspect="1"/>
                    </pic:cNvPicPr>
                  </pic:nvPicPr>
                  <pic:blipFill>
                    <a:blip r:embed="rId54"/>
                    <a:stretch>
                      <a:fillRect/>
                    </a:stretch>
                  </pic:blipFill>
                  <pic:spPr>
                    <a:xfrm>
                      <a:off x="0" y="0"/>
                      <a:ext cx="1666875" cy="2100580"/>
                    </a:xfrm>
                    <a:prstGeom prst="rect">
                      <a:avLst/>
                    </a:prstGeom>
                  </pic:spPr>
                </pic:pic>
              </a:graphicData>
            </a:graphic>
          </wp:inline>
        </w:drawing>
      </w:r>
      <w:r>
        <w:rPr>
          <w:rFonts w:eastAsiaTheme="minorEastAsia"/>
        </w:rPr>
        <w:drawing>
          <wp:inline distT="0" distB="0" distL="114300" distR="114300">
            <wp:extent cx="1666240" cy="2222500"/>
            <wp:effectExtent l="0" t="0" r="10160" b="2540"/>
            <wp:docPr id="21" name="图片 21" descr="lADPD4PvZFC6iKDNEgDNDYA_3456_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lADPD4PvZFC6iKDNEgDNDYA_3456_4608"/>
                    <pic:cNvPicPr>
                      <a:picLocks noChangeAspect="1"/>
                    </pic:cNvPicPr>
                  </pic:nvPicPr>
                  <pic:blipFill>
                    <a:blip r:embed="rId55"/>
                    <a:stretch>
                      <a:fillRect/>
                    </a:stretch>
                  </pic:blipFill>
                  <pic:spPr>
                    <a:xfrm>
                      <a:off x="0" y="0"/>
                      <a:ext cx="1666240" cy="2222500"/>
                    </a:xfrm>
                    <a:prstGeom prst="rect">
                      <a:avLst/>
                    </a:prstGeom>
                  </pic:spPr>
                </pic:pic>
              </a:graphicData>
            </a:graphic>
          </wp:inline>
        </w:drawing>
      </w:r>
      <w:r>
        <w:rPr>
          <w:rFonts w:eastAsiaTheme="minorEastAsia"/>
        </w:rPr>
        <w:drawing>
          <wp:inline distT="0" distB="0" distL="114300" distR="114300">
            <wp:extent cx="1512570" cy="2214245"/>
            <wp:effectExtent l="0" t="0" r="11430" b="14605"/>
            <wp:docPr id="23" name="图片 23" descr="lQDPKduy1DpdLE3NBQDNA8CwH9aTY3f7ke0HZSLnz40tAA_960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lQDPKduy1DpdLE3NBQDNA8CwH9aTY3f7ke0HZSLnz40tAA_960_1280"/>
                    <pic:cNvPicPr>
                      <a:picLocks noChangeAspect="1"/>
                    </pic:cNvPicPr>
                  </pic:nvPicPr>
                  <pic:blipFill>
                    <a:blip r:embed="rId56"/>
                    <a:srcRect l="10450" t="16238" r="24416" b="6554"/>
                    <a:stretch>
                      <a:fillRect/>
                    </a:stretch>
                  </pic:blipFill>
                  <pic:spPr>
                    <a:xfrm>
                      <a:off x="0" y="0"/>
                      <a:ext cx="1512570" cy="2214245"/>
                    </a:xfrm>
                    <a:prstGeom prst="rect">
                      <a:avLst/>
                    </a:prstGeom>
                  </pic:spPr>
                </pic:pic>
              </a:graphicData>
            </a:graphic>
          </wp:inline>
        </w:drawing>
      </w:r>
    </w:p>
    <w:p w14:paraId="27A00098">
      <w:pPr>
        <w:ind w:left="0" w:leftChars="0" w:firstLine="0" w:firstLineChars="0"/>
        <w:jc w:val="left"/>
        <w:rPr>
          <w:rFonts w:hint="eastAsia" w:eastAsiaTheme="minorEastAsia"/>
          <w:lang w:eastAsia="zh-CN"/>
        </w:rPr>
      </w:pPr>
      <w:r>
        <w:rPr>
          <w:rFonts w:hint="eastAsia" w:eastAsiaTheme="minorEastAsia"/>
        </w:rPr>
        <w:t xml:space="preserve">   </w:t>
      </w:r>
      <w:r>
        <w:rPr>
          <w:rFonts w:hint="eastAsia" w:eastAsiaTheme="minorEastAsia"/>
          <w:lang w:val="en-US" w:eastAsia="zh-CN"/>
        </w:rPr>
        <w:t xml:space="preserve"> </w:t>
      </w:r>
      <w:r>
        <w:rPr>
          <w:rFonts w:eastAsiaTheme="minorEastAsia"/>
        </w:rPr>
        <w:drawing>
          <wp:inline distT="0" distB="0" distL="114300" distR="114300">
            <wp:extent cx="1577340" cy="2105025"/>
            <wp:effectExtent l="0" t="0" r="7620" b="13335"/>
            <wp:docPr id="20" name="图片 20" descr="lADPD3W5ab2hgxbNEgDNDYA_3456_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lADPD3W5ab2hgxbNEgDNDYA_3456_4608"/>
                    <pic:cNvPicPr>
                      <a:picLocks noChangeAspect="1"/>
                    </pic:cNvPicPr>
                  </pic:nvPicPr>
                  <pic:blipFill>
                    <a:blip r:embed="rId57"/>
                    <a:stretch>
                      <a:fillRect/>
                    </a:stretch>
                  </pic:blipFill>
                  <pic:spPr>
                    <a:xfrm>
                      <a:off x="0" y="0"/>
                      <a:ext cx="1577340" cy="2105025"/>
                    </a:xfrm>
                    <a:prstGeom prst="rect">
                      <a:avLst/>
                    </a:prstGeom>
                  </pic:spPr>
                </pic:pic>
              </a:graphicData>
            </a:graphic>
          </wp:inline>
        </w:drawing>
      </w:r>
      <w:r>
        <w:rPr>
          <w:rFonts w:eastAsiaTheme="minorEastAsia"/>
        </w:rPr>
        <w:drawing>
          <wp:inline distT="0" distB="0" distL="114300" distR="114300">
            <wp:extent cx="1581150" cy="2112645"/>
            <wp:effectExtent l="0" t="0" r="3810" b="5715"/>
            <wp:docPr id="22" name="图片 22" descr="微信图片_2024072820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40728203718"/>
                    <pic:cNvPicPr>
                      <a:picLocks noChangeAspect="1"/>
                    </pic:cNvPicPr>
                  </pic:nvPicPr>
                  <pic:blipFill>
                    <a:blip r:embed="rId58"/>
                    <a:stretch>
                      <a:fillRect/>
                    </a:stretch>
                  </pic:blipFill>
                  <pic:spPr>
                    <a:xfrm>
                      <a:off x="0" y="0"/>
                      <a:ext cx="1581150" cy="2112645"/>
                    </a:xfrm>
                    <a:prstGeom prst="rect">
                      <a:avLst/>
                    </a:prstGeom>
                  </pic:spPr>
                </pic:pic>
              </a:graphicData>
            </a:graphic>
          </wp:inline>
        </w:drawing>
      </w:r>
      <w:r>
        <w:rPr>
          <w:rFonts w:hint="eastAsia" w:eastAsiaTheme="minorEastAsia"/>
          <w:lang w:eastAsia="zh-CN"/>
        </w:rPr>
        <w:drawing>
          <wp:inline distT="0" distB="0" distL="114300" distR="114300">
            <wp:extent cx="1758950" cy="2112010"/>
            <wp:effectExtent l="0" t="0" r="8890" b="6350"/>
            <wp:docPr id="25" name="图片 25" descr="lQLPKHNh4H91rZ_NAr3NA6awGDZAdOEUifkHmjdp3Wv4AA_934_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lQLPKHNh4H91rZ_NAr3NA6awGDZAdOEUifkHmjdp3Wv4AA_934_701"/>
                    <pic:cNvPicPr>
                      <a:picLocks noChangeAspect="1"/>
                    </pic:cNvPicPr>
                  </pic:nvPicPr>
                  <pic:blipFill>
                    <a:blip r:embed="rId59"/>
                    <a:srcRect l="25742" r="11741"/>
                    <a:stretch>
                      <a:fillRect/>
                    </a:stretch>
                  </pic:blipFill>
                  <pic:spPr>
                    <a:xfrm>
                      <a:off x="0" y="0"/>
                      <a:ext cx="1758950" cy="211201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Times">
    <w:altName w:val="Times New Roman"/>
    <w:panose1 w:val="02020603050405020304"/>
    <w:charset w:val="00"/>
    <w:family w:val="roman"/>
    <w:pitch w:val="default"/>
    <w:sig w:usb0="00000000" w:usb1="00000000" w:usb2="00000009" w:usb3="00000000" w:csb0="000001FF" w:csb1="00000000"/>
  </w:font>
  <w:font w:name="微软雅黑">
    <w:panose1 w:val="020B0503020204020204"/>
    <w:charset w:val="86"/>
    <w:family w:val="swiss"/>
    <w:pitch w:val="default"/>
    <w:sig w:usb0="80000287" w:usb1="2ACF3C50" w:usb2="00000016" w:usb3="00000000" w:csb0="0004001F" w:csb1="00000000"/>
  </w:font>
  <w:font w:name="HarmonyOS Sans">
    <w:altName w:val="Segoe Print"/>
    <w:panose1 w:val="000005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12C5B">
    <w:pPr>
      <w:pStyle w:val="12"/>
      <w:ind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CE7E8">
    <w:pPr>
      <w:pStyle w:val="12"/>
      <w:ind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C33AE">
    <w:pPr>
      <w:pStyle w:val="12"/>
      <w:ind w:firstLine="36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6CA63">
    <w:pPr>
      <w:pStyle w:val="12"/>
      <w:ind w:firstLine="360"/>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1DFB7">
    <w:pPr>
      <w:pStyle w:val="13"/>
      <w:pBdr>
        <w:bottom w:val="single" w:color="auto" w:sz="4" w:space="0"/>
      </w:pBdr>
      <w:ind w:firstLine="360"/>
      <w:jc w:val="left"/>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B7858">
    <w:pPr>
      <w:pStyle w:val="13"/>
      <w:ind w:firstLine="36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13767">
    <w:pPr>
      <w:pStyle w:val="13"/>
      <w:ind w:firstLine="360"/>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94EFE">
    <w:pPr>
      <w:pStyle w:val="13"/>
      <w:pBdr>
        <w:bottom w:val="single" w:color="auto" w:sz="4" w:space="0"/>
      </w:pBdr>
      <w:ind w:firstLine="360"/>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549171"/>
    <w:multiLevelType w:val="singleLevel"/>
    <w:tmpl w:val="80549171"/>
    <w:lvl w:ilvl="0" w:tentative="0">
      <w:start w:val="1"/>
      <w:numFmt w:val="decimal"/>
      <w:suff w:val="nothing"/>
      <w:lvlText w:val="（%1）"/>
      <w:lvlJc w:val="left"/>
    </w:lvl>
  </w:abstractNum>
  <w:abstractNum w:abstractNumId="1">
    <w:nsid w:val="1E54C0CB"/>
    <w:multiLevelType w:val="multilevel"/>
    <w:tmpl w:val="1E54C0CB"/>
    <w:lvl w:ilvl="0" w:tentative="0">
      <w:start w:val="1"/>
      <w:numFmt w:val="chineseCounting"/>
      <w:pStyle w:val="2"/>
      <w:suff w:val="nothing"/>
      <w:lvlText w:val="%1、"/>
      <w:lvlJc w:val="left"/>
      <w:pPr>
        <w:tabs>
          <w:tab w:val="left" w:pos="420"/>
        </w:tabs>
        <w:ind w:left="432" w:hanging="432"/>
      </w:pPr>
      <w:rPr>
        <w:rFonts w:hint="eastAsia"/>
      </w:rPr>
    </w:lvl>
    <w:lvl w:ilvl="1" w:tentative="0">
      <w:start w:val="1"/>
      <w:numFmt w:val="decimal"/>
      <w:pStyle w:val="3"/>
      <w:isLgl/>
      <w:lvlText w:val="%1.%2."/>
      <w:lvlJc w:val="left"/>
      <w:pPr>
        <w:tabs>
          <w:tab w:val="left" w:pos="420"/>
        </w:tabs>
        <w:ind w:left="575" w:hanging="575"/>
      </w:pPr>
      <w:rPr>
        <w:rFonts w:hint="eastAsia"/>
      </w:rPr>
    </w:lvl>
    <w:lvl w:ilvl="2" w:tentative="0">
      <w:start w:val="1"/>
      <w:numFmt w:val="decimal"/>
      <w:pStyle w:val="4"/>
      <w:isLgl/>
      <w:lvlText w:val="%1.%2.%3."/>
      <w:lvlJc w:val="left"/>
      <w:pPr>
        <w:ind w:left="720" w:hanging="720"/>
      </w:pPr>
      <w:rPr>
        <w:rFonts w:hint="eastAsia"/>
      </w:rPr>
    </w:lvl>
    <w:lvl w:ilvl="3" w:tentative="0">
      <w:start w:val="1"/>
      <w:numFmt w:val="decimal"/>
      <w:pStyle w:val="5"/>
      <w:isLgl/>
      <w:lvlText w:val="%1.%2.%3.%4."/>
      <w:lvlJc w:val="left"/>
      <w:pPr>
        <w:ind w:left="864" w:hanging="864"/>
      </w:pPr>
      <w:rPr>
        <w:rFonts w:hint="eastAsia"/>
      </w:rPr>
    </w:lvl>
    <w:lvl w:ilvl="4" w:tentative="0">
      <w:start w:val="1"/>
      <w:numFmt w:val="decimal"/>
      <w:pStyle w:val="6"/>
      <w:isLgl/>
      <w:lvlText w:val="%1.%2.%3.%4.%5."/>
      <w:lvlJc w:val="left"/>
      <w:pPr>
        <w:ind w:left="1008" w:hanging="1008"/>
      </w:pPr>
      <w:rPr>
        <w:rFonts w:hint="eastAsia"/>
      </w:rPr>
    </w:lvl>
    <w:lvl w:ilvl="5" w:tentative="0">
      <w:start w:val="1"/>
      <w:numFmt w:val="decimal"/>
      <w:pStyle w:val="7"/>
      <w:isLgl/>
      <w:lvlText w:val="%1.%2.%3.%4.%5.%6."/>
      <w:lvlJc w:val="left"/>
      <w:pPr>
        <w:ind w:left="1151" w:hanging="1151"/>
      </w:pPr>
      <w:rPr>
        <w:rFonts w:hint="eastAsia"/>
      </w:rPr>
    </w:lvl>
    <w:lvl w:ilvl="6" w:tentative="0">
      <w:start w:val="1"/>
      <w:numFmt w:val="decimal"/>
      <w:pStyle w:val="8"/>
      <w:isLgl/>
      <w:lvlText w:val="%1.%2.%3.%4.%5.%6.%7."/>
      <w:lvlJc w:val="left"/>
      <w:pPr>
        <w:ind w:left="1296" w:hanging="1296"/>
      </w:pPr>
      <w:rPr>
        <w:rFonts w:hint="eastAsia"/>
      </w:rPr>
    </w:lvl>
    <w:lvl w:ilvl="7" w:tentative="0">
      <w:start w:val="1"/>
      <w:numFmt w:val="decimal"/>
      <w:pStyle w:val="9"/>
      <w:isLgl/>
      <w:lvlText w:val="%1.%2.%3.%4.%5.%6.%7.%8."/>
      <w:lvlJc w:val="left"/>
      <w:pPr>
        <w:ind w:left="1440" w:hanging="1440"/>
      </w:pPr>
      <w:rPr>
        <w:rFonts w:hint="eastAsia"/>
      </w:rPr>
    </w:lvl>
    <w:lvl w:ilvl="8" w:tentative="0">
      <w:start w:val="1"/>
      <w:numFmt w:val="decimal"/>
      <w:pStyle w:val="10"/>
      <w:isLgl/>
      <w:lvlText w:val="%1.%2.%3.%4.%5.%6.%7.%8.%9."/>
      <w:lvlJc w:val="left"/>
      <w:pPr>
        <w:ind w:left="1583" w:hanging="1583"/>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3CB"/>
    <w:rsid w:val="0000331B"/>
    <w:rsid w:val="000E70C4"/>
    <w:rsid w:val="001E2775"/>
    <w:rsid w:val="002438FD"/>
    <w:rsid w:val="003B326D"/>
    <w:rsid w:val="003D5ADD"/>
    <w:rsid w:val="004F7857"/>
    <w:rsid w:val="00565A89"/>
    <w:rsid w:val="0065461D"/>
    <w:rsid w:val="006C7CEA"/>
    <w:rsid w:val="008753CB"/>
    <w:rsid w:val="008C29BC"/>
    <w:rsid w:val="008D7448"/>
    <w:rsid w:val="0096164F"/>
    <w:rsid w:val="009A46A2"/>
    <w:rsid w:val="009D723A"/>
    <w:rsid w:val="00A10114"/>
    <w:rsid w:val="00A30227"/>
    <w:rsid w:val="00A55235"/>
    <w:rsid w:val="00AE2640"/>
    <w:rsid w:val="00B93142"/>
    <w:rsid w:val="00BD3CEA"/>
    <w:rsid w:val="00C8797E"/>
    <w:rsid w:val="085E21A4"/>
    <w:rsid w:val="095C5D9F"/>
    <w:rsid w:val="09DB105D"/>
    <w:rsid w:val="09DF435C"/>
    <w:rsid w:val="0B971310"/>
    <w:rsid w:val="0C0C0A30"/>
    <w:rsid w:val="0CF05FA0"/>
    <w:rsid w:val="11647E15"/>
    <w:rsid w:val="12AE6653"/>
    <w:rsid w:val="1456008E"/>
    <w:rsid w:val="15E46695"/>
    <w:rsid w:val="15FB79DC"/>
    <w:rsid w:val="1FE35C4B"/>
    <w:rsid w:val="20C73E92"/>
    <w:rsid w:val="25E76B6C"/>
    <w:rsid w:val="2CB573F1"/>
    <w:rsid w:val="328B4E7C"/>
    <w:rsid w:val="36174C78"/>
    <w:rsid w:val="37FB65FF"/>
    <w:rsid w:val="3AF85078"/>
    <w:rsid w:val="3CAD2E9B"/>
    <w:rsid w:val="3E9B38D9"/>
    <w:rsid w:val="416830A7"/>
    <w:rsid w:val="41E23AAD"/>
    <w:rsid w:val="4283171C"/>
    <w:rsid w:val="46F96400"/>
    <w:rsid w:val="4CA54A1A"/>
    <w:rsid w:val="4DA8648A"/>
    <w:rsid w:val="4EE438E4"/>
    <w:rsid w:val="545F7ABE"/>
    <w:rsid w:val="57C01FB0"/>
    <w:rsid w:val="5A9164F8"/>
    <w:rsid w:val="5BAC183B"/>
    <w:rsid w:val="5C2514E6"/>
    <w:rsid w:val="5C664AB4"/>
    <w:rsid w:val="5E6A778C"/>
    <w:rsid w:val="60EF73B7"/>
    <w:rsid w:val="632B573B"/>
    <w:rsid w:val="636B69F0"/>
    <w:rsid w:val="640D3093"/>
    <w:rsid w:val="648A46E4"/>
    <w:rsid w:val="666B04B7"/>
    <w:rsid w:val="675D2C92"/>
    <w:rsid w:val="67917192"/>
    <w:rsid w:val="67FF11DC"/>
    <w:rsid w:val="687E630D"/>
    <w:rsid w:val="71882EE6"/>
    <w:rsid w:val="723C3CDD"/>
    <w:rsid w:val="744A79EB"/>
    <w:rsid w:val="7874279C"/>
    <w:rsid w:val="799F35BE"/>
    <w:rsid w:val="7B02538A"/>
    <w:rsid w:val="7EBC14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宋体" w:hAnsi="宋体" w:eastAsia="宋体" w:cs="宋体"/>
      <w:kern w:val="2"/>
      <w:sz w:val="24"/>
      <w:szCs w:val="24"/>
      <w:lang w:val="en-US" w:eastAsia="zh-CN" w:bidi="ar-SA"/>
    </w:rPr>
  </w:style>
  <w:style w:type="paragraph" w:styleId="2">
    <w:name w:val="heading 1"/>
    <w:basedOn w:val="1"/>
    <w:next w:val="1"/>
    <w:link w:val="24"/>
    <w:qFormat/>
    <w:uiPriority w:val="9"/>
    <w:pPr>
      <w:keepNext/>
      <w:keepLines/>
      <w:numPr>
        <w:ilvl w:val="0"/>
        <w:numId w:val="1"/>
      </w:numPr>
      <w:ind w:firstLine="0" w:firstLineChars="0"/>
      <w:jc w:val="left"/>
      <w:outlineLvl w:val="0"/>
    </w:pPr>
    <w:rPr>
      <w:b/>
      <w:sz w:val="36"/>
      <w:szCs w:val="32"/>
    </w:rPr>
  </w:style>
  <w:style w:type="paragraph" w:styleId="3">
    <w:name w:val="heading 2"/>
    <w:basedOn w:val="1"/>
    <w:next w:val="1"/>
    <w:link w:val="25"/>
    <w:unhideWhenUsed/>
    <w:qFormat/>
    <w:uiPriority w:val="9"/>
    <w:pPr>
      <w:keepNext/>
      <w:keepLines/>
      <w:numPr>
        <w:ilvl w:val="1"/>
        <w:numId w:val="1"/>
      </w:numPr>
      <w:ind w:firstLine="0" w:firstLineChars="0"/>
      <w:jc w:val="left"/>
      <w:outlineLvl w:val="1"/>
    </w:pPr>
    <w:rPr>
      <w:b/>
      <w:sz w:val="32"/>
      <w:szCs w:val="30"/>
    </w:rPr>
  </w:style>
  <w:style w:type="paragraph" w:styleId="4">
    <w:name w:val="heading 3"/>
    <w:basedOn w:val="1"/>
    <w:next w:val="1"/>
    <w:link w:val="26"/>
    <w:unhideWhenUsed/>
    <w:qFormat/>
    <w:uiPriority w:val="9"/>
    <w:pPr>
      <w:keepNext/>
      <w:keepLines/>
      <w:numPr>
        <w:ilvl w:val="2"/>
        <w:numId w:val="1"/>
      </w:numPr>
      <w:ind w:firstLine="0" w:firstLineChars="0"/>
      <w:jc w:val="left"/>
      <w:outlineLvl w:val="2"/>
    </w:pPr>
    <w:rPr>
      <w:b/>
      <w:sz w:val="30"/>
      <w:szCs w:val="32"/>
    </w:rPr>
  </w:style>
  <w:style w:type="paragraph" w:styleId="5">
    <w:name w:val="heading 4"/>
    <w:basedOn w:val="1"/>
    <w:next w:val="1"/>
    <w:link w:val="27"/>
    <w:unhideWhenUsed/>
    <w:qFormat/>
    <w:uiPriority w:val="9"/>
    <w:pPr>
      <w:keepNext/>
      <w:keepLines/>
      <w:numPr>
        <w:ilvl w:val="3"/>
        <w:numId w:val="1"/>
      </w:numPr>
      <w:ind w:left="0" w:firstLine="720"/>
      <w:outlineLvl w:val="3"/>
    </w:pPr>
    <w:rPr>
      <w:rFonts w:cstheme="majorBidi"/>
      <w:b/>
      <w:sz w:val="28"/>
      <w:szCs w:val="28"/>
    </w:rPr>
  </w:style>
  <w:style w:type="paragraph" w:styleId="6">
    <w:name w:val="heading 5"/>
    <w:basedOn w:val="5"/>
    <w:next w:val="1"/>
    <w:link w:val="28"/>
    <w:semiHidden/>
    <w:unhideWhenUsed/>
    <w:qFormat/>
    <w:uiPriority w:val="9"/>
    <w:pPr>
      <w:numPr>
        <w:ilvl w:val="4"/>
      </w:numPr>
      <w:spacing w:before="80" w:after="40"/>
      <w:ind w:firstLine="0" w:firstLineChars="0"/>
      <w:outlineLvl w:val="4"/>
    </w:pPr>
  </w:style>
  <w:style w:type="paragraph" w:styleId="7">
    <w:name w:val="heading 6"/>
    <w:basedOn w:val="1"/>
    <w:next w:val="1"/>
    <w:link w:val="29"/>
    <w:semiHidden/>
    <w:unhideWhenUsed/>
    <w:qFormat/>
    <w:uiPriority w:val="9"/>
    <w:pPr>
      <w:keepNext/>
      <w:keepLines/>
      <w:numPr>
        <w:ilvl w:val="5"/>
        <w:numId w:val="1"/>
      </w:numPr>
      <w:spacing w:before="40"/>
      <w:ind w:firstLine="0" w:firstLineChars="0"/>
      <w:outlineLvl w:val="5"/>
    </w:pPr>
    <w:rPr>
      <w:rFonts w:cstheme="majorBidi"/>
      <w:b/>
      <w:bCs/>
      <w:color w:val="104862" w:themeColor="accent1" w:themeShade="BF"/>
    </w:rPr>
  </w:style>
  <w:style w:type="paragraph" w:styleId="8">
    <w:name w:val="heading 7"/>
    <w:basedOn w:val="1"/>
    <w:next w:val="1"/>
    <w:link w:val="30"/>
    <w:semiHidden/>
    <w:unhideWhenUsed/>
    <w:qFormat/>
    <w:uiPriority w:val="9"/>
    <w:pPr>
      <w:keepNext/>
      <w:keepLines/>
      <w:numPr>
        <w:ilvl w:val="6"/>
        <w:numId w:val="1"/>
      </w:numPr>
      <w:spacing w:before="40"/>
      <w:ind w:firstLine="0" w:firstLineChars="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1"/>
    <w:semiHidden/>
    <w:unhideWhenUsed/>
    <w:qFormat/>
    <w:uiPriority w:val="9"/>
    <w:pPr>
      <w:keepNext/>
      <w:keepLines/>
      <w:numPr>
        <w:ilvl w:val="7"/>
        <w:numId w:val="1"/>
      </w:numPr>
      <w:ind w:firstLine="0" w:firstLineChars="0"/>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2"/>
    <w:semiHidden/>
    <w:unhideWhenUsed/>
    <w:qFormat/>
    <w:uiPriority w:val="9"/>
    <w:pPr>
      <w:keepNext/>
      <w:keepLines/>
      <w:numPr>
        <w:ilvl w:val="8"/>
        <w:numId w:val="1"/>
      </w:numPr>
      <w:ind w:firstLine="0" w:firstLineChars="0"/>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toc 3"/>
    <w:basedOn w:val="1"/>
    <w:next w:val="1"/>
    <w:unhideWhenUsed/>
    <w:qFormat/>
    <w:uiPriority w:val="39"/>
    <w:pPr>
      <w:ind w:left="840" w:leftChars="400"/>
    </w:pPr>
  </w:style>
  <w:style w:type="paragraph" w:styleId="12">
    <w:name w:val="footer"/>
    <w:basedOn w:val="1"/>
    <w:link w:val="42"/>
    <w:unhideWhenUsed/>
    <w:qFormat/>
    <w:uiPriority w:val="99"/>
    <w:pPr>
      <w:tabs>
        <w:tab w:val="center" w:pos="4153"/>
        <w:tab w:val="right" w:pos="8306"/>
      </w:tabs>
      <w:snapToGrid w:val="0"/>
      <w:jc w:val="left"/>
    </w:pPr>
    <w:rPr>
      <w:sz w:val="18"/>
      <w:szCs w:val="18"/>
    </w:rPr>
  </w:style>
  <w:style w:type="paragraph" w:styleId="13">
    <w:name w:val="header"/>
    <w:basedOn w:val="1"/>
    <w:link w:val="41"/>
    <w:unhideWhenUsed/>
    <w:qFormat/>
    <w:uiPriority w:val="99"/>
    <w:pP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Subtitle"/>
    <w:basedOn w:val="1"/>
    <w:next w:val="1"/>
    <w:link w:val="34"/>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6">
    <w:name w:val="toc 2"/>
    <w:basedOn w:val="1"/>
    <w:next w:val="1"/>
    <w:unhideWhenUsed/>
    <w:qFormat/>
    <w:uiPriority w:val="39"/>
    <w:pPr>
      <w:ind w:left="420" w:leftChars="200"/>
    </w:pPr>
  </w:style>
  <w:style w:type="paragraph" w:styleId="17">
    <w:name w:val="Normal (Web)"/>
    <w:basedOn w:val="1"/>
    <w:qFormat/>
    <w:uiPriority w:val="0"/>
    <w:pPr>
      <w:spacing w:beforeAutospacing="1" w:afterAutospacing="1"/>
      <w:jc w:val="left"/>
    </w:pPr>
    <w:rPr>
      <w:rFonts w:cs="Times New Roman"/>
      <w:kern w:val="0"/>
    </w:rPr>
  </w:style>
  <w:style w:type="paragraph" w:styleId="18">
    <w:name w:val="Title"/>
    <w:basedOn w:val="1"/>
    <w:next w:val="1"/>
    <w:link w:val="33"/>
    <w:qFormat/>
    <w:uiPriority w:val="10"/>
    <w:pPr>
      <w:spacing w:after="80"/>
      <w:contextualSpacing/>
      <w:jc w:val="center"/>
    </w:pPr>
    <w:rPr>
      <w:rFonts w:asciiTheme="majorHAnsi" w:hAnsiTheme="majorHAnsi" w:eastAsiaTheme="majorEastAsia" w:cstheme="majorBidi"/>
      <w:spacing w:val="-10"/>
      <w:kern w:val="28"/>
      <w:sz w:val="56"/>
      <w:szCs w:val="56"/>
    </w:rPr>
  </w:style>
  <w:style w:type="table" w:styleId="20">
    <w:name w:val="Table Grid"/>
    <w:basedOn w:val="1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22"/>
    <w:rPr>
      <w:b/>
    </w:rPr>
  </w:style>
  <w:style w:type="character" w:styleId="23">
    <w:name w:val="Hyperlink"/>
    <w:basedOn w:val="21"/>
    <w:unhideWhenUsed/>
    <w:qFormat/>
    <w:uiPriority w:val="99"/>
    <w:rPr>
      <w:color w:val="0563C1"/>
      <w:u w:val="single"/>
    </w:rPr>
  </w:style>
  <w:style w:type="character" w:customStyle="1" w:styleId="24">
    <w:name w:val="标题 1 字符"/>
    <w:basedOn w:val="21"/>
    <w:link w:val="2"/>
    <w:qFormat/>
    <w:uiPriority w:val="9"/>
    <w:rPr>
      <w:rFonts w:ascii="宋体" w:hAnsi="宋体" w:eastAsia="宋体" w:cs="宋体"/>
      <w:b/>
      <w:sz w:val="36"/>
      <w:szCs w:val="32"/>
    </w:rPr>
  </w:style>
  <w:style w:type="character" w:customStyle="1" w:styleId="25">
    <w:name w:val="标题 2 字符"/>
    <w:basedOn w:val="21"/>
    <w:link w:val="3"/>
    <w:qFormat/>
    <w:uiPriority w:val="9"/>
    <w:rPr>
      <w:rFonts w:ascii="宋体" w:hAnsi="宋体" w:eastAsia="宋体" w:cs="宋体"/>
      <w:b/>
      <w:sz w:val="32"/>
      <w:szCs w:val="30"/>
    </w:rPr>
  </w:style>
  <w:style w:type="character" w:customStyle="1" w:styleId="26">
    <w:name w:val="标题 3 字符"/>
    <w:basedOn w:val="21"/>
    <w:link w:val="4"/>
    <w:qFormat/>
    <w:uiPriority w:val="9"/>
    <w:rPr>
      <w:rFonts w:ascii="宋体" w:hAnsi="宋体" w:eastAsia="宋体" w:cs="宋体"/>
      <w:b/>
      <w:sz w:val="30"/>
      <w:szCs w:val="32"/>
    </w:rPr>
  </w:style>
  <w:style w:type="character" w:customStyle="1" w:styleId="27">
    <w:name w:val="标题 4 字符"/>
    <w:basedOn w:val="21"/>
    <w:link w:val="5"/>
    <w:semiHidden/>
    <w:qFormat/>
    <w:uiPriority w:val="9"/>
    <w:rPr>
      <w:rFonts w:ascii="宋体" w:hAnsi="宋体" w:eastAsia="宋体" w:cstheme="majorBidi"/>
      <w:b/>
      <w:color w:val="auto"/>
      <w:sz w:val="28"/>
      <w:szCs w:val="28"/>
    </w:rPr>
  </w:style>
  <w:style w:type="character" w:customStyle="1" w:styleId="28">
    <w:name w:val="标题 5 字符"/>
    <w:basedOn w:val="21"/>
    <w:link w:val="6"/>
    <w:semiHidden/>
    <w:qFormat/>
    <w:uiPriority w:val="9"/>
    <w:rPr>
      <w:rFonts w:ascii="宋体" w:hAnsi="宋体" w:eastAsia="宋体" w:cstheme="majorBidi"/>
      <w:color w:val="auto"/>
      <w:sz w:val="24"/>
      <w:szCs w:val="24"/>
    </w:rPr>
  </w:style>
  <w:style w:type="character" w:customStyle="1" w:styleId="29">
    <w:name w:val="标题 6 字符"/>
    <w:basedOn w:val="21"/>
    <w:link w:val="7"/>
    <w:semiHidden/>
    <w:qFormat/>
    <w:uiPriority w:val="9"/>
    <w:rPr>
      <w:rFonts w:cstheme="majorBidi"/>
      <w:b/>
      <w:bCs/>
      <w:color w:val="104862" w:themeColor="accent1" w:themeShade="BF"/>
    </w:rPr>
  </w:style>
  <w:style w:type="character" w:customStyle="1" w:styleId="30">
    <w:name w:val="标题 7 字符"/>
    <w:basedOn w:val="21"/>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31">
    <w:name w:val="标题 8 字符"/>
    <w:basedOn w:val="21"/>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2">
    <w:name w:val="标题 9 字符"/>
    <w:basedOn w:val="21"/>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3">
    <w:name w:val="标题 字符"/>
    <w:basedOn w:val="21"/>
    <w:link w:val="18"/>
    <w:qFormat/>
    <w:uiPriority w:val="10"/>
    <w:rPr>
      <w:rFonts w:asciiTheme="majorHAnsi" w:hAnsiTheme="majorHAnsi" w:eastAsiaTheme="majorEastAsia" w:cstheme="majorBidi"/>
      <w:spacing w:val="-10"/>
      <w:kern w:val="28"/>
      <w:sz w:val="56"/>
      <w:szCs w:val="56"/>
    </w:rPr>
  </w:style>
  <w:style w:type="character" w:customStyle="1" w:styleId="34">
    <w:name w:val="副标题 字符"/>
    <w:basedOn w:val="21"/>
    <w:link w:val="15"/>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5">
    <w:name w:val="Quote"/>
    <w:basedOn w:val="1"/>
    <w:next w:val="1"/>
    <w:link w:val="36"/>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6">
    <w:name w:val="引用 字符"/>
    <w:basedOn w:val="21"/>
    <w:link w:val="35"/>
    <w:qFormat/>
    <w:uiPriority w:val="29"/>
    <w:rPr>
      <w:i/>
      <w:iCs/>
      <w:color w:val="404040" w:themeColor="text1" w:themeTint="BF"/>
      <w14:textFill>
        <w14:solidFill>
          <w14:schemeClr w14:val="tx1">
            <w14:lumMod w14:val="75000"/>
            <w14:lumOff w14:val="25000"/>
          </w14:schemeClr>
        </w14:solidFill>
      </w14:textFill>
    </w:rPr>
  </w:style>
  <w:style w:type="paragraph" w:styleId="37">
    <w:name w:val="List Paragraph"/>
    <w:basedOn w:val="1"/>
    <w:qFormat/>
    <w:uiPriority w:val="34"/>
    <w:pPr>
      <w:ind w:left="720"/>
      <w:contextualSpacing/>
    </w:pPr>
  </w:style>
  <w:style w:type="character" w:customStyle="1" w:styleId="38">
    <w:name w:val="明显强调1"/>
    <w:basedOn w:val="21"/>
    <w:qFormat/>
    <w:uiPriority w:val="21"/>
    <w:rPr>
      <w:i/>
      <w:iCs/>
      <w:color w:val="104862" w:themeColor="accent1" w:themeShade="BF"/>
    </w:rPr>
  </w:style>
  <w:style w:type="paragraph" w:styleId="39">
    <w:name w:val="Intense Quote"/>
    <w:basedOn w:val="1"/>
    <w:next w:val="1"/>
    <w:link w:val="40"/>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40">
    <w:name w:val="明显引用 字符"/>
    <w:basedOn w:val="21"/>
    <w:link w:val="39"/>
    <w:qFormat/>
    <w:uiPriority w:val="30"/>
    <w:rPr>
      <w:i/>
      <w:iCs/>
      <w:color w:val="104862" w:themeColor="accent1" w:themeShade="BF"/>
    </w:rPr>
  </w:style>
  <w:style w:type="character" w:customStyle="1" w:styleId="41">
    <w:name w:val="页眉 字符"/>
    <w:basedOn w:val="21"/>
    <w:link w:val="13"/>
    <w:qFormat/>
    <w:uiPriority w:val="99"/>
    <w:rPr>
      <w:sz w:val="18"/>
      <w:szCs w:val="18"/>
    </w:rPr>
  </w:style>
  <w:style w:type="character" w:customStyle="1" w:styleId="42">
    <w:name w:val="页脚 字符"/>
    <w:basedOn w:val="21"/>
    <w:link w:val="12"/>
    <w:qFormat/>
    <w:uiPriority w:val="99"/>
    <w:rPr>
      <w:sz w:val="18"/>
      <w:szCs w:val="18"/>
    </w:rPr>
  </w:style>
  <w:style w:type="paragraph" w:customStyle="1" w:styleId="43">
    <w:name w:val="WPSOffice手动目录 1"/>
    <w:qFormat/>
    <w:uiPriority w:val="0"/>
    <w:rPr>
      <w:rFonts w:asciiTheme="minorHAnsi" w:hAnsiTheme="minorHAnsi" w:eastAsiaTheme="minorEastAsia" w:cstheme="minorBidi"/>
      <w:lang w:val="en-US" w:eastAsia="zh-CN" w:bidi="ar-SA"/>
    </w:rPr>
  </w:style>
  <w:style w:type="paragraph" w:customStyle="1" w:styleId="44">
    <w:name w:val="列出段落1"/>
    <w:basedOn w:val="1"/>
    <w:qFormat/>
    <w:uiPriority w:val="34"/>
    <w:pPr>
      <w:suppressAutoHyphens/>
      <w:ind w:firstLine="420"/>
      <w:jc w:val="left"/>
    </w:pPr>
    <w:rPr>
      <w:rFonts w:ascii="Times" w:hAnsi="Times" w:cs="Times New Roman"/>
      <w:kern w:val="1"/>
      <w:sz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header" Target="header2.xml"/><Relationship Id="rId59" Type="http://schemas.openxmlformats.org/officeDocument/2006/relationships/image" Target="media/image46.png"/><Relationship Id="rId58" Type="http://schemas.openxmlformats.org/officeDocument/2006/relationships/image" Target="media/image45.jpeg"/><Relationship Id="rId57" Type="http://schemas.openxmlformats.org/officeDocument/2006/relationships/image" Target="media/image44.jpeg"/><Relationship Id="rId56" Type="http://schemas.openxmlformats.org/officeDocument/2006/relationships/image" Target="media/image43.png"/><Relationship Id="rId55" Type="http://schemas.openxmlformats.org/officeDocument/2006/relationships/image" Target="media/image42.jpeg"/><Relationship Id="rId54" Type="http://schemas.openxmlformats.org/officeDocument/2006/relationships/image" Target="media/image41.png"/><Relationship Id="rId53" Type="http://schemas.openxmlformats.org/officeDocument/2006/relationships/image" Target="media/image40.jpeg"/><Relationship Id="rId52" Type="http://schemas.openxmlformats.org/officeDocument/2006/relationships/image" Target="media/image39.jpe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header" Target="header1.xml"/><Relationship Id="rId49" Type="http://schemas.openxmlformats.org/officeDocument/2006/relationships/image" Target="media/image36.jpeg"/><Relationship Id="rId48" Type="http://schemas.openxmlformats.org/officeDocument/2006/relationships/image" Target="media/image35.jpeg"/><Relationship Id="rId47" Type="http://schemas.openxmlformats.org/officeDocument/2006/relationships/image" Target="media/image34.png"/><Relationship Id="rId46" Type="http://schemas.openxmlformats.org/officeDocument/2006/relationships/image" Target="media/image33.jpeg"/><Relationship Id="rId45" Type="http://schemas.openxmlformats.org/officeDocument/2006/relationships/image" Target="media/image32.jpeg"/><Relationship Id="rId44" Type="http://schemas.openxmlformats.org/officeDocument/2006/relationships/image" Target="media/image31.jpeg"/><Relationship Id="rId43" Type="http://schemas.openxmlformats.org/officeDocument/2006/relationships/image" Target="media/image30.jpeg"/><Relationship Id="rId42" Type="http://schemas.openxmlformats.org/officeDocument/2006/relationships/image" Target="media/image29.jpe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endnotes" Target="endnotes.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28</Pages>
  <Words>3556</Words>
  <Characters>4053</Characters>
  <Lines>88</Lines>
  <Paragraphs>24</Paragraphs>
  <TotalTime>2</TotalTime>
  <ScaleCrop>false</ScaleCrop>
  <LinksUpToDate>false</LinksUpToDate>
  <CharactersWithSpaces>4181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2025-02-07T05:17:00Z</dcterms:created>
  <dc:creator>闫鹏 李</dc:creator>
  <cp:lastModifiedBy>邹树虎</cp:lastModifiedBy>
  <dcterms:modified xsi:type="dcterms:W3CDTF">2025-07-25T01:38:50Z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eyJoZGlkIjoiZjk1Y2JmN2ViODY3ZDA2MjQ3ZGVkNzAyMTI3ZDBjOWUiLCJ1c2VySWQiOiIxNDQ5MjAxMDk2In0=</vt:lpwstr>
  </property>
  <property fmtid="{D5CDD505-2E9C-101B-9397-08002B2CF9AE}" pid="3" name="KSOProductBuildVer">
    <vt:lpwstr>2052-12.1.0.21915</vt:lpwstr>
  </property>
  <property fmtid="{D5CDD505-2E9C-101B-9397-08002B2CF9AE}" pid="4" name="ICV">
    <vt:lpwstr>85C5E24CA33048C9AF9D594EB1AA23C2_13</vt:lpwstr>
  </property>
</Properties>
</file>