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B44EDF">
      <w:pPr>
        <w:ind w:firstLine="480"/>
        <w:rPr>
          <w:rFonts w:hint="eastAsia"/>
        </w:rPr>
      </w:pPr>
    </w:p>
    <w:p w14:paraId="1C42923D">
      <w:pPr>
        <w:ind w:firstLine="480"/>
        <w:rPr>
          <w:rFonts w:hint="eastAsia"/>
        </w:rPr>
      </w:pPr>
    </w:p>
    <w:p w14:paraId="40F0DDBD">
      <w:pPr>
        <w:ind w:firstLine="480"/>
        <w:rPr>
          <w:rFonts w:hint="eastAsia"/>
        </w:rPr>
      </w:pPr>
    </w:p>
    <w:p w14:paraId="7377829C">
      <w:pPr>
        <w:ind w:firstLine="0" w:firstLineChars="0"/>
        <w:jc w:val="center"/>
        <w:rPr>
          <w:rFonts w:hint="eastAsia"/>
          <w:b/>
          <w:bCs/>
          <w:sz w:val="52"/>
          <w:szCs w:val="52"/>
        </w:rPr>
      </w:pPr>
      <w:r>
        <w:rPr>
          <w:rFonts w:hint="eastAsia"/>
          <w:b/>
          <w:bCs/>
          <w:sz w:val="52"/>
          <w:szCs w:val="52"/>
        </w:rPr>
        <w:t>供水行业细分场景</w:t>
      </w:r>
    </w:p>
    <w:p w14:paraId="4ADA8A8A">
      <w:pPr>
        <w:ind w:firstLine="0" w:firstLineChars="0"/>
        <w:jc w:val="right"/>
        <w:rPr>
          <w:rFonts w:hint="eastAsia"/>
          <w:b/>
          <w:bCs/>
          <w:sz w:val="52"/>
          <w:szCs w:val="52"/>
        </w:rPr>
      </w:pPr>
      <w:r>
        <w:rPr>
          <w:rFonts w:hint="eastAsia"/>
          <w:b/>
          <w:bCs/>
          <w:sz w:val="52"/>
          <w:szCs w:val="52"/>
        </w:rPr>
        <w:t>——二次供水监测方案</w:t>
      </w:r>
    </w:p>
    <w:p w14:paraId="3D01B151">
      <w:pPr>
        <w:ind w:firstLine="480"/>
        <w:rPr>
          <w:rFonts w:hint="eastAsia"/>
        </w:rPr>
      </w:pPr>
    </w:p>
    <w:p w14:paraId="04FC3A75">
      <w:pPr>
        <w:ind w:firstLine="480"/>
        <w:rPr>
          <w:rFonts w:hint="eastAsia"/>
        </w:rPr>
      </w:pPr>
    </w:p>
    <w:p w14:paraId="5B5B5FA9">
      <w:pPr>
        <w:ind w:firstLine="480"/>
        <w:rPr>
          <w:rFonts w:hint="eastAsia"/>
        </w:rPr>
      </w:pPr>
    </w:p>
    <w:p w14:paraId="5B71C955">
      <w:pPr>
        <w:ind w:firstLine="480"/>
        <w:rPr>
          <w:rFonts w:hint="eastAsia"/>
        </w:rPr>
      </w:pPr>
    </w:p>
    <w:p w14:paraId="3745B425">
      <w:pPr>
        <w:ind w:firstLine="480"/>
        <w:rPr>
          <w:rFonts w:hint="eastAsia"/>
        </w:rPr>
      </w:pPr>
    </w:p>
    <w:p w14:paraId="081CC95C">
      <w:pPr>
        <w:ind w:firstLine="480"/>
        <w:rPr>
          <w:rFonts w:hint="eastAsia"/>
        </w:rPr>
      </w:pPr>
    </w:p>
    <w:p w14:paraId="536580B3">
      <w:pPr>
        <w:ind w:firstLine="480"/>
        <w:rPr>
          <w:rFonts w:hint="eastAsia"/>
        </w:rPr>
      </w:pPr>
    </w:p>
    <w:p w14:paraId="7807284B">
      <w:pPr>
        <w:ind w:firstLine="480"/>
        <w:rPr>
          <w:rFonts w:hint="eastAsia"/>
        </w:rPr>
      </w:pPr>
    </w:p>
    <w:p w14:paraId="45A1BA36">
      <w:pPr>
        <w:ind w:firstLine="480"/>
        <w:rPr>
          <w:rFonts w:hint="eastAsia"/>
        </w:rPr>
      </w:pPr>
    </w:p>
    <w:p w14:paraId="687171EC">
      <w:pPr>
        <w:ind w:firstLine="480"/>
        <w:rPr>
          <w:rFonts w:hint="eastAsia"/>
        </w:rPr>
      </w:pPr>
    </w:p>
    <w:p w14:paraId="632C4F70">
      <w:pPr>
        <w:ind w:firstLine="480"/>
        <w:rPr>
          <w:rFonts w:hint="eastAsia"/>
        </w:rPr>
      </w:pPr>
    </w:p>
    <w:p w14:paraId="35F05A53">
      <w:pPr>
        <w:ind w:firstLine="480"/>
        <w:rPr>
          <w:rFonts w:hint="eastAsia"/>
        </w:rPr>
      </w:pPr>
    </w:p>
    <w:p w14:paraId="60C5E570">
      <w:pPr>
        <w:ind w:firstLine="480"/>
        <w:rPr>
          <w:rFonts w:hint="eastAsia"/>
        </w:rPr>
      </w:pPr>
    </w:p>
    <w:p w14:paraId="22FFD7E0">
      <w:pPr>
        <w:ind w:firstLine="480"/>
        <w:rPr>
          <w:rFonts w:hint="eastAsia"/>
        </w:rPr>
      </w:pPr>
    </w:p>
    <w:p w14:paraId="4C096C37">
      <w:pPr>
        <w:ind w:firstLine="480"/>
        <w:rPr>
          <w:rFonts w:hint="eastAsia"/>
        </w:rPr>
      </w:pPr>
    </w:p>
    <w:p w14:paraId="20894A88">
      <w:pPr>
        <w:ind w:firstLine="480"/>
        <w:rPr>
          <w:rFonts w:hint="eastAsia"/>
        </w:rPr>
      </w:pPr>
    </w:p>
    <w:p w14:paraId="4DFD00FF">
      <w:pPr>
        <w:ind w:firstLine="480"/>
        <w:rPr>
          <w:rFonts w:hint="eastAsia"/>
        </w:rPr>
      </w:pPr>
    </w:p>
    <w:p w14:paraId="7E1C1C50">
      <w:pPr>
        <w:ind w:firstLine="480"/>
        <w:rPr>
          <w:rFonts w:hint="eastAsia"/>
        </w:rPr>
      </w:pPr>
    </w:p>
    <w:p w14:paraId="17771590">
      <w:pPr>
        <w:ind w:firstLine="480"/>
        <w:rPr>
          <w:rFonts w:hint="eastAsia"/>
        </w:rPr>
      </w:pPr>
    </w:p>
    <w:p w14:paraId="4E82E963">
      <w:pPr>
        <w:ind w:firstLine="480"/>
        <w:rPr>
          <w:rFonts w:hint="eastAsia"/>
        </w:rPr>
      </w:pPr>
    </w:p>
    <w:p w14:paraId="0F405E06">
      <w:pPr>
        <w:ind w:firstLine="0" w:firstLineChars="0"/>
        <w:jc w:val="center"/>
        <w:rPr>
          <w:rFonts w:hint="eastAsia"/>
          <w:b/>
          <w:bCs/>
          <w:sz w:val="40"/>
          <w:szCs w:val="40"/>
          <w:lang w:val="zh-CN"/>
        </w:rPr>
      </w:pPr>
      <w:r>
        <w:rPr>
          <w:b/>
          <w:bCs/>
          <w:sz w:val="40"/>
          <w:szCs w:val="40"/>
        </w:rPr>
        <w:t>202</w:t>
      </w:r>
      <w:r>
        <w:rPr>
          <w:rFonts w:hint="eastAsia"/>
          <w:b/>
          <w:bCs/>
          <w:sz w:val="40"/>
          <w:szCs w:val="40"/>
        </w:rPr>
        <w:t>5</w:t>
      </w:r>
      <w:r>
        <w:rPr>
          <w:b/>
          <w:bCs/>
          <w:sz w:val="40"/>
          <w:szCs w:val="40"/>
          <w:lang w:val="zh-CN"/>
        </w:rPr>
        <w:t>年</w:t>
      </w:r>
      <w:r>
        <w:rPr>
          <w:rFonts w:hint="eastAsia"/>
          <w:b/>
          <w:bCs/>
          <w:sz w:val="40"/>
          <w:szCs w:val="40"/>
        </w:rPr>
        <w:t>2</w:t>
      </w:r>
      <w:r>
        <w:rPr>
          <w:b/>
          <w:bCs/>
          <w:sz w:val="40"/>
          <w:szCs w:val="40"/>
          <w:lang w:val="zh-CN"/>
        </w:rPr>
        <w:t>月</w:t>
      </w:r>
    </w:p>
    <w:p w14:paraId="3363C49A">
      <w:pPr>
        <w:ind w:firstLine="480"/>
        <w:rPr>
          <w:rFonts w:hint="eastAsia"/>
        </w:rPr>
      </w:pPr>
    </w:p>
    <w:p w14:paraId="157A192C">
      <w:pPr>
        <w:ind w:firstLine="480"/>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12" w:charSpace="0"/>
        </w:sectPr>
      </w:pPr>
    </w:p>
    <w:p w14:paraId="08245C91">
      <w:pPr>
        <w:ind w:firstLine="480"/>
        <w:rPr>
          <w:rFonts w:hint="eastAsia"/>
        </w:rPr>
      </w:pPr>
    </w:p>
    <w:sdt>
      <w:sdtPr>
        <w:rPr>
          <w:b/>
          <w:bCs/>
          <w:sz w:val="36"/>
          <w:szCs w:val="36"/>
        </w:rPr>
        <w:id w:val="147462421"/>
        <w15:color w:val="DBDBDB"/>
        <w:docPartObj>
          <w:docPartGallery w:val="Table of Contents"/>
          <w:docPartUnique/>
        </w:docPartObj>
      </w:sdtPr>
      <w:sdtEndPr>
        <w:rPr>
          <w:rFonts w:hint="eastAsia"/>
          <w:b/>
          <w:bCs/>
          <w:sz w:val="24"/>
          <w:szCs w:val="24"/>
        </w:rPr>
      </w:sdtEndPr>
      <w:sdtContent>
        <w:p w14:paraId="75FFE743">
          <w:pPr>
            <w:spacing w:line="240" w:lineRule="auto"/>
            <w:ind w:firstLine="0" w:firstLineChars="0"/>
            <w:jc w:val="center"/>
            <w:rPr>
              <w:rFonts w:hint="eastAsia"/>
              <w:b/>
              <w:bCs/>
              <w:sz w:val="36"/>
              <w:szCs w:val="36"/>
            </w:rPr>
          </w:pPr>
          <w:r>
            <w:rPr>
              <w:b/>
              <w:bCs/>
              <w:sz w:val="36"/>
              <w:szCs w:val="36"/>
            </w:rPr>
            <w:t>目录</w:t>
          </w:r>
        </w:p>
        <w:p w14:paraId="4176CDFE">
          <w:pPr>
            <w:pStyle w:val="14"/>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TOC \o "1-3" \h \u </w:instrText>
          </w:r>
          <w:r>
            <w:rPr>
              <w:rFonts w:hint="eastAsia"/>
            </w:rPr>
            <w:fldChar w:fldCharType="separate"/>
          </w:r>
          <w:r>
            <w:rPr>
              <w:rFonts w:hint="eastAsia"/>
            </w:rPr>
            <w:fldChar w:fldCharType="begin"/>
          </w:r>
          <w:r>
            <w:rPr>
              <w:rFonts w:hint="eastAsia"/>
            </w:rPr>
            <w:instrText xml:space="preserve"> HYPERLINK \l _Toc12892 </w:instrText>
          </w:r>
          <w:r>
            <w:rPr>
              <w:rFonts w:hint="eastAsia"/>
            </w:rPr>
            <w:fldChar w:fldCharType="separate"/>
          </w:r>
          <w:r>
            <w:rPr>
              <w:rFonts w:hint="eastAsia"/>
            </w:rPr>
            <w:t>一、 公司简介</w:t>
          </w:r>
          <w:r>
            <w:tab/>
          </w:r>
          <w:r>
            <w:fldChar w:fldCharType="begin"/>
          </w:r>
          <w:r>
            <w:instrText xml:space="preserve"> PAGEREF _Toc12892 \h </w:instrText>
          </w:r>
          <w:r>
            <w:fldChar w:fldCharType="separate"/>
          </w:r>
          <w:r>
            <w:t>2</w:t>
          </w:r>
          <w:r>
            <w:fldChar w:fldCharType="end"/>
          </w:r>
          <w:r>
            <w:rPr>
              <w:rFonts w:hint="eastAsia"/>
            </w:rPr>
            <w:fldChar w:fldCharType="end"/>
          </w:r>
        </w:p>
        <w:p w14:paraId="4E5D793B">
          <w:pPr>
            <w:pStyle w:val="14"/>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_Toc16208 </w:instrText>
          </w:r>
          <w:r>
            <w:rPr>
              <w:rFonts w:hint="eastAsia"/>
            </w:rPr>
            <w:fldChar w:fldCharType="separate"/>
          </w:r>
          <w:r>
            <w:rPr>
              <w:rFonts w:hint="eastAsia"/>
            </w:rPr>
            <w:t>二、 二次供水监测概述</w:t>
          </w:r>
          <w:r>
            <w:tab/>
          </w:r>
          <w:r>
            <w:fldChar w:fldCharType="begin"/>
          </w:r>
          <w:r>
            <w:instrText xml:space="preserve"> PAGEREF _Toc16208 \h </w:instrText>
          </w:r>
          <w:r>
            <w:fldChar w:fldCharType="separate"/>
          </w:r>
          <w:r>
            <w:t>3</w:t>
          </w:r>
          <w:r>
            <w:fldChar w:fldCharType="end"/>
          </w:r>
          <w:r>
            <w:rPr>
              <w:rFonts w:hint="eastAsia"/>
            </w:rPr>
            <w:fldChar w:fldCharType="end"/>
          </w:r>
        </w:p>
        <w:p w14:paraId="7643C075">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_Toc24726 </w:instrText>
          </w:r>
          <w:r>
            <w:rPr>
              <w:rFonts w:hint="eastAsia"/>
            </w:rPr>
            <w:fldChar w:fldCharType="separate"/>
          </w:r>
          <w:r>
            <w:rPr>
              <w:rFonts w:hint="eastAsia"/>
            </w:rPr>
            <w:t>2.1. 二次供水行业背景</w:t>
          </w:r>
          <w:r>
            <w:tab/>
          </w:r>
          <w:r>
            <w:fldChar w:fldCharType="begin"/>
          </w:r>
          <w:r>
            <w:instrText xml:space="preserve"> PAGEREF _Toc24726 \h </w:instrText>
          </w:r>
          <w:r>
            <w:fldChar w:fldCharType="separate"/>
          </w:r>
          <w:r>
            <w:t>3</w:t>
          </w:r>
          <w:r>
            <w:fldChar w:fldCharType="end"/>
          </w:r>
          <w:r>
            <w:rPr>
              <w:rFonts w:hint="eastAsia"/>
            </w:rPr>
            <w:fldChar w:fldCharType="end"/>
          </w:r>
        </w:p>
        <w:p w14:paraId="1943A253">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_Toc17363 </w:instrText>
          </w:r>
          <w:r>
            <w:rPr>
              <w:rFonts w:hint="eastAsia"/>
            </w:rPr>
            <w:fldChar w:fldCharType="separate"/>
          </w:r>
          <w:r>
            <w:rPr>
              <w:rFonts w:hint="eastAsia"/>
            </w:rPr>
            <w:t>2.2. 二次供水监测特点</w:t>
          </w:r>
          <w:r>
            <w:tab/>
          </w:r>
          <w:r>
            <w:fldChar w:fldCharType="begin"/>
          </w:r>
          <w:r>
            <w:instrText xml:space="preserve"> PAGEREF _Toc17363 \h </w:instrText>
          </w:r>
          <w:r>
            <w:fldChar w:fldCharType="separate"/>
          </w:r>
          <w:r>
            <w:t>4</w:t>
          </w:r>
          <w:r>
            <w:fldChar w:fldCharType="end"/>
          </w:r>
          <w:r>
            <w:rPr>
              <w:rFonts w:hint="eastAsia"/>
            </w:rPr>
            <w:fldChar w:fldCharType="end"/>
          </w:r>
        </w:p>
        <w:p w14:paraId="2B27DB48">
          <w:pPr>
            <w:pStyle w:val="14"/>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_Toc9893 </w:instrText>
          </w:r>
          <w:r>
            <w:rPr>
              <w:rFonts w:hint="eastAsia"/>
            </w:rPr>
            <w:fldChar w:fldCharType="separate"/>
          </w:r>
          <w:r>
            <w:rPr>
              <w:rFonts w:hint="eastAsia"/>
            </w:rPr>
            <w:t>三、 建设方案设计</w:t>
          </w:r>
          <w:r>
            <w:tab/>
          </w:r>
          <w:r>
            <w:fldChar w:fldCharType="begin"/>
          </w:r>
          <w:r>
            <w:instrText xml:space="preserve"> PAGEREF _Toc9893 \h </w:instrText>
          </w:r>
          <w:r>
            <w:fldChar w:fldCharType="separate"/>
          </w:r>
          <w:r>
            <w:t>6</w:t>
          </w:r>
          <w:r>
            <w:fldChar w:fldCharType="end"/>
          </w:r>
          <w:r>
            <w:rPr>
              <w:rFonts w:hint="eastAsia"/>
            </w:rPr>
            <w:fldChar w:fldCharType="end"/>
          </w:r>
        </w:p>
        <w:p w14:paraId="662104BC">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_Toc29568 </w:instrText>
          </w:r>
          <w:r>
            <w:rPr>
              <w:rFonts w:hint="eastAsia"/>
            </w:rPr>
            <w:fldChar w:fldCharType="separate"/>
          </w:r>
          <w:r>
            <w:rPr>
              <w:rFonts w:hint="eastAsia"/>
            </w:rPr>
            <w:t>3.1. 系统框架图</w:t>
          </w:r>
          <w:r>
            <w:tab/>
          </w:r>
          <w:r>
            <w:fldChar w:fldCharType="begin"/>
          </w:r>
          <w:r>
            <w:instrText xml:space="preserve"> PAGEREF _Toc29568 \h </w:instrText>
          </w:r>
          <w:r>
            <w:fldChar w:fldCharType="separate"/>
          </w:r>
          <w:r>
            <w:t>6</w:t>
          </w:r>
          <w:r>
            <w:fldChar w:fldCharType="end"/>
          </w:r>
          <w:r>
            <w:rPr>
              <w:rFonts w:hint="eastAsia"/>
            </w:rPr>
            <w:fldChar w:fldCharType="end"/>
          </w:r>
        </w:p>
        <w:p w14:paraId="021DD48C">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_Toc7208 </w:instrText>
          </w:r>
          <w:r>
            <w:rPr>
              <w:rFonts w:hint="eastAsia"/>
            </w:rPr>
            <w:fldChar w:fldCharType="separate"/>
          </w:r>
          <w:r>
            <w:rPr>
              <w:rFonts w:hint="eastAsia"/>
            </w:rPr>
            <w:t>3.2. 设备选型策略</w:t>
          </w:r>
          <w:r>
            <w:tab/>
          </w:r>
          <w:r>
            <w:fldChar w:fldCharType="begin"/>
          </w:r>
          <w:r>
            <w:instrText xml:space="preserve"> PAGEREF _Toc7208 \h </w:instrText>
          </w:r>
          <w:r>
            <w:fldChar w:fldCharType="separate"/>
          </w:r>
          <w:r>
            <w:t>7</w:t>
          </w:r>
          <w:r>
            <w:fldChar w:fldCharType="end"/>
          </w:r>
          <w:r>
            <w:rPr>
              <w:rFonts w:hint="eastAsia"/>
            </w:rPr>
            <w:fldChar w:fldCharType="end"/>
          </w:r>
        </w:p>
        <w:p w14:paraId="1274F271">
          <w:pPr>
            <w:pStyle w:val="14"/>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_Toc26356 </w:instrText>
          </w:r>
          <w:r>
            <w:rPr>
              <w:rFonts w:hint="eastAsia"/>
            </w:rPr>
            <w:fldChar w:fldCharType="separate"/>
          </w:r>
          <w:r>
            <w:rPr>
              <w:rFonts w:hint="eastAsia"/>
            </w:rPr>
            <w:t>四、 产品介绍</w:t>
          </w:r>
          <w:r>
            <w:tab/>
          </w:r>
          <w:r>
            <w:fldChar w:fldCharType="begin"/>
          </w:r>
          <w:r>
            <w:instrText xml:space="preserve"> PAGEREF _Toc26356 \h </w:instrText>
          </w:r>
          <w:r>
            <w:fldChar w:fldCharType="separate"/>
          </w:r>
          <w:r>
            <w:t>9</w:t>
          </w:r>
          <w:r>
            <w:fldChar w:fldCharType="end"/>
          </w:r>
          <w:r>
            <w:rPr>
              <w:rFonts w:hint="eastAsia"/>
            </w:rPr>
            <w:fldChar w:fldCharType="end"/>
          </w:r>
        </w:p>
        <w:p w14:paraId="70B9DA7D">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_Toc8441 </w:instrText>
          </w:r>
          <w:r>
            <w:rPr>
              <w:rFonts w:hint="eastAsia"/>
            </w:rPr>
            <w:fldChar w:fldCharType="separate"/>
          </w:r>
          <w:r>
            <w:rPr>
              <w:rFonts w:hint="eastAsia"/>
            </w:rPr>
            <w:t>4.1. 技术参数</w:t>
          </w:r>
          <w:r>
            <w:tab/>
          </w:r>
          <w:r>
            <w:fldChar w:fldCharType="begin"/>
          </w:r>
          <w:r>
            <w:instrText xml:space="preserve"> PAGEREF _Toc8441 \h </w:instrText>
          </w:r>
          <w:r>
            <w:fldChar w:fldCharType="separate"/>
          </w:r>
          <w:r>
            <w:t>9</w:t>
          </w:r>
          <w:r>
            <w:fldChar w:fldCharType="end"/>
          </w:r>
          <w:r>
            <w:rPr>
              <w:rFonts w:hint="eastAsia"/>
            </w:rPr>
            <w:fldChar w:fldCharType="end"/>
          </w:r>
        </w:p>
        <w:p w14:paraId="1EB4F1F5">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_Toc10654 </w:instrText>
          </w:r>
          <w:r>
            <w:rPr>
              <w:rFonts w:hint="eastAsia"/>
            </w:rPr>
            <w:fldChar w:fldCharType="separate"/>
          </w:r>
          <w:r>
            <w:rPr>
              <w:rFonts w:hint="eastAsia"/>
            </w:rPr>
            <w:t>4.2. 场景适配性</w:t>
          </w:r>
          <w:r>
            <w:tab/>
          </w:r>
          <w:r>
            <w:fldChar w:fldCharType="begin"/>
          </w:r>
          <w:r>
            <w:instrText xml:space="preserve"> PAGEREF _Toc10654 \h </w:instrText>
          </w:r>
          <w:r>
            <w:fldChar w:fldCharType="separate"/>
          </w:r>
          <w:r>
            <w:t>13</w:t>
          </w:r>
          <w:r>
            <w:fldChar w:fldCharType="end"/>
          </w:r>
          <w:r>
            <w:rPr>
              <w:rFonts w:hint="eastAsia"/>
            </w:rPr>
            <w:fldChar w:fldCharType="end"/>
          </w:r>
        </w:p>
        <w:p w14:paraId="7DFBF4E0">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_Toc6591 </w:instrText>
          </w:r>
          <w:r>
            <w:rPr>
              <w:rFonts w:hint="eastAsia"/>
            </w:rPr>
            <w:fldChar w:fldCharType="separate"/>
          </w:r>
          <w:r>
            <w:rPr>
              <w:rFonts w:hint="eastAsia"/>
            </w:rPr>
            <w:t>4.2.1. 水箱/储水设施</w:t>
          </w:r>
          <w:r>
            <w:tab/>
          </w:r>
          <w:r>
            <w:fldChar w:fldCharType="begin"/>
          </w:r>
          <w:r>
            <w:instrText xml:space="preserve"> PAGEREF _Toc6591 \h </w:instrText>
          </w:r>
          <w:r>
            <w:fldChar w:fldCharType="separate"/>
          </w:r>
          <w:r>
            <w:t>13</w:t>
          </w:r>
          <w:r>
            <w:fldChar w:fldCharType="end"/>
          </w:r>
          <w:r>
            <w:rPr>
              <w:rFonts w:hint="eastAsia"/>
            </w:rPr>
            <w:fldChar w:fldCharType="end"/>
          </w:r>
        </w:p>
        <w:p w14:paraId="5DA52C6E">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_Toc24737 </w:instrText>
          </w:r>
          <w:r>
            <w:rPr>
              <w:rFonts w:hint="eastAsia"/>
            </w:rPr>
            <w:fldChar w:fldCharType="separate"/>
          </w:r>
          <w:r>
            <w:rPr>
              <w:rFonts w:hint="eastAsia"/>
            </w:rPr>
            <w:t>4.2.2. 输配管道</w:t>
          </w:r>
          <w:r>
            <w:tab/>
          </w:r>
          <w:r>
            <w:fldChar w:fldCharType="begin"/>
          </w:r>
          <w:r>
            <w:instrText xml:space="preserve"> PAGEREF _Toc24737 \h </w:instrText>
          </w:r>
          <w:r>
            <w:fldChar w:fldCharType="separate"/>
          </w:r>
          <w:r>
            <w:t>13</w:t>
          </w:r>
          <w:r>
            <w:fldChar w:fldCharType="end"/>
          </w:r>
          <w:r>
            <w:rPr>
              <w:rFonts w:hint="eastAsia"/>
            </w:rPr>
            <w:fldChar w:fldCharType="end"/>
          </w:r>
        </w:p>
        <w:p w14:paraId="24BB6677">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_Toc26079 </w:instrText>
          </w:r>
          <w:r>
            <w:rPr>
              <w:rFonts w:hint="eastAsia"/>
            </w:rPr>
            <w:fldChar w:fldCharType="separate"/>
          </w:r>
          <w:r>
            <w:rPr>
              <w:rFonts w:hint="eastAsia"/>
            </w:rPr>
            <w:t>4.2.3. 公共场所（医院、学校、酒店）</w:t>
          </w:r>
          <w:r>
            <w:tab/>
          </w:r>
          <w:r>
            <w:fldChar w:fldCharType="begin"/>
          </w:r>
          <w:r>
            <w:instrText xml:space="preserve"> PAGEREF _Toc26079 \h </w:instrText>
          </w:r>
          <w:r>
            <w:fldChar w:fldCharType="separate"/>
          </w:r>
          <w:r>
            <w:t>14</w:t>
          </w:r>
          <w:r>
            <w:fldChar w:fldCharType="end"/>
          </w:r>
          <w:r>
            <w:rPr>
              <w:rFonts w:hint="eastAsia"/>
            </w:rPr>
            <w:fldChar w:fldCharType="end"/>
          </w:r>
        </w:p>
        <w:p w14:paraId="3B707E28">
          <w:pPr>
            <w:pStyle w:val="14"/>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_Toc10602 </w:instrText>
          </w:r>
          <w:r>
            <w:rPr>
              <w:rFonts w:hint="eastAsia"/>
            </w:rPr>
            <w:fldChar w:fldCharType="separate"/>
          </w:r>
          <w:r>
            <w:rPr>
              <w:rFonts w:hint="eastAsia"/>
            </w:rPr>
            <w:t>五、 设备寿命及维护</w:t>
          </w:r>
          <w:r>
            <w:tab/>
          </w:r>
          <w:r>
            <w:fldChar w:fldCharType="begin"/>
          </w:r>
          <w:r>
            <w:instrText xml:space="preserve"> PAGEREF _Toc10602 \h </w:instrText>
          </w:r>
          <w:r>
            <w:fldChar w:fldCharType="separate"/>
          </w:r>
          <w:r>
            <w:t>15</w:t>
          </w:r>
          <w:r>
            <w:fldChar w:fldCharType="end"/>
          </w:r>
          <w:r>
            <w:rPr>
              <w:rFonts w:hint="eastAsia"/>
            </w:rPr>
            <w:fldChar w:fldCharType="end"/>
          </w:r>
        </w:p>
        <w:p w14:paraId="18AFD133">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_Toc552 </w:instrText>
          </w:r>
          <w:r>
            <w:rPr>
              <w:rFonts w:hint="eastAsia"/>
            </w:rPr>
            <w:fldChar w:fldCharType="separate"/>
          </w:r>
          <w:r>
            <w:rPr>
              <w:rFonts w:hint="eastAsia"/>
            </w:rPr>
            <w:t>5.1. 设备寿命周期与维护周期表</w:t>
          </w:r>
          <w:r>
            <w:tab/>
          </w:r>
          <w:r>
            <w:fldChar w:fldCharType="begin"/>
          </w:r>
          <w:r>
            <w:instrText xml:space="preserve"> PAGEREF _Toc552 \h </w:instrText>
          </w:r>
          <w:r>
            <w:fldChar w:fldCharType="separate"/>
          </w:r>
          <w:r>
            <w:t>15</w:t>
          </w:r>
          <w:r>
            <w:fldChar w:fldCharType="end"/>
          </w:r>
          <w:r>
            <w:rPr>
              <w:rFonts w:hint="eastAsia"/>
            </w:rPr>
            <w:fldChar w:fldCharType="end"/>
          </w:r>
        </w:p>
        <w:p w14:paraId="77DBD135">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_Toc30272 </w:instrText>
          </w:r>
          <w:r>
            <w:rPr>
              <w:rFonts w:hint="eastAsia"/>
            </w:rPr>
            <w:fldChar w:fldCharType="separate"/>
          </w:r>
          <w:r>
            <w:rPr>
              <w:rFonts w:hint="eastAsia"/>
            </w:rPr>
            <w:t xml:space="preserve">5.2. </w:t>
          </w:r>
          <w:r>
            <w:rPr>
              <w:rFonts w:hint="eastAsia"/>
              <w:lang w:val="en-US" w:eastAsia="zh-CN"/>
            </w:rPr>
            <w:t>设备</w:t>
          </w:r>
          <w:r>
            <w:rPr>
              <w:rFonts w:hint="eastAsia"/>
            </w:rPr>
            <w:t>日常维护</w:t>
          </w:r>
          <w:r>
            <w:tab/>
          </w:r>
          <w:r>
            <w:fldChar w:fldCharType="begin"/>
          </w:r>
          <w:r>
            <w:instrText xml:space="preserve"> PAGEREF _Toc30272 \h </w:instrText>
          </w:r>
          <w:r>
            <w:fldChar w:fldCharType="separate"/>
          </w:r>
          <w:r>
            <w:t>15</w:t>
          </w:r>
          <w:r>
            <w:fldChar w:fldCharType="end"/>
          </w:r>
          <w:r>
            <w:rPr>
              <w:rFonts w:hint="eastAsia"/>
            </w:rPr>
            <w:fldChar w:fldCharType="end"/>
          </w:r>
        </w:p>
        <w:p w14:paraId="7E94DAF9">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_Toc9648 </w:instrText>
          </w:r>
          <w:r>
            <w:rPr>
              <w:rFonts w:hint="eastAsia"/>
            </w:rPr>
            <w:fldChar w:fldCharType="separate"/>
          </w:r>
          <w:r>
            <w:rPr>
              <w:rFonts w:hint="eastAsia"/>
            </w:rPr>
            <w:t xml:space="preserve">5.3. </w:t>
          </w:r>
          <w:r>
            <w:rPr>
              <w:rFonts w:hint="eastAsia"/>
              <w:lang w:val="en-US" w:eastAsia="zh-CN"/>
            </w:rPr>
            <w:t>设备</w:t>
          </w:r>
          <w:r>
            <w:rPr>
              <w:rFonts w:hint="eastAsia"/>
            </w:rPr>
            <w:t>维护注意事项</w:t>
          </w:r>
          <w:r>
            <w:tab/>
          </w:r>
          <w:r>
            <w:fldChar w:fldCharType="begin"/>
          </w:r>
          <w:r>
            <w:instrText xml:space="preserve"> PAGEREF _Toc9648 \h </w:instrText>
          </w:r>
          <w:r>
            <w:fldChar w:fldCharType="separate"/>
          </w:r>
          <w:r>
            <w:t>20</w:t>
          </w:r>
          <w:r>
            <w:fldChar w:fldCharType="end"/>
          </w:r>
          <w:r>
            <w:rPr>
              <w:rFonts w:hint="eastAsia"/>
            </w:rPr>
            <w:fldChar w:fldCharType="end"/>
          </w:r>
        </w:p>
        <w:p w14:paraId="331BD2E3">
          <w:pPr>
            <w:pStyle w:val="14"/>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_Toc8226 </w:instrText>
          </w:r>
          <w:r>
            <w:rPr>
              <w:rFonts w:hint="eastAsia"/>
            </w:rPr>
            <w:fldChar w:fldCharType="separate"/>
          </w:r>
          <w:r>
            <w:rPr>
              <w:rFonts w:hint="eastAsia"/>
            </w:rPr>
            <w:t>六、 案例展示</w:t>
          </w:r>
          <w:r>
            <w:tab/>
          </w:r>
          <w:r>
            <w:fldChar w:fldCharType="begin"/>
          </w:r>
          <w:r>
            <w:instrText xml:space="preserve"> PAGEREF _Toc8226 \h </w:instrText>
          </w:r>
          <w:r>
            <w:fldChar w:fldCharType="separate"/>
          </w:r>
          <w:r>
            <w:t>25</w:t>
          </w:r>
          <w:r>
            <w:fldChar w:fldCharType="end"/>
          </w:r>
          <w:r>
            <w:rPr>
              <w:rFonts w:hint="eastAsia"/>
            </w:rPr>
            <w:fldChar w:fldCharType="end"/>
          </w:r>
        </w:p>
        <w:p w14:paraId="2CB3059F">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_Toc21176 </w:instrText>
          </w:r>
          <w:r>
            <w:rPr>
              <w:rFonts w:hint="eastAsia"/>
            </w:rPr>
            <w:fldChar w:fldCharType="separate"/>
          </w:r>
          <w:r>
            <w:rPr>
              <w:rFonts w:hint="eastAsia"/>
            </w:rPr>
            <w:t>6.1. 案例1：四川某供智慧泵房</w:t>
          </w:r>
          <w:r>
            <w:tab/>
          </w:r>
          <w:r>
            <w:fldChar w:fldCharType="begin"/>
          </w:r>
          <w:r>
            <w:instrText xml:space="preserve"> PAGEREF _Toc21176 \h </w:instrText>
          </w:r>
          <w:r>
            <w:fldChar w:fldCharType="separate"/>
          </w:r>
          <w:r>
            <w:t>25</w:t>
          </w:r>
          <w:r>
            <w:fldChar w:fldCharType="end"/>
          </w:r>
          <w:r>
            <w:rPr>
              <w:rFonts w:hint="eastAsia"/>
            </w:rPr>
            <w:fldChar w:fldCharType="end"/>
          </w:r>
        </w:p>
        <w:p w14:paraId="21EBC7DB">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_Toc25492 </w:instrText>
          </w:r>
          <w:r>
            <w:rPr>
              <w:rFonts w:hint="eastAsia"/>
            </w:rPr>
            <w:fldChar w:fldCharType="separate"/>
          </w:r>
          <w:r>
            <w:rPr>
              <w:rFonts w:hint="eastAsia"/>
            </w:rPr>
            <w:t>6.2. 案例2：安徽某供二次供水泵房</w:t>
          </w:r>
          <w:r>
            <w:tab/>
          </w:r>
          <w:r>
            <w:fldChar w:fldCharType="begin"/>
          </w:r>
          <w:r>
            <w:instrText xml:space="preserve"> PAGEREF _Toc25492 \h </w:instrText>
          </w:r>
          <w:r>
            <w:fldChar w:fldCharType="separate"/>
          </w:r>
          <w:r>
            <w:t>26</w:t>
          </w:r>
          <w:r>
            <w:fldChar w:fldCharType="end"/>
          </w:r>
          <w:r>
            <w:rPr>
              <w:rFonts w:hint="eastAsia"/>
            </w:rPr>
            <w:fldChar w:fldCharType="end"/>
          </w:r>
        </w:p>
        <w:p w14:paraId="578D515C">
          <w:pPr>
            <w:ind w:firstLine="480"/>
            <w:rPr>
              <w:rFonts w:hint="eastAsia"/>
            </w:rPr>
          </w:pPr>
          <w:r>
            <w:rPr>
              <w:rFonts w:hint="eastAsia"/>
            </w:rPr>
            <w:fldChar w:fldCharType="end"/>
          </w:r>
        </w:p>
      </w:sdtContent>
    </w:sdt>
    <w:p w14:paraId="63771547">
      <w:pPr>
        <w:ind w:firstLine="480"/>
        <w:rPr>
          <w:rFonts w:hint="eastAsia"/>
        </w:rPr>
      </w:pPr>
    </w:p>
    <w:p w14:paraId="6A784358">
      <w:pPr>
        <w:ind w:firstLine="480"/>
        <w:rPr>
          <w:rFonts w:hint="eastAsia"/>
        </w:rPr>
        <w:sectPr>
          <w:headerReference r:id="rId11" w:type="default"/>
          <w:footerReference r:id="rId12" w:type="default"/>
          <w:pgSz w:w="11906" w:h="16838"/>
          <w:pgMar w:top="1440" w:right="1800" w:bottom="1440" w:left="1800" w:header="851" w:footer="992" w:gutter="0"/>
          <w:pgNumType w:start="1"/>
          <w:cols w:space="425" w:num="1"/>
          <w:docGrid w:type="lines" w:linePitch="312" w:charSpace="0"/>
        </w:sectPr>
      </w:pPr>
    </w:p>
    <w:p w14:paraId="22BC7F28">
      <w:pPr>
        <w:pStyle w:val="2"/>
        <w:rPr>
          <w:rFonts w:hint="eastAsia"/>
        </w:rPr>
      </w:pPr>
      <w:bookmarkStart w:id="0" w:name="_Toc3865"/>
      <w:bookmarkStart w:id="1" w:name="_Toc12892"/>
      <w:r>
        <w:rPr>
          <w:rFonts w:hint="eastAsia"/>
        </w:rPr>
        <w:t>公司简介</w:t>
      </w:r>
      <w:bookmarkEnd w:id="0"/>
      <w:bookmarkEnd w:id="1"/>
    </w:p>
    <w:p w14:paraId="3466E27F">
      <w:pPr>
        <w:ind w:firstLine="480"/>
        <w:rPr>
          <w:rFonts w:hint="eastAsia"/>
        </w:rPr>
      </w:pPr>
    </w:p>
    <w:p w14:paraId="6A0BE81E">
      <w:pPr>
        <w:ind w:firstLine="0" w:firstLineChars="0"/>
        <w:jc w:val="center"/>
        <w:rPr>
          <w:rFonts w:hint="eastAsia"/>
        </w:rPr>
      </w:pPr>
      <w:r>
        <w:drawing>
          <wp:inline distT="0" distB="0" distL="0" distR="0">
            <wp:extent cx="4585970" cy="3395980"/>
            <wp:effectExtent l="0" t="0" r="127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cstate="print"/>
                    <a:stretch>
                      <a:fillRect/>
                    </a:stretch>
                  </pic:blipFill>
                  <pic:spPr>
                    <a:xfrm>
                      <a:off x="0" y="0"/>
                      <a:ext cx="4585970" cy="3395980"/>
                    </a:xfrm>
                    <a:prstGeom prst="rect">
                      <a:avLst/>
                    </a:prstGeom>
                  </pic:spPr>
                </pic:pic>
              </a:graphicData>
            </a:graphic>
          </wp:inline>
        </w:drawing>
      </w:r>
    </w:p>
    <w:p w14:paraId="65D4B9C3">
      <w:pPr>
        <w:ind w:firstLine="0" w:firstLineChars="0"/>
        <w:jc w:val="left"/>
        <w:rPr>
          <w:rFonts w:hint="eastAsia"/>
        </w:rPr>
      </w:pPr>
    </w:p>
    <w:p w14:paraId="2CE75923">
      <w:pPr>
        <w:ind w:firstLine="480"/>
        <w:rPr>
          <w:rFonts w:hint="eastAsia"/>
        </w:rPr>
      </w:pPr>
      <w:r>
        <w:rPr>
          <w:rFonts w:hint="eastAsia"/>
          <w:lang w:eastAsia="zh-CN"/>
        </w:rPr>
        <w:t>青岛精诚仪器仪表</w:t>
      </w:r>
      <w:r>
        <w:rPr>
          <w:rFonts w:hint="eastAsia"/>
        </w:rPr>
        <w:t>有限公司（简称</w:t>
      </w:r>
      <w:r>
        <w:rPr>
          <w:rFonts w:hint="eastAsia"/>
          <w:lang w:val="en-US" w:eastAsia="zh-CN"/>
        </w:rPr>
        <w:t>青岛精诚</w:t>
      </w:r>
      <w:r>
        <w:rPr>
          <w:rFonts w:hint="eastAsia"/>
        </w:rPr>
        <w:t>），是一家专业从事生态环境、水利水务、工业过程控制、智慧农业、海洋监测等应用的水质分析仪器研发制造商，以自主研发生产的水质自动监测仪器为核心，应用自动化控制与系统集成技术，为客户提供自动化、智能化的环境监测系统解决方案，并为客户提供环境监测设施的第三方运营服务。</w:t>
      </w:r>
    </w:p>
    <w:p w14:paraId="425371C0">
      <w:pPr>
        <w:ind w:firstLine="480"/>
        <w:rPr>
          <w:rFonts w:hint="eastAsia"/>
        </w:rPr>
      </w:pPr>
      <w:r>
        <w:rPr>
          <w:rFonts w:hint="eastAsia"/>
          <w:lang w:val="en-US" w:eastAsia="zh-CN"/>
        </w:rPr>
        <w:t>我公司</w:t>
      </w:r>
      <w:r>
        <w:rPr>
          <w:rFonts w:hint="eastAsia"/>
        </w:rPr>
        <w:t>拥有完善的研发、生产、销售和技术服务团队，是国内水质数字传感领导品牌，为国内近百个市、县（区）政府和生态环境部门提供水环境监测技术支撑。</w:t>
      </w:r>
    </w:p>
    <w:p w14:paraId="163FAB05">
      <w:pPr>
        <w:ind w:firstLine="480"/>
        <w:rPr>
          <w:rFonts w:hint="eastAsia"/>
        </w:rPr>
      </w:pPr>
    </w:p>
    <w:p w14:paraId="2390913F">
      <w:pPr>
        <w:ind w:firstLine="480"/>
        <w:rPr>
          <w:rFonts w:hint="eastAsia"/>
        </w:rPr>
        <w:sectPr>
          <w:pgSz w:w="11906" w:h="16838"/>
          <w:pgMar w:top="1440" w:right="1800" w:bottom="1440" w:left="1800" w:header="851" w:footer="992" w:gutter="0"/>
          <w:cols w:space="425" w:num="1"/>
          <w:docGrid w:type="lines" w:linePitch="312" w:charSpace="0"/>
        </w:sectPr>
      </w:pPr>
    </w:p>
    <w:p w14:paraId="7C20DABA">
      <w:pPr>
        <w:pStyle w:val="2"/>
        <w:rPr>
          <w:rFonts w:hint="eastAsia"/>
        </w:rPr>
      </w:pPr>
      <w:bookmarkStart w:id="2" w:name="_Toc16208"/>
      <w:bookmarkStart w:id="3" w:name="_Toc28553"/>
      <w:r>
        <w:rPr>
          <w:rFonts w:hint="eastAsia"/>
        </w:rPr>
        <w:t>二次供水监测概述</w:t>
      </w:r>
      <w:bookmarkEnd w:id="2"/>
      <w:bookmarkEnd w:id="3"/>
    </w:p>
    <w:p w14:paraId="1373FE4B">
      <w:pPr>
        <w:pStyle w:val="3"/>
        <w:rPr>
          <w:rFonts w:hint="eastAsia"/>
        </w:rPr>
      </w:pPr>
      <w:bookmarkStart w:id="4" w:name="_Toc24726"/>
      <w:r>
        <w:rPr>
          <w:rFonts w:hint="eastAsia"/>
        </w:rPr>
        <w:t>二次供水行业背景</w:t>
      </w:r>
      <w:bookmarkEnd w:id="4"/>
    </w:p>
    <w:p w14:paraId="63EF4C4D">
      <w:pPr>
        <w:ind w:firstLine="480"/>
        <w:rPr>
          <w:rFonts w:hint="eastAsia"/>
        </w:rPr>
      </w:pPr>
      <w:r>
        <w:rPr>
          <w:rFonts w:hint="eastAsia"/>
        </w:rPr>
        <w:t>二次供水作为城市供水的“最后一公里”，其水质监测面临以下核心痛点，涉及技术、管理、成本及社会协调等多个维度：</w:t>
      </w:r>
    </w:p>
    <w:p w14:paraId="6E4F03A1">
      <w:pPr>
        <w:ind w:firstLine="0" w:firstLineChars="0"/>
        <w:rPr>
          <w:rFonts w:hint="eastAsia"/>
          <w:b/>
          <w:bCs/>
        </w:rPr>
      </w:pPr>
      <w:r>
        <w:rPr>
          <w:rFonts w:hint="eastAsia"/>
          <w:b/>
          <w:bCs/>
        </w:rPr>
        <w:t>1、设施建设与维护的标准化缺失</w:t>
      </w:r>
    </w:p>
    <w:p w14:paraId="684B39A3">
      <w:pPr>
        <w:ind w:firstLine="482"/>
        <w:rPr>
          <w:rFonts w:hint="eastAsia"/>
          <w:b/>
          <w:bCs/>
        </w:rPr>
      </w:pPr>
      <w:r>
        <w:rPr>
          <w:rFonts w:hint="eastAsia"/>
          <w:b/>
          <w:bCs/>
        </w:rPr>
        <w:t>建设质量参差不齐</w:t>
      </w:r>
    </w:p>
    <w:p w14:paraId="28EF0FB0">
      <w:pPr>
        <w:ind w:firstLine="480"/>
        <w:rPr>
          <w:rFonts w:hint="eastAsia"/>
        </w:rPr>
      </w:pPr>
      <w:r>
        <w:rPr>
          <w:rFonts w:hint="eastAsia"/>
        </w:rPr>
        <w:t>二次供水设施多由房地产开发商自行建设，部分开发商为控制成本采用低质材料或简化工艺，导致水箱、管道易生锈或密封性不足，滋生细菌、藻类或混入异物。老旧小区设施老化问题尤为突出，部分蓄水箱甚至长期未清洗。</w:t>
      </w:r>
    </w:p>
    <w:p w14:paraId="763994DF">
      <w:pPr>
        <w:ind w:firstLine="482"/>
        <w:rPr>
          <w:rFonts w:hint="eastAsia"/>
          <w:b/>
          <w:bCs/>
        </w:rPr>
      </w:pPr>
      <w:r>
        <w:rPr>
          <w:rFonts w:hint="eastAsia"/>
          <w:b/>
          <w:bCs/>
        </w:rPr>
        <w:t>改造与升级困难</w:t>
      </w:r>
    </w:p>
    <w:p w14:paraId="1A112939">
      <w:pPr>
        <w:ind w:firstLine="480"/>
        <w:rPr>
          <w:rFonts w:hint="eastAsia"/>
        </w:rPr>
      </w:pPr>
      <w:r>
        <w:rPr>
          <w:rFonts w:hint="eastAsia"/>
        </w:rPr>
        <w:t>老旧小区因建筑结构复杂、公共空间有限，设备改造面临选址争议和施工难度。例如，部分业主对改造存在抵触心理，需供水企业投入大量协调资源。此外，新建小区虽鼓励“统建统管”，但地方执行标准不一，难以形成全国性规范。</w:t>
      </w:r>
    </w:p>
    <w:p w14:paraId="1F672D13">
      <w:pPr>
        <w:ind w:firstLine="0" w:firstLineChars="0"/>
        <w:rPr>
          <w:rFonts w:hint="eastAsia"/>
          <w:b/>
          <w:bCs/>
        </w:rPr>
      </w:pPr>
      <w:r>
        <w:rPr>
          <w:rFonts w:hint="eastAsia"/>
          <w:b/>
          <w:bCs/>
        </w:rPr>
        <w:t>2、管理机制不健全</w:t>
      </w:r>
    </w:p>
    <w:p w14:paraId="543902AD">
      <w:pPr>
        <w:ind w:firstLine="482"/>
        <w:rPr>
          <w:rFonts w:hint="eastAsia"/>
          <w:b/>
          <w:bCs/>
        </w:rPr>
      </w:pPr>
      <w:r>
        <w:rPr>
          <w:rFonts w:hint="eastAsia"/>
          <w:b/>
          <w:bCs/>
        </w:rPr>
        <w:t>产权与责任主体分散</w:t>
      </w:r>
    </w:p>
    <w:p w14:paraId="2A287958">
      <w:pPr>
        <w:ind w:firstLine="480"/>
        <w:rPr>
          <w:rFonts w:hint="eastAsia"/>
        </w:rPr>
      </w:pPr>
      <w:r>
        <w:rPr>
          <w:rFonts w:hint="eastAsia"/>
        </w:rPr>
        <w:t>二次供水设施产权归属全体业主，管理权分散于物业、业主或第三方公司，导致维护责任不清。非专业团队清洗消毒频次不足，甚至存在清洗过程不规范问题。</w:t>
      </w:r>
    </w:p>
    <w:p w14:paraId="6DC3FE48">
      <w:pPr>
        <w:ind w:firstLine="482"/>
        <w:rPr>
          <w:rFonts w:hint="eastAsia"/>
          <w:b/>
          <w:bCs/>
        </w:rPr>
      </w:pPr>
      <w:r>
        <w:rPr>
          <w:rFonts w:hint="eastAsia"/>
          <w:b/>
          <w:bCs/>
        </w:rPr>
        <w:t>监管体系薄弱</w:t>
      </w:r>
    </w:p>
    <w:p w14:paraId="12FEFDC8">
      <w:pPr>
        <w:ind w:firstLine="480"/>
        <w:rPr>
          <w:rFonts w:hint="eastAsia"/>
        </w:rPr>
      </w:pPr>
      <w:r>
        <w:rPr>
          <w:rFonts w:hint="eastAsia"/>
        </w:rPr>
        <w:t>卫生部门虽要求每年至少一次水质检测，但实际执行依赖第三方机构，监管力度不足。部分地区仅通过突击检查应对重大活动，缺乏常态化监督机制。此外，终端龙头水达标情况缺乏强制性监测要求。</w:t>
      </w:r>
    </w:p>
    <w:p w14:paraId="5B5A8B3D">
      <w:pPr>
        <w:ind w:firstLine="0" w:firstLineChars="0"/>
        <w:rPr>
          <w:rFonts w:hint="eastAsia"/>
          <w:b/>
          <w:bCs/>
        </w:rPr>
      </w:pPr>
      <w:r>
        <w:rPr>
          <w:rFonts w:hint="eastAsia"/>
          <w:b/>
          <w:bCs/>
        </w:rPr>
        <w:t>3、技术应用与数据透明度不足</w:t>
      </w:r>
    </w:p>
    <w:p w14:paraId="3B9C9C18">
      <w:pPr>
        <w:ind w:firstLine="482"/>
        <w:rPr>
          <w:rFonts w:hint="eastAsia"/>
          <w:b/>
          <w:bCs/>
        </w:rPr>
      </w:pPr>
      <w:r>
        <w:rPr>
          <w:rFonts w:hint="eastAsia"/>
          <w:b/>
          <w:bCs/>
        </w:rPr>
        <w:t>在线监测覆盖率低</w:t>
      </w:r>
    </w:p>
    <w:p w14:paraId="021D2501">
      <w:pPr>
        <w:ind w:firstLine="480"/>
        <w:rPr>
          <w:rFonts w:hint="eastAsia"/>
        </w:rPr>
      </w:pPr>
      <w:r>
        <w:rPr>
          <w:rFonts w:hint="eastAsia"/>
        </w:rPr>
        <w:t>尽管物联网、大数据技术已用于水质实时监测（如TH-GSZ04、EMCP平台等），但多数地区仍依赖人工采样抽检，数据更新滞后，难以及时发现污染问题。</w:t>
      </w:r>
    </w:p>
    <w:p w14:paraId="33215A80">
      <w:pPr>
        <w:ind w:firstLine="482"/>
        <w:rPr>
          <w:rFonts w:hint="eastAsia"/>
          <w:b/>
          <w:bCs/>
        </w:rPr>
      </w:pPr>
      <w:r>
        <w:rPr>
          <w:rFonts w:hint="eastAsia"/>
          <w:b/>
          <w:bCs/>
        </w:rPr>
        <w:t>智慧化转型缓慢</w:t>
      </w:r>
    </w:p>
    <w:p w14:paraId="2199B0C1">
      <w:pPr>
        <w:ind w:firstLine="480"/>
        <w:rPr>
          <w:rFonts w:hint="eastAsia"/>
          <w:b/>
          <w:bCs/>
        </w:rPr>
      </w:pPr>
      <w:r>
        <w:rPr>
          <w:rFonts w:hint="eastAsia"/>
        </w:rPr>
        <w:t>节能错峰系统等创新技术可优化管网压力、降低漏损率，但因设备成本高、技术推广不足，普及率有限。部分水司仍采用传统管理模式，缺乏数据分析能力。</w:t>
      </w:r>
      <w:r>
        <w:rPr>
          <w:rFonts w:hint="eastAsia"/>
          <w:b/>
          <w:bCs/>
        </w:rPr>
        <w:t>4、成本负担与资金来源矛盾</w:t>
      </w:r>
    </w:p>
    <w:p w14:paraId="201E94D6">
      <w:pPr>
        <w:ind w:firstLine="482"/>
        <w:rPr>
          <w:rFonts w:hint="eastAsia"/>
          <w:b/>
          <w:bCs/>
        </w:rPr>
      </w:pPr>
      <w:r>
        <w:rPr>
          <w:rFonts w:hint="eastAsia"/>
          <w:b/>
          <w:bCs/>
        </w:rPr>
        <w:t>运维成本高昂</w:t>
      </w:r>
    </w:p>
    <w:p w14:paraId="50409C79">
      <w:pPr>
        <w:ind w:firstLine="480"/>
        <w:rPr>
          <w:rFonts w:hint="eastAsia"/>
        </w:rPr>
      </w:pPr>
      <w:r>
        <w:rPr>
          <w:rFonts w:hint="eastAsia"/>
        </w:rPr>
        <w:t>二次供水涉及电费、设施折旧、维护等费用，每吨水成本超1元，加重供水企业负担。部分地区因水价倒挂严重，企业长期亏损，影响服务质量。</w:t>
      </w:r>
    </w:p>
    <w:p w14:paraId="59BFB9C7">
      <w:pPr>
        <w:ind w:firstLine="482"/>
        <w:rPr>
          <w:rFonts w:hint="eastAsia"/>
          <w:b/>
          <w:bCs/>
        </w:rPr>
      </w:pPr>
      <w:r>
        <w:rPr>
          <w:rFonts w:hint="eastAsia"/>
          <w:b/>
          <w:bCs/>
        </w:rPr>
        <w:t>改造资金缺口大</w:t>
      </w:r>
    </w:p>
    <w:p w14:paraId="2B46EFBF">
      <w:pPr>
        <w:ind w:firstLine="480"/>
        <w:rPr>
          <w:rFonts w:hint="eastAsia"/>
        </w:rPr>
      </w:pPr>
      <w:r>
        <w:rPr>
          <w:rFonts w:hint="eastAsia"/>
        </w:rPr>
        <w:t>老旧小区改造需政府、企业、业主多方分摊费用，协调难度高。华东地区依赖财政支持推进较快，而其他地区资金不足导致进度滞后。</w:t>
      </w:r>
    </w:p>
    <w:p w14:paraId="5B682DCE">
      <w:pPr>
        <w:ind w:firstLine="0" w:firstLineChars="0"/>
        <w:rPr>
          <w:rFonts w:hint="eastAsia"/>
          <w:b/>
          <w:bCs/>
        </w:rPr>
      </w:pPr>
      <w:r>
        <w:rPr>
          <w:rFonts w:hint="eastAsia"/>
          <w:b/>
          <w:bCs/>
        </w:rPr>
        <w:t>5、用户需求与信任危机</w:t>
      </w:r>
    </w:p>
    <w:p w14:paraId="46B21340">
      <w:pPr>
        <w:ind w:firstLine="482"/>
        <w:rPr>
          <w:rFonts w:hint="eastAsia"/>
          <w:b/>
          <w:bCs/>
        </w:rPr>
      </w:pPr>
      <w:r>
        <w:rPr>
          <w:rFonts w:hint="eastAsia"/>
          <w:b/>
          <w:bCs/>
        </w:rPr>
        <w:t>水质数据不透明</w:t>
      </w:r>
    </w:p>
    <w:p w14:paraId="389948CE">
      <w:pPr>
        <w:ind w:firstLine="480"/>
        <w:rPr>
          <w:rFonts w:hint="eastAsia"/>
        </w:rPr>
      </w:pPr>
      <w:r>
        <w:rPr>
          <w:rFonts w:hint="eastAsia"/>
        </w:rPr>
        <w:t>居民对水质安全的质疑频发，但多数小区未建立实时数据公开机制。例如，仅有少数案例通过APP或二维码向公众展示监测结果。</w:t>
      </w:r>
    </w:p>
    <w:p w14:paraId="6B8AD668">
      <w:pPr>
        <w:ind w:firstLine="482"/>
        <w:rPr>
          <w:rFonts w:hint="eastAsia"/>
          <w:b/>
          <w:bCs/>
        </w:rPr>
      </w:pPr>
      <w:r>
        <w:rPr>
          <w:rFonts w:hint="eastAsia"/>
          <w:b/>
          <w:bCs/>
        </w:rPr>
        <w:t>高峰期供需矛盾</w:t>
      </w:r>
    </w:p>
    <w:p w14:paraId="4850503D">
      <w:pPr>
        <w:ind w:firstLine="480"/>
        <w:rPr>
          <w:rFonts w:hint="eastAsia"/>
        </w:rPr>
      </w:pPr>
      <w:r>
        <w:rPr>
          <w:rFonts w:hint="eastAsia"/>
        </w:rPr>
        <w:t>供水高峰期易出现水压不稳、抢水现象，低峰期又存在资源浪费，直接影响用户体验。</w:t>
      </w:r>
    </w:p>
    <w:p w14:paraId="4C2302C2">
      <w:pPr>
        <w:ind w:firstLine="0" w:firstLineChars="0"/>
        <w:jc w:val="center"/>
        <w:rPr>
          <w:rFonts w:hint="eastAsia" w:asciiTheme="minorEastAsia" w:hAnsiTheme="minorEastAsia" w:eastAsiaTheme="minorEastAsia" w:cstheme="minorEastAsia"/>
        </w:rPr>
      </w:pPr>
      <w:r>
        <w:drawing>
          <wp:inline distT="0" distB="0" distL="114300" distR="114300">
            <wp:extent cx="3891280" cy="2456815"/>
            <wp:effectExtent l="0" t="0" r="10160" b="12065"/>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15"/>
                    <a:stretch>
                      <a:fillRect/>
                    </a:stretch>
                  </pic:blipFill>
                  <pic:spPr>
                    <a:xfrm>
                      <a:off x="0" y="0"/>
                      <a:ext cx="3891280" cy="2456815"/>
                    </a:xfrm>
                    <a:prstGeom prst="rect">
                      <a:avLst/>
                    </a:prstGeom>
                    <a:noFill/>
                    <a:ln w="9525">
                      <a:noFill/>
                    </a:ln>
                  </pic:spPr>
                </pic:pic>
              </a:graphicData>
            </a:graphic>
          </wp:inline>
        </w:drawing>
      </w:r>
    </w:p>
    <w:p w14:paraId="762DBB11">
      <w:pPr>
        <w:ind w:firstLine="0" w:firstLineChars="0"/>
        <w:rPr>
          <w:rFonts w:hint="eastAsia"/>
          <w:b/>
          <w:bCs/>
        </w:rPr>
      </w:pPr>
      <w:r>
        <w:rPr>
          <w:rFonts w:hint="eastAsia"/>
          <w:b/>
          <w:bCs/>
        </w:rPr>
        <w:t>6、监测依据</w:t>
      </w:r>
    </w:p>
    <w:p w14:paraId="536E7F46">
      <w:pPr>
        <w:ind w:firstLine="0" w:firstLineChars="0"/>
        <w:jc w:val="left"/>
        <w:rPr>
          <w:rFonts w:hint="eastAsia"/>
          <w:b/>
          <w:bCs/>
        </w:rPr>
      </w:pPr>
      <w:r>
        <w:rPr>
          <w:rFonts w:hint="eastAsia"/>
          <w:b/>
          <w:bCs/>
        </w:rPr>
        <w:t>国家标准与行业规范</w:t>
      </w:r>
    </w:p>
    <w:p w14:paraId="51158342">
      <w:pPr>
        <w:ind w:firstLine="480"/>
        <w:rPr>
          <w:rFonts w:hint="eastAsia"/>
        </w:rPr>
      </w:pPr>
      <w:r>
        <w:rPr>
          <w:rFonts w:hint="eastAsia"/>
        </w:rPr>
        <w:t>《生活饮用水卫生标准》（GB5749-2022）</w:t>
      </w:r>
    </w:p>
    <w:p w14:paraId="3DD71BAB">
      <w:pPr>
        <w:pStyle w:val="3"/>
        <w:rPr>
          <w:rFonts w:hint="eastAsia"/>
        </w:rPr>
      </w:pPr>
      <w:bookmarkStart w:id="5" w:name="_Toc16844"/>
      <w:bookmarkStart w:id="6" w:name="_Toc17363"/>
      <w:r>
        <w:rPr>
          <w:rFonts w:hint="eastAsia"/>
        </w:rPr>
        <w:t>二次供水监测特点</w:t>
      </w:r>
      <w:bookmarkEnd w:id="5"/>
      <w:bookmarkEnd w:id="6"/>
    </w:p>
    <w:p w14:paraId="004D4E95">
      <w:pPr>
        <w:ind w:firstLine="0" w:firstLineChars="0"/>
        <w:rPr>
          <w:rFonts w:hint="eastAsia"/>
          <w:b/>
          <w:bCs/>
        </w:rPr>
      </w:pPr>
      <w:r>
        <w:rPr>
          <w:rFonts w:hint="eastAsia"/>
          <w:b/>
          <w:bCs/>
        </w:rPr>
        <w:t>1、监测参数多元化，覆盖关键指标</w:t>
      </w:r>
    </w:p>
    <w:p w14:paraId="30CC6D57">
      <w:pPr>
        <w:ind w:firstLine="480"/>
        <w:rPr>
          <w:rFonts w:hint="eastAsia"/>
        </w:rPr>
      </w:pPr>
      <w:r>
        <w:rPr>
          <w:rFonts w:hint="eastAsia"/>
        </w:rPr>
        <w:t>微生物指标：细菌总数、总大肠菌群等；</w:t>
      </w:r>
    </w:p>
    <w:p w14:paraId="2D8B79D3">
      <w:pPr>
        <w:ind w:firstLine="480"/>
        <w:rPr>
          <w:rFonts w:hint="eastAsia"/>
        </w:rPr>
      </w:pPr>
      <w:r>
        <w:rPr>
          <w:rFonts w:hint="eastAsia"/>
        </w:rPr>
        <w:t>理化指标：余氯、pH值、浊度、溶解氧、电导率、颗粒物数量等；</w:t>
      </w:r>
    </w:p>
    <w:p w14:paraId="5ACD65FF">
      <w:pPr>
        <w:ind w:firstLine="480"/>
        <w:rPr>
          <w:rFonts w:hint="eastAsia"/>
        </w:rPr>
      </w:pPr>
      <w:r>
        <w:rPr>
          <w:rFonts w:hint="eastAsia"/>
        </w:rPr>
        <w:t>管网运行参数：噪声监测、流量等</w:t>
      </w:r>
    </w:p>
    <w:p w14:paraId="14CED961">
      <w:pPr>
        <w:ind w:firstLine="0" w:firstLineChars="0"/>
        <w:rPr>
          <w:rFonts w:hint="eastAsia"/>
          <w:b/>
          <w:bCs/>
        </w:rPr>
      </w:pPr>
      <w:r>
        <w:rPr>
          <w:rFonts w:hint="eastAsia"/>
          <w:b/>
          <w:bCs/>
        </w:rPr>
        <w:t>2、实时在线监测成为主流</w:t>
      </w:r>
    </w:p>
    <w:p w14:paraId="5E762DBC">
      <w:pPr>
        <w:ind w:firstLine="480"/>
        <w:rPr>
          <w:rFonts w:hint="eastAsia"/>
        </w:rPr>
      </w:pPr>
      <w:r>
        <w:rPr>
          <w:rFonts w:hint="eastAsia"/>
        </w:rPr>
        <w:t>通过传感器实现24小时不间断数据采集；</w:t>
      </w:r>
    </w:p>
    <w:p w14:paraId="76C57AC8">
      <w:pPr>
        <w:ind w:firstLine="480"/>
        <w:rPr>
          <w:rFonts w:hint="eastAsia"/>
        </w:rPr>
      </w:pPr>
      <w:r>
        <w:rPr>
          <w:rFonts w:hint="eastAsia"/>
        </w:rPr>
        <w:t>支持5G/4G远程传输，数据更新频率可达分钟级；</w:t>
      </w:r>
    </w:p>
    <w:p w14:paraId="110443AB">
      <w:pPr>
        <w:ind w:firstLine="480"/>
        <w:rPr>
          <w:rFonts w:hint="eastAsia"/>
        </w:rPr>
      </w:pPr>
      <w:r>
        <w:rPr>
          <w:rFonts w:hint="eastAsia"/>
        </w:rPr>
        <w:t>异常数据触发声光报警，响应时间缩短至15分钟内；</w:t>
      </w:r>
    </w:p>
    <w:p w14:paraId="6BA4B815">
      <w:pPr>
        <w:ind w:firstLine="0" w:firstLineChars="0"/>
        <w:rPr>
          <w:rFonts w:hint="eastAsia"/>
          <w:b/>
          <w:bCs/>
        </w:rPr>
      </w:pPr>
      <w:r>
        <w:rPr>
          <w:rFonts w:hint="eastAsia"/>
          <w:b/>
          <w:bCs/>
        </w:rPr>
        <w:t>3、监测点位布局复杂</w:t>
      </w:r>
    </w:p>
    <w:p w14:paraId="2936E9FA">
      <w:pPr>
        <w:ind w:firstLine="480"/>
        <w:rPr>
          <w:rFonts w:hint="eastAsia"/>
        </w:rPr>
      </w:pPr>
      <w:r>
        <w:rPr>
          <w:rFonts w:hint="eastAsia"/>
        </w:rPr>
        <w:t>储水箱进出口、加压泵房前后端、管网末梢用户端；</w:t>
      </w:r>
    </w:p>
    <w:p w14:paraId="3ABAE879">
      <w:pPr>
        <w:ind w:firstLine="0" w:firstLineChars="0"/>
        <w:rPr>
          <w:rFonts w:hint="eastAsia"/>
          <w:b/>
          <w:bCs/>
        </w:rPr>
      </w:pPr>
      <w:r>
        <w:rPr>
          <w:rFonts w:hint="eastAsia"/>
          <w:b/>
          <w:bCs/>
        </w:rPr>
        <w:t>4、设备集成度高且智能化</w:t>
      </w:r>
    </w:p>
    <w:p w14:paraId="2F753CD4">
      <w:pPr>
        <w:ind w:firstLine="480"/>
        <w:rPr>
          <w:rFonts w:hint="eastAsia"/>
        </w:rPr>
      </w:pPr>
      <w:r>
        <w:rPr>
          <w:rFonts w:hint="eastAsia"/>
        </w:rPr>
        <w:t>模块化设计：支持余氯、浊度等4-6种传感器自由组合；</w:t>
      </w:r>
    </w:p>
    <w:p w14:paraId="3FAB66CF">
      <w:pPr>
        <w:ind w:firstLine="480"/>
        <w:rPr>
          <w:rFonts w:hint="eastAsia"/>
        </w:rPr>
      </w:pPr>
      <w:r>
        <w:rPr>
          <w:rFonts w:hint="eastAsia"/>
        </w:rPr>
        <w:t>智能诊断：具备电极自清洗、光源衰减补偿等自维护功能；</w:t>
      </w:r>
    </w:p>
    <w:p w14:paraId="2D93EC37">
      <w:pPr>
        <w:ind w:firstLine="480"/>
        <w:rPr>
          <w:rFonts w:hint="eastAsia"/>
        </w:rPr>
      </w:pPr>
      <w:r>
        <w:rPr>
          <w:rFonts w:hint="eastAsia"/>
        </w:rPr>
        <w:t>数据管理：支持U盘导出CSV格式数据，兼容MODBUS协议；</w:t>
      </w:r>
    </w:p>
    <w:p w14:paraId="1ED9CBBB">
      <w:pPr>
        <w:ind w:firstLine="480"/>
        <w:rPr>
          <w:rFonts w:hint="eastAsia"/>
        </w:rPr>
      </w:pPr>
      <w:bookmarkStart w:id="7" w:name="_Toc15099"/>
    </w:p>
    <w:p w14:paraId="24697EEE">
      <w:pPr>
        <w:ind w:firstLine="480"/>
        <w:rPr>
          <w:rFonts w:hint="eastAsia"/>
        </w:rPr>
      </w:pPr>
      <w:r>
        <w:rPr>
          <w:rFonts w:hint="eastAsia"/>
        </w:rPr>
        <w:t>根据国家市场监督管理总局、国家标准化管理委员会于2022年3月15日发布生活饮用水卫生标准（GB 5749-2022）：</w:t>
      </w:r>
    </w:p>
    <w:p w14:paraId="7E373A90">
      <w:pPr>
        <w:ind w:firstLine="420"/>
        <w:jc w:val="center"/>
        <w:rPr>
          <w:rFonts w:hint="eastAsia"/>
        </w:rPr>
      </w:pPr>
      <w:r>
        <w:rPr>
          <w:rFonts w:hint="eastAsia"/>
          <w:sz w:val="21"/>
          <w:szCs w:val="21"/>
        </w:rPr>
        <w:t>表1生活饮用水水质常规指标及限值</w:t>
      </w:r>
    </w:p>
    <w:tbl>
      <w:tblPr>
        <w:tblStyle w:val="20"/>
        <w:tblW w:w="8522" w:type="dxa"/>
        <w:tblInd w:w="0" w:type="dxa"/>
        <w:tblBorders>
          <w:top w:val="single" w:color="auto" w:sz="4"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752"/>
        <w:gridCol w:w="2965"/>
      </w:tblGrid>
      <w:tr w14:paraId="228C4713">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805" w:type="dxa"/>
            <w:vAlign w:val="center"/>
          </w:tcPr>
          <w:p w14:paraId="27CE98CE">
            <w:pPr>
              <w:spacing w:line="240" w:lineRule="auto"/>
              <w:ind w:firstLine="0" w:firstLineChars="0"/>
              <w:jc w:val="center"/>
              <w:rPr>
                <w:rFonts w:hint="eastAsia"/>
                <w:b/>
                <w:bCs/>
                <w:sz w:val="21"/>
                <w:szCs w:val="21"/>
              </w:rPr>
            </w:pPr>
            <w:r>
              <w:rPr>
                <w:rFonts w:hint="eastAsia"/>
                <w:b/>
                <w:bCs/>
                <w:sz w:val="21"/>
                <w:szCs w:val="21"/>
              </w:rPr>
              <w:t>序号</w:t>
            </w:r>
          </w:p>
        </w:tc>
        <w:tc>
          <w:tcPr>
            <w:tcW w:w="4752" w:type="dxa"/>
            <w:vAlign w:val="center"/>
          </w:tcPr>
          <w:p w14:paraId="3BC8DF4B">
            <w:pPr>
              <w:spacing w:line="240" w:lineRule="auto"/>
              <w:ind w:firstLine="0" w:firstLineChars="0"/>
              <w:jc w:val="center"/>
              <w:rPr>
                <w:rFonts w:hint="eastAsia"/>
                <w:b/>
                <w:bCs/>
                <w:sz w:val="21"/>
                <w:szCs w:val="21"/>
              </w:rPr>
            </w:pPr>
            <w:r>
              <w:rPr>
                <w:rFonts w:hint="eastAsia"/>
                <w:b/>
                <w:bCs/>
                <w:sz w:val="21"/>
                <w:szCs w:val="21"/>
              </w:rPr>
              <w:t>指标</w:t>
            </w:r>
          </w:p>
        </w:tc>
        <w:tc>
          <w:tcPr>
            <w:tcW w:w="2965" w:type="dxa"/>
            <w:vAlign w:val="center"/>
          </w:tcPr>
          <w:p w14:paraId="242B0C86">
            <w:pPr>
              <w:spacing w:line="240" w:lineRule="auto"/>
              <w:ind w:firstLine="0" w:firstLineChars="0"/>
              <w:jc w:val="center"/>
              <w:rPr>
                <w:rFonts w:hint="eastAsia"/>
                <w:b/>
                <w:bCs/>
                <w:sz w:val="21"/>
                <w:szCs w:val="21"/>
              </w:rPr>
            </w:pPr>
            <w:r>
              <w:rPr>
                <w:rFonts w:hint="eastAsia"/>
                <w:b/>
                <w:bCs/>
                <w:sz w:val="21"/>
                <w:szCs w:val="21"/>
              </w:rPr>
              <w:t>限制</w:t>
            </w:r>
          </w:p>
        </w:tc>
      </w:tr>
      <w:tr w14:paraId="2114D52E">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7A8F67EF">
            <w:pPr>
              <w:spacing w:line="240" w:lineRule="auto"/>
              <w:ind w:firstLine="0" w:firstLineChars="0"/>
              <w:jc w:val="center"/>
              <w:rPr>
                <w:rFonts w:hint="eastAsia"/>
                <w:sz w:val="21"/>
                <w:szCs w:val="21"/>
              </w:rPr>
            </w:pPr>
            <w:r>
              <w:rPr>
                <w:rFonts w:hint="eastAsia"/>
                <w:sz w:val="21"/>
                <w:szCs w:val="21"/>
              </w:rPr>
              <w:t>1</w:t>
            </w:r>
          </w:p>
        </w:tc>
        <w:tc>
          <w:tcPr>
            <w:tcW w:w="4752" w:type="dxa"/>
            <w:vAlign w:val="center"/>
          </w:tcPr>
          <w:p w14:paraId="6A933954">
            <w:pPr>
              <w:spacing w:line="240" w:lineRule="auto"/>
              <w:ind w:firstLine="0" w:firstLineChars="0"/>
              <w:jc w:val="center"/>
              <w:rPr>
                <w:rFonts w:hint="eastAsia"/>
                <w:sz w:val="21"/>
                <w:szCs w:val="21"/>
              </w:rPr>
            </w:pPr>
            <w:r>
              <w:rPr>
                <w:rFonts w:hint="eastAsia"/>
                <w:sz w:val="21"/>
                <w:szCs w:val="21"/>
              </w:rPr>
              <w:t>总大肠菌群/（MPN/100mL或CFU/100mL）</w:t>
            </w:r>
          </w:p>
        </w:tc>
        <w:tc>
          <w:tcPr>
            <w:tcW w:w="2965" w:type="dxa"/>
            <w:vAlign w:val="center"/>
          </w:tcPr>
          <w:p w14:paraId="2D0B2EF2">
            <w:pPr>
              <w:spacing w:line="240" w:lineRule="auto"/>
              <w:ind w:firstLine="0" w:firstLineChars="0"/>
              <w:jc w:val="center"/>
              <w:rPr>
                <w:rFonts w:hint="eastAsia"/>
                <w:sz w:val="21"/>
                <w:szCs w:val="21"/>
              </w:rPr>
            </w:pPr>
            <w:r>
              <w:rPr>
                <w:rFonts w:hint="eastAsia"/>
                <w:sz w:val="21"/>
                <w:szCs w:val="21"/>
              </w:rPr>
              <w:t>不应检出</w:t>
            </w:r>
          </w:p>
        </w:tc>
      </w:tr>
      <w:tr w14:paraId="7217D246">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37430254">
            <w:pPr>
              <w:spacing w:line="240" w:lineRule="auto"/>
              <w:ind w:firstLine="0" w:firstLineChars="0"/>
              <w:jc w:val="center"/>
              <w:rPr>
                <w:rFonts w:hint="eastAsia"/>
                <w:sz w:val="21"/>
                <w:szCs w:val="21"/>
              </w:rPr>
            </w:pPr>
            <w:r>
              <w:rPr>
                <w:rFonts w:hint="eastAsia"/>
                <w:sz w:val="21"/>
                <w:szCs w:val="21"/>
              </w:rPr>
              <w:t>2</w:t>
            </w:r>
          </w:p>
        </w:tc>
        <w:tc>
          <w:tcPr>
            <w:tcW w:w="4752" w:type="dxa"/>
            <w:vAlign w:val="center"/>
          </w:tcPr>
          <w:p w14:paraId="20BD2855">
            <w:pPr>
              <w:spacing w:line="240" w:lineRule="auto"/>
              <w:ind w:firstLine="0" w:firstLineChars="0"/>
              <w:jc w:val="center"/>
              <w:rPr>
                <w:rFonts w:hint="eastAsia"/>
                <w:sz w:val="21"/>
                <w:szCs w:val="21"/>
              </w:rPr>
            </w:pPr>
            <w:r>
              <w:rPr>
                <w:rFonts w:hint="eastAsia"/>
                <w:sz w:val="21"/>
                <w:szCs w:val="21"/>
              </w:rPr>
              <w:t>大肠埃希氏菌/（MPN/100mL或CFU/100mL）</w:t>
            </w:r>
          </w:p>
        </w:tc>
        <w:tc>
          <w:tcPr>
            <w:tcW w:w="2965" w:type="dxa"/>
            <w:vAlign w:val="center"/>
          </w:tcPr>
          <w:p w14:paraId="13C11A3A">
            <w:pPr>
              <w:spacing w:line="240" w:lineRule="auto"/>
              <w:ind w:firstLine="0" w:firstLineChars="0"/>
              <w:jc w:val="center"/>
              <w:rPr>
                <w:rFonts w:hint="eastAsia"/>
                <w:sz w:val="21"/>
                <w:szCs w:val="21"/>
              </w:rPr>
            </w:pPr>
            <w:r>
              <w:rPr>
                <w:rFonts w:hint="eastAsia"/>
                <w:sz w:val="21"/>
                <w:szCs w:val="21"/>
              </w:rPr>
              <w:t>不应检出</w:t>
            </w:r>
          </w:p>
        </w:tc>
      </w:tr>
      <w:tr w14:paraId="091340DB">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16EAB1E8">
            <w:pPr>
              <w:spacing w:line="240" w:lineRule="auto"/>
              <w:ind w:firstLine="0" w:firstLineChars="0"/>
              <w:jc w:val="center"/>
              <w:rPr>
                <w:rFonts w:hint="eastAsia"/>
                <w:sz w:val="21"/>
                <w:szCs w:val="21"/>
              </w:rPr>
            </w:pPr>
            <w:r>
              <w:rPr>
                <w:rFonts w:hint="eastAsia"/>
                <w:sz w:val="21"/>
                <w:szCs w:val="21"/>
              </w:rPr>
              <w:t>3</w:t>
            </w:r>
          </w:p>
        </w:tc>
        <w:tc>
          <w:tcPr>
            <w:tcW w:w="4752" w:type="dxa"/>
            <w:vAlign w:val="center"/>
          </w:tcPr>
          <w:p w14:paraId="44B7C91A">
            <w:pPr>
              <w:spacing w:line="240" w:lineRule="auto"/>
              <w:ind w:firstLine="0" w:firstLineChars="0"/>
              <w:jc w:val="center"/>
              <w:rPr>
                <w:rFonts w:hint="eastAsia"/>
                <w:sz w:val="21"/>
                <w:szCs w:val="21"/>
              </w:rPr>
            </w:pPr>
            <w:r>
              <w:rPr>
                <w:rFonts w:hint="eastAsia"/>
                <w:sz w:val="21"/>
                <w:szCs w:val="21"/>
              </w:rPr>
              <w:t>菌落总数/（MPN/mL或CFU/mL）</w:t>
            </w:r>
          </w:p>
        </w:tc>
        <w:tc>
          <w:tcPr>
            <w:tcW w:w="2965" w:type="dxa"/>
            <w:vAlign w:val="center"/>
          </w:tcPr>
          <w:p w14:paraId="59AAD0A5">
            <w:pPr>
              <w:spacing w:line="240" w:lineRule="auto"/>
              <w:ind w:firstLine="0" w:firstLineChars="0"/>
              <w:jc w:val="center"/>
              <w:rPr>
                <w:rFonts w:hint="eastAsia"/>
                <w:sz w:val="21"/>
                <w:szCs w:val="21"/>
              </w:rPr>
            </w:pPr>
            <w:r>
              <w:rPr>
                <w:rFonts w:hint="eastAsia"/>
                <w:sz w:val="21"/>
                <w:szCs w:val="21"/>
              </w:rPr>
              <w:t>100</w:t>
            </w:r>
          </w:p>
        </w:tc>
      </w:tr>
      <w:tr w14:paraId="65206826">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42ABCF26">
            <w:pPr>
              <w:spacing w:line="240" w:lineRule="auto"/>
              <w:ind w:firstLine="0" w:firstLineChars="0"/>
              <w:jc w:val="center"/>
              <w:rPr>
                <w:rFonts w:hint="eastAsia"/>
                <w:sz w:val="21"/>
                <w:szCs w:val="21"/>
              </w:rPr>
            </w:pPr>
            <w:r>
              <w:rPr>
                <w:rFonts w:hint="eastAsia"/>
                <w:sz w:val="21"/>
                <w:szCs w:val="21"/>
              </w:rPr>
              <w:t>4</w:t>
            </w:r>
          </w:p>
        </w:tc>
        <w:tc>
          <w:tcPr>
            <w:tcW w:w="4752" w:type="dxa"/>
            <w:vAlign w:val="center"/>
          </w:tcPr>
          <w:p w14:paraId="5436CA7B">
            <w:pPr>
              <w:spacing w:line="240" w:lineRule="auto"/>
              <w:ind w:firstLine="0" w:firstLineChars="0"/>
              <w:jc w:val="center"/>
              <w:rPr>
                <w:rFonts w:hint="eastAsia"/>
                <w:sz w:val="21"/>
                <w:szCs w:val="21"/>
              </w:rPr>
            </w:pPr>
            <w:r>
              <w:rPr>
                <w:rFonts w:hint="eastAsia"/>
                <w:sz w:val="21"/>
                <w:szCs w:val="21"/>
              </w:rPr>
              <w:t>色度（铂钻色度单位）/度</w:t>
            </w:r>
          </w:p>
        </w:tc>
        <w:tc>
          <w:tcPr>
            <w:tcW w:w="2965" w:type="dxa"/>
            <w:vAlign w:val="center"/>
          </w:tcPr>
          <w:p w14:paraId="5502BD2E">
            <w:pPr>
              <w:spacing w:line="240" w:lineRule="auto"/>
              <w:ind w:firstLine="0" w:firstLineChars="0"/>
              <w:jc w:val="center"/>
              <w:rPr>
                <w:rFonts w:hint="eastAsia"/>
                <w:sz w:val="21"/>
                <w:szCs w:val="21"/>
              </w:rPr>
            </w:pPr>
            <w:r>
              <w:rPr>
                <w:rFonts w:hint="eastAsia"/>
                <w:sz w:val="21"/>
                <w:szCs w:val="21"/>
              </w:rPr>
              <w:t>15</w:t>
            </w:r>
          </w:p>
        </w:tc>
      </w:tr>
      <w:tr w14:paraId="5E994EC3">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27485CDD">
            <w:pPr>
              <w:spacing w:line="240" w:lineRule="auto"/>
              <w:ind w:firstLine="0" w:firstLineChars="0"/>
              <w:jc w:val="center"/>
              <w:rPr>
                <w:rFonts w:hint="eastAsia"/>
                <w:sz w:val="21"/>
                <w:szCs w:val="21"/>
              </w:rPr>
            </w:pPr>
            <w:r>
              <w:rPr>
                <w:rFonts w:hint="eastAsia"/>
                <w:sz w:val="21"/>
                <w:szCs w:val="21"/>
              </w:rPr>
              <w:t>5</w:t>
            </w:r>
          </w:p>
        </w:tc>
        <w:tc>
          <w:tcPr>
            <w:tcW w:w="4752" w:type="dxa"/>
            <w:vAlign w:val="center"/>
          </w:tcPr>
          <w:p w14:paraId="1E1F42B5">
            <w:pPr>
              <w:spacing w:line="240" w:lineRule="auto"/>
              <w:ind w:firstLine="0" w:firstLineChars="0"/>
              <w:jc w:val="center"/>
              <w:rPr>
                <w:rFonts w:hint="eastAsia"/>
                <w:sz w:val="21"/>
                <w:szCs w:val="21"/>
              </w:rPr>
            </w:pPr>
            <w:r>
              <w:rPr>
                <w:rFonts w:hint="eastAsia"/>
                <w:sz w:val="21"/>
                <w:szCs w:val="21"/>
              </w:rPr>
              <w:t>浑浊度（散射浑浊度单位）/NTU</w:t>
            </w:r>
          </w:p>
        </w:tc>
        <w:tc>
          <w:tcPr>
            <w:tcW w:w="2965" w:type="dxa"/>
            <w:vAlign w:val="center"/>
          </w:tcPr>
          <w:p w14:paraId="304EEAFA">
            <w:pPr>
              <w:spacing w:line="240" w:lineRule="auto"/>
              <w:ind w:firstLine="0" w:firstLineChars="0"/>
              <w:jc w:val="center"/>
              <w:rPr>
                <w:rFonts w:hint="eastAsia"/>
                <w:sz w:val="21"/>
                <w:szCs w:val="21"/>
              </w:rPr>
            </w:pPr>
            <w:r>
              <w:rPr>
                <w:rFonts w:hint="eastAsia"/>
                <w:sz w:val="21"/>
                <w:szCs w:val="21"/>
              </w:rPr>
              <w:t>1</w:t>
            </w:r>
          </w:p>
        </w:tc>
      </w:tr>
      <w:tr w14:paraId="34B70A7C">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3A6F75CB">
            <w:pPr>
              <w:spacing w:line="240" w:lineRule="auto"/>
              <w:ind w:firstLine="0" w:firstLineChars="0"/>
              <w:jc w:val="center"/>
              <w:rPr>
                <w:rFonts w:hint="eastAsia"/>
                <w:sz w:val="21"/>
                <w:szCs w:val="21"/>
              </w:rPr>
            </w:pPr>
            <w:r>
              <w:rPr>
                <w:rFonts w:hint="eastAsia"/>
                <w:sz w:val="21"/>
                <w:szCs w:val="21"/>
              </w:rPr>
              <w:t>6</w:t>
            </w:r>
          </w:p>
        </w:tc>
        <w:tc>
          <w:tcPr>
            <w:tcW w:w="4752" w:type="dxa"/>
            <w:vAlign w:val="center"/>
          </w:tcPr>
          <w:p w14:paraId="6106B640">
            <w:pPr>
              <w:spacing w:line="240" w:lineRule="auto"/>
              <w:ind w:firstLine="0" w:firstLineChars="0"/>
              <w:jc w:val="center"/>
              <w:rPr>
                <w:rFonts w:hint="eastAsia"/>
                <w:sz w:val="21"/>
                <w:szCs w:val="21"/>
              </w:rPr>
            </w:pPr>
            <w:r>
              <w:rPr>
                <w:rFonts w:hint="eastAsia"/>
                <w:sz w:val="21"/>
                <w:szCs w:val="21"/>
              </w:rPr>
              <w:t>臭和味</w:t>
            </w:r>
          </w:p>
        </w:tc>
        <w:tc>
          <w:tcPr>
            <w:tcW w:w="2965" w:type="dxa"/>
            <w:vAlign w:val="center"/>
          </w:tcPr>
          <w:p w14:paraId="598A965B">
            <w:pPr>
              <w:spacing w:line="240" w:lineRule="auto"/>
              <w:ind w:firstLine="0" w:firstLineChars="0"/>
              <w:jc w:val="center"/>
              <w:rPr>
                <w:rFonts w:hint="eastAsia"/>
                <w:sz w:val="21"/>
                <w:szCs w:val="21"/>
              </w:rPr>
            </w:pPr>
            <w:r>
              <w:rPr>
                <w:rFonts w:hint="eastAsia"/>
                <w:sz w:val="21"/>
                <w:szCs w:val="21"/>
              </w:rPr>
              <w:t>无异臭、异味</w:t>
            </w:r>
          </w:p>
        </w:tc>
      </w:tr>
      <w:tr w14:paraId="0B1B8B19">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6D1A0053">
            <w:pPr>
              <w:spacing w:line="240" w:lineRule="auto"/>
              <w:ind w:firstLine="0" w:firstLineChars="0"/>
              <w:jc w:val="center"/>
              <w:rPr>
                <w:rFonts w:hint="eastAsia"/>
                <w:sz w:val="21"/>
                <w:szCs w:val="21"/>
              </w:rPr>
            </w:pPr>
            <w:r>
              <w:rPr>
                <w:rFonts w:hint="eastAsia"/>
                <w:sz w:val="21"/>
                <w:szCs w:val="21"/>
              </w:rPr>
              <w:t>7</w:t>
            </w:r>
          </w:p>
        </w:tc>
        <w:tc>
          <w:tcPr>
            <w:tcW w:w="4752" w:type="dxa"/>
            <w:vAlign w:val="center"/>
          </w:tcPr>
          <w:p w14:paraId="198B62B8">
            <w:pPr>
              <w:spacing w:line="240" w:lineRule="auto"/>
              <w:ind w:firstLine="0" w:firstLineChars="0"/>
              <w:jc w:val="center"/>
              <w:rPr>
                <w:rFonts w:hint="eastAsia"/>
                <w:sz w:val="21"/>
                <w:szCs w:val="21"/>
              </w:rPr>
            </w:pPr>
            <w:r>
              <w:rPr>
                <w:rFonts w:hint="eastAsia"/>
                <w:sz w:val="21"/>
                <w:szCs w:val="21"/>
              </w:rPr>
              <w:t>肉眼可见物</w:t>
            </w:r>
          </w:p>
        </w:tc>
        <w:tc>
          <w:tcPr>
            <w:tcW w:w="2965" w:type="dxa"/>
            <w:vAlign w:val="center"/>
          </w:tcPr>
          <w:p w14:paraId="1356FC59">
            <w:pPr>
              <w:spacing w:line="240" w:lineRule="auto"/>
              <w:ind w:firstLine="0" w:firstLineChars="0"/>
              <w:jc w:val="center"/>
              <w:rPr>
                <w:rFonts w:hint="eastAsia"/>
                <w:sz w:val="21"/>
                <w:szCs w:val="21"/>
              </w:rPr>
            </w:pPr>
            <w:r>
              <w:rPr>
                <w:rFonts w:hint="eastAsia"/>
                <w:sz w:val="21"/>
                <w:szCs w:val="21"/>
              </w:rPr>
              <w:t>无</w:t>
            </w:r>
          </w:p>
        </w:tc>
      </w:tr>
      <w:tr w14:paraId="20A797EE">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3AB3EA5E">
            <w:pPr>
              <w:spacing w:line="240" w:lineRule="auto"/>
              <w:ind w:firstLine="0" w:firstLineChars="0"/>
              <w:jc w:val="center"/>
              <w:rPr>
                <w:rFonts w:hint="eastAsia"/>
                <w:sz w:val="21"/>
                <w:szCs w:val="21"/>
              </w:rPr>
            </w:pPr>
            <w:r>
              <w:rPr>
                <w:rFonts w:hint="eastAsia"/>
                <w:sz w:val="21"/>
                <w:szCs w:val="21"/>
              </w:rPr>
              <w:t>8</w:t>
            </w:r>
          </w:p>
        </w:tc>
        <w:tc>
          <w:tcPr>
            <w:tcW w:w="4752" w:type="dxa"/>
            <w:vAlign w:val="center"/>
          </w:tcPr>
          <w:p w14:paraId="2332D90A">
            <w:pPr>
              <w:spacing w:line="240" w:lineRule="auto"/>
              <w:ind w:firstLine="0" w:firstLineChars="0"/>
              <w:jc w:val="center"/>
              <w:rPr>
                <w:rFonts w:hint="eastAsia"/>
                <w:sz w:val="21"/>
                <w:szCs w:val="21"/>
              </w:rPr>
            </w:pPr>
            <w:r>
              <w:rPr>
                <w:rFonts w:hint="eastAsia"/>
                <w:sz w:val="21"/>
                <w:szCs w:val="21"/>
              </w:rPr>
              <w:t>PH</w:t>
            </w:r>
          </w:p>
        </w:tc>
        <w:tc>
          <w:tcPr>
            <w:tcW w:w="2965" w:type="dxa"/>
            <w:vAlign w:val="center"/>
          </w:tcPr>
          <w:p w14:paraId="70BD13A5">
            <w:pPr>
              <w:spacing w:line="240" w:lineRule="auto"/>
              <w:ind w:firstLine="0" w:firstLineChars="0"/>
              <w:jc w:val="center"/>
              <w:rPr>
                <w:rFonts w:hint="eastAsia"/>
                <w:sz w:val="21"/>
                <w:szCs w:val="21"/>
              </w:rPr>
            </w:pPr>
            <w:r>
              <w:rPr>
                <w:rFonts w:hint="eastAsia"/>
                <w:sz w:val="21"/>
                <w:szCs w:val="21"/>
              </w:rPr>
              <w:t>不小于6.5且不大于8.5</w:t>
            </w:r>
          </w:p>
        </w:tc>
      </w:tr>
      <w:tr w14:paraId="3ADD4685">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587C4A05">
            <w:pPr>
              <w:spacing w:line="240" w:lineRule="auto"/>
              <w:ind w:firstLine="0" w:firstLineChars="0"/>
              <w:jc w:val="center"/>
              <w:rPr>
                <w:rFonts w:hint="eastAsia"/>
                <w:sz w:val="21"/>
                <w:szCs w:val="21"/>
              </w:rPr>
            </w:pPr>
            <w:r>
              <w:rPr>
                <w:rFonts w:hint="eastAsia"/>
                <w:sz w:val="21"/>
                <w:szCs w:val="21"/>
              </w:rPr>
              <w:t>9</w:t>
            </w:r>
          </w:p>
        </w:tc>
        <w:tc>
          <w:tcPr>
            <w:tcW w:w="4752" w:type="dxa"/>
            <w:vAlign w:val="center"/>
          </w:tcPr>
          <w:p w14:paraId="33308360">
            <w:pPr>
              <w:spacing w:line="240" w:lineRule="auto"/>
              <w:ind w:firstLine="0" w:firstLineChars="0"/>
              <w:jc w:val="center"/>
              <w:rPr>
                <w:rFonts w:hint="eastAsia"/>
                <w:sz w:val="21"/>
                <w:szCs w:val="21"/>
              </w:rPr>
            </w:pPr>
            <w:r>
              <w:rPr>
                <w:rFonts w:hint="eastAsia"/>
                <w:sz w:val="21"/>
                <w:szCs w:val="21"/>
              </w:rPr>
              <w:t>氯化物/（mg/L）</w:t>
            </w:r>
          </w:p>
        </w:tc>
        <w:tc>
          <w:tcPr>
            <w:tcW w:w="2965" w:type="dxa"/>
            <w:vAlign w:val="center"/>
          </w:tcPr>
          <w:p w14:paraId="672CC061">
            <w:pPr>
              <w:spacing w:line="240" w:lineRule="auto"/>
              <w:ind w:firstLine="0" w:firstLineChars="0"/>
              <w:jc w:val="center"/>
              <w:rPr>
                <w:rFonts w:hint="eastAsia"/>
                <w:sz w:val="21"/>
                <w:szCs w:val="21"/>
              </w:rPr>
            </w:pPr>
            <w:r>
              <w:rPr>
                <w:rFonts w:hint="eastAsia"/>
                <w:sz w:val="21"/>
                <w:szCs w:val="21"/>
              </w:rPr>
              <w:t>250</w:t>
            </w:r>
          </w:p>
        </w:tc>
      </w:tr>
      <w:tr w14:paraId="33A8EB90">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55E72AC4">
            <w:pPr>
              <w:spacing w:line="240" w:lineRule="auto"/>
              <w:ind w:firstLine="0" w:firstLineChars="0"/>
              <w:jc w:val="center"/>
              <w:rPr>
                <w:rFonts w:hint="eastAsia"/>
                <w:sz w:val="21"/>
                <w:szCs w:val="21"/>
              </w:rPr>
            </w:pPr>
            <w:r>
              <w:rPr>
                <w:rFonts w:hint="eastAsia"/>
                <w:sz w:val="21"/>
                <w:szCs w:val="21"/>
              </w:rPr>
              <w:t>10</w:t>
            </w:r>
          </w:p>
        </w:tc>
        <w:tc>
          <w:tcPr>
            <w:tcW w:w="4752" w:type="dxa"/>
            <w:vAlign w:val="center"/>
          </w:tcPr>
          <w:p w14:paraId="206081DD">
            <w:pPr>
              <w:spacing w:line="240" w:lineRule="auto"/>
              <w:ind w:firstLine="0" w:firstLineChars="0"/>
              <w:jc w:val="center"/>
              <w:rPr>
                <w:rFonts w:hint="eastAsia"/>
                <w:sz w:val="21"/>
                <w:szCs w:val="21"/>
              </w:rPr>
            </w:pPr>
            <w:r>
              <w:rPr>
                <w:rFonts w:hint="eastAsia"/>
                <w:sz w:val="21"/>
                <w:szCs w:val="21"/>
              </w:rPr>
              <w:t>硫酸盐/（mg/L）</w:t>
            </w:r>
          </w:p>
        </w:tc>
        <w:tc>
          <w:tcPr>
            <w:tcW w:w="2965" w:type="dxa"/>
            <w:vAlign w:val="center"/>
          </w:tcPr>
          <w:p w14:paraId="3162BAE7">
            <w:pPr>
              <w:spacing w:line="240" w:lineRule="auto"/>
              <w:ind w:firstLine="0" w:firstLineChars="0"/>
              <w:jc w:val="center"/>
              <w:rPr>
                <w:rFonts w:hint="eastAsia"/>
                <w:sz w:val="21"/>
                <w:szCs w:val="21"/>
              </w:rPr>
            </w:pPr>
            <w:r>
              <w:rPr>
                <w:rFonts w:hint="eastAsia"/>
                <w:sz w:val="21"/>
                <w:szCs w:val="21"/>
              </w:rPr>
              <w:t>250</w:t>
            </w:r>
          </w:p>
        </w:tc>
      </w:tr>
      <w:tr w14:paraId="2A550A1E">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7261BD44">
            <w:pPr>
              <w:spacing w:line="240" w:lineRule="auto"/>
              <w:ind w:firstLine="0" w:firstLineChars="0"/>
              <w:jc w:val="center"/>
              <w:rPr>
                <w:rFonts w:hint="eastAsia"/>
                <w:sz w:val="21"/>
                <w:szCs w:val="21"/>
              </w:rPr>
            </w:pPr>
            <w:r>
              <w:rPr>
                <w:rFonts w:hint="eastAsia"/>
                <w:sz w:val="21"/>
                <w:szCs w:val="21"/>
              </w:rPr>
              <w:t>11</w:t>
            </w:r>
          </w:p>
        </w:tc>
        <w:tc>
          <w:tcPr>
            <w:tcW w:w="4752" w:type="dxa"/>
            <w:vAlign w:val="center"/>
          </w:tcPr>
          <w:p w14:paraId="2AA6BE42">
            <w:pPr>
              <w:spacing w:line="240" w:lineRule="auto"/>
              <w:ind w:firstLine="0" w:firstLineChars="0"/>
              <w:jc w:val="center"/>
              <w:rPr>
                <w:rFonts w:hint="eastAsia"/>
                <w:sz w:val="21"/>
                <w:szCs w:val="21"/>
              </w:rPr>
            </w:pPr>
            <w:r>
              <w:rPr>
                <w:rFonts w:hint="eastAsia"/>
                <w:sz w:val="21"/>
                <w:szCs w:val="21"/>
              </w:rPr>
              <w:t>总硬度（以CaCO计）/（mg/L）</w:t>
            </w:r>
          </w:p>
        </w:tc>
        <w:tc>
          <w:tcPr>
            <w:tcW w:w="2965" w:type="dxa"/>
            <w:vAlign w:val="center"/>
          </w:tcPr>
          <w:p w14:paraId="59DDBAD3">
            <w:pPr>
              <w:spacing w:line="240" w:lineRule="auto"/>
              <w:ind w:firstLine="0" w:firstLineChars="0"/>
              <w:jc w:val="center"/>
              <w:rPr>
                <w:rFonts w:hint="eastAsia"/>
                <w:sz w:val="21"/>
                <w:szCs w:val="21"/>
              </w:rPr>
            </w:pPr>
            <w:r>
              <w:rPr>
                <w:rFonts w:hint="eastAsia"/>
                <w:sz w:val="21"/>
                <w:szCs w:val="21"/>
              </w:rPr>
              <w:t>1000</w:t>
            </w:r>
          </w:p>
        </w:tc>
      </w:tr>
      <w:tr w14:paraId="24965CCC">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1B71F618">
            <w:pPr>
              <w:spacing w:line="240" w:lineRule="auto"/>
              <w:ind w:firstLine="0" w:firstLineChars="0"/>
              <w:jc w:val="center"/>
              <w:rPr>
                <w:rFonts w:hint="eastAsia"/>
                <w:sz w:val="21"/>
                <w:szCs w:val="21"/>
              </w:rPr>
            </w:pPr>
            <w:r>
              <w:rPr>
                <w:rFonts w:hint="eastAsia"/>
                <w:sz w:val="21"/>
                <w:szCs w:val="21"/>
              </w:rPr>
              <w:t>12</w:t>
            </w:r>
          </w:p>
        </w:tc>
        <w:tc>
          <w:tcPr>
            <w:tcW w:w="4752" w:type="dxa"/>
            <w:vAlign w:val="center"/>
          </w:tcPr>
          <w:p w14:paraId="7DFABE59">
            <w:pPr>
              <w:spacing w:line="240" w:lineRule="auto"/>
              <w:ind w:firstLine="0" w:firstLineChars="0"/>
              <w:jc w:val="center"/>
              <w:rPr>
                <w:rFonts w:hint="eastAsia"/>
                <w:sz w:val="21"/>
                <w:szCs w:val="21"/>
              </w:rPr>
            </w:pPr>
            <w:r>
              <w:rPr>
                <w:rFonts w:hint="eastAsia"/>
                <w:sz w:val="21"/>
                <w:szCs w:val="21"/>
              </w:rPr>
              <w:t>高锰酸盐指数（以O计)/（mg/L)</w:t>
            </w:r>
          </w:p>
        </w:tc>
        <w:tc>
          <w:tcPr>
            <w:tcW w:w="2965" w:type="dxa"/>
            <w:vAlign w:val="center"/>
          </w:tcPr>
          <w:p w14:paraId="17654F0D">
            <w:pPr>
              <w:spacing w:line="240" w:lineRule="auto"/>
              <w:ind w:firstLine="0" w:firstLineChars="0"/>
              <w:jc w:val="center"/>
              <w:rPr>
                <w:rFonts w:hint="eastAsia"/>
                <w:sz w:val="21"/>
                <w:szCs w:val="21"/>
              </w:rPr>
            </w:pPr>
            <w:r>
              <w:rPr>
                <w:rFonts w:hint="eastAsia"/>
                <w:sz w:val="21"/>
                <w:szCs w:val="21"/>
              </w:rPr>
              <w:t>450</w:t>
            </w:r>
          </w:p>
        </w:tc>
      </w:tr>
      <w:tr w14:paraId="42FF080C">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3772C4FE">
            <w:pPr>
              <w:spacing w:line="240" w:lineRule="auto"/>
              <w:ind w:firstLine="0" w:firstLineChars="0"/>
              <w:jc w:val="center"/>
              <w:rPr>
                <w:rFonts w:hint="eastAsia"/>
                <w:sz w:val="21"/>
                <w:szCs w:val="21"/>
              </w:rPr>
            </w:pPr>
            <w:r>
              <w:rPr>
                <w:rFonts w:hint="eastAsia"/>
                <w:sz w:val="21"/>
                <w:szCs w:val="21"/>
              </w:rPr>
              <w:t>13</w:t>
            </w:r>
          </w:p>
        </w:tc>
        <w:tc>
          <w:tcPr>
            <w:tcW w:w="4752" w:type="dxa"/>
            <w:vAlign w:val="center"/>
          </w:tcPr>
          <w:p w14:paraId="48FC17AB">
            <w:pPr>
              <w:spacing w:line="240" w:lineRule="auto"/>
              <w:ind w:firstLine="0" w:firstLineChars="0"/>
              <w:jc w:val="center"/>
              <w:rPr>
                <w:rFonts w:hint="eastAsia"/>
                <w:sz w:val="21"/>
                <w:szCs w:val="21"/>
              </w:rPr>
            </w:pPr>
            <w:r>
              <w:rPr>
                <w:rFonts w:hint="eastAsia"/>
                <w:sz w:val="21"/>
                <w:szCs w:val="21"/>
              </w:rPr>
              <w:t>氨（以N计）/（mg/L）</w:t>
            </w:r>
          </w:p>
        </w:tc>
        <w:tc>
          <w:tcPr>
            <w:tcW w:w="2965" w:type="dxa"/>
            <w:vAlign w:val="center"/>
          </w:tcPr>
          <w:p w14:paraId="0A24DB55">
            <w:pPr>
              <w:spacing w:line="240" w:lineRule="auto"/>
              <w:ind w:firstLine="0" w:firstLineChars="0"/>
              <w:jc w:val="center"/>
              <w:rPr>
                <w:rFonts w:hint="eastAsia"/>
                <w:sz w:val="21"/>
                <w:szCs w:val="21"/>
              </w:rPr>
            </w:pPr>
            <w:r>
              <w:rPr>
                <w:rFonts w:hint="eastAsia"/>
                <w:sz w:val="21"/>
                <w:szCs w:val="21"/>
              </w:rPr>
              <w:t>3</w:t>
            </w:r>
          </w:p>
        </w:tc>
      </w:tr>
    </w:tbl>
    <w:p w14:paraId="4CE488BA">
      <w:pPr>
        <w:ind w:firstLine="420"/>
        <w:jc w:val="center"/>
        <w:rPr>
          <w:rFonts w:hint="eastAsia" w:ascii="微软雅黑" w:hAnsi="微软雅黑" w:eastAsia="微软雅黑" w:cs="微软雅黑"/>
          <w:b/>
          <w:bCs/>
          <w:sz w:val="38"/>
          <w:szCs w:val="38"/>
          <w:shd w:val="clear" w:color="auto" w:fill="FFFFFF"/>
        </w:rPr>
      </w:pPr>
      <w:r>
        <w:rPr>
          <w:rFonts w:hint="eastAsia"/>
          <w:sz w:val="21"/>
          <w:szCs w:val="21"/>
        </w:rPr>
        <w:t>表2生活饮用水消毒剂常规指标及要求</w:t>
      </w:r>
    </w:p>
    <w:tbl>
      <w:tblPr>
        <w:tblStyle w:val="20"/>
        <w:tblW w:w="852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60"/>
        <w:gridCol w:w="1416"/>
        <w:gridCol w:w="1692"/>
        <w:gridCol w:w="1512"/>
        <w:gridCol w:w="1933"/>
      </w:tblGrid>
      <w:tr w14:paraId="0D9945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765E35A3">
            <w:pPr>
              <w:spacing w:line="240" w:lineRule="auto"/>
              <w:ind w:firstLine="0" w:firstLineChars="0"/>
              <w:jc w:val="center"/>
              <w:rPr>
                <w:rFonts w:hint="eastAsia" w:ascii="微软雅黑" w:hAnsi="微软雅黑" w:eastAsia="微软雅黑" w:cs="微软雅黑"/>
                <w:b/>
                <w:bCs/>
                <w:sz w:val="21"/>
                <w:szCs w:val="21"/>
                <w:shd w:val="clear" w:color="auto" w:fill="FFFFFF"/>
              </w:rPr>
            </w:pPr>
            <w:r>
              <w:rPr>
                <w:rFonts w:hint="eastAsia"/>
                <w:b/>
                <w:bCs/>
                <w:sz w:val="21"/>
                <w:szCs w:val="21"/>
              </w:rPr>
              <w:t>序号</w:t>
            </w:r>
          </w:p>
        </w:tc>
        <w:tc>
          <w:tcPr>
            <w:tcW w:w="1260" w:type="dxa"/>
            <w:vAlign w:val="center"/>
          </w:tcPr>
          <w:p w14:paraId="173CA7E7">
            <w:pPr>
              <w:spacing w:line="240" w:lineRule="auto"/>
              <w:ind w:firstLine="0" w:firstLineChars="0"/>
              <w:jc w:val="center"/>
              <w:rPr>
                <w:rFonts w:hint="eastAsia" w:ascii="微软雅黑" w:hAnsi="微软雅黑" w:eastAsia="微软雅黑" w:cs="微软雅黑"/>
                <w:b/>
                <w:bCs/>
                <w:sz w:val="21"/>
                <w:szCs w:val="21"/>
                <w:shd w:val="clear" w:color="auto" w:fill="FFFFFF"/>
              </w:rPr>
            </w:pPr>
            <w:r>
              <w:rPr>
                <w:rFonts w:hint="eastAsia"/>
                <w:b/>
                <w:bCs/>
                <w:sz w:val="21"/>
                <w:szCs w:val="21"/>
              </w:rPr>
              <w:t>指标</w:t>
            </w:r>
          </w:p>
        </w:tc>
        <w:tc>
          <w:tcPr>
            <w:tcW w:w="1416" w:type="dxa"/>
            <w:vAlign w:val="center"/>
          </w:tcPr>
          <w:p w14:paraId="0D01FBCC">
            <w:pPr>
              <w:spacing w:line="240" w:lineRule="auto"/>
              <w:ind w:firstLine="0" w:firstLineChars="0"/>
              <w:jc w:val="center"/>
              <w:rPr>
                <w:rFonts w:hint="eastAsia" w:ascii="微软雅黑" w:hAnsi="微软雅黑" w:eastAsia="微软雅黑" w:cs="微软雅黑"/>
                <w:b/>
                <w:bCs/>
                <w:sz w:val="21"/>
                <w:szCs w:val="21"/>
                <w:shd w:val="clear" w:color="auto" w:fill="FFFFFF"/>
              </w:rPr>
            </w:pPr>
            <w:r>
              <w:rPr>
                <w:rFonts w:hint="eastAsia"/>
                <w:b/>
                <w:bCs/>
                <w:sz w:val="21"/>
                <w:szCs w:val="21"/>
              </w:rPr>
              <w:t>与水接触时间/min</w:t>
            </w:r>
          </w:p>
        </w:tc>
        <w:tc>
          <w:tcPr>
            <w:tcW w:w="1692" w:type="dxa"/>
            <w:vAlign w:val="center"/>
          </w:tcPr>
          <w:p w14:paraId="20258166">
            <w:pPr>
              <w:spacing w:line="240" w:lineRule="auto"/>
              <w:ind w:firstLine="0" w:firstLineChars="0"/>
              <w:jc w:val="center"/>
              <w:rPr>
                <w:rFonts w:hint="eastAsia" w:ascii="微软雅黑" w:hAnsi="微软雅黑" w:eastAsia="微软雅黑" w:cs="微软雅黑"/>
                <w:b/>
                <w:bCs/>
                <w:sz w:val="21"/>
                <w:szCs w:val="21"/>
                <w:shd w:val="clear" w:color="auto" w:fill="FFFFFF"/>
              </w:rPr>
            </w:pPr>
            <w:r>
              <w:rPr>
                <w:rFonts w:hint="eastAsia"/>
                <w:b/>
                <w:bCs/>
                <w:sz w:val="21"/>
                <w:szCs w:val="21"/>
              </w:rPr>
              <w:t>出厂水和末梢水限值/(mg/L)</w:t>
            </w:r>
          </w:p>
        </w:tc>
        <w:tc>
          <w:tcPr>
            <w:tcW w:w="1512" w:type="dxa"/>
            <w:vAlign w:val="center"/>
          </w:tcPr>
          <w:p w14:paraId="59E1FA0C">
            <w:pPr>
              <w:spacing w:line="240" w:lineRule="auto"/>
              <w:ind w:firstLine="0" w:firstLineChars="0"/>
              <w:jc w:val="center"/>
              <w:rPr>
                <w:rFonts w:hint="eastAsia" w:ascii="微软雅黑" w:hAnsi="微软雅黑" w:eastAsia="微软雅黑" w:cs="微软雅黑"/>
                <w:b/>
                <w:bCs/>
                <w:sz w:val="21"/>
                <w:szCs w:val="21"/>
                <w:shd w:val="clear" w:color="auto" w:fill="FFFFFF"/>
              </w:rPr>
            </w:pPr>
            <w:r>
              <w:rPr>
                <w:rFonts w:hint="eastAsia"/>
                <w:b/>
                <w:bCs/>
                <w:sz w:val="21"/>
                <w:szCs w:val="21"/>
              </w:rPr>
              <w:t>出厂水余量/(mg/L)</w:t>
            </w:r>
          </w:p>
        </w:tc>
        <w:tc>
          <w:tcPr>
            <w:tcW w:w="1933" w:type="dxa"/>
            <w:vAlign w:val="center"/>
          </w:tcPr>
          <w:p w14:paraId="4D428FF3">
            <w:pPr>
              <w:spacing w:line="240" w:lineRule="auto"/>
              <w:ind w:firstLine="0" w:firstLineChars="0"/>
              <w:jc w:val="center"/>
              <w:rPr>
                <w:rFonts w:hint="eastAsia" w:ascii="微软雅黑" w:hAnsi="微软雅黑" w:eastAsia="微软雅黑" w:cs="微软雅黑"/>
                <w:b/>
                <w:bCs/>
                <w:sz w:val="21"/>
                <w:szCs w:val="21"/>
                <w:shd w:val="clear" w:color="auto" w:fill="FFFFFF"/>
              </w:rPr>
            </w:pPr>
            <w:r>
              <w:rPr>
                <w:rFonts w:hint="eastAsia"/>
                <w:b/>
                <w:bCs/>
                <w:sz w:val="21"/>
                <w:szCs w:val="21"/>
              </w:rPr>
              <w:t>末梢水余量/(mg/L.)</w:t>
            </w:r>
          </w:p>
        </w:tc>
      </w:tr>
      <w:tr w14:paraId="3C06FD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4C00B342">
            <w:pPr>
              <w:spacing w:line="240" w:lineRule="auto"/>
              <w:ind w:firstLine="0" w:firstLineChars="0"/>
              <w:jc w:val="center"/>
              <w:rPr>
                <w:rFonts w:hint="eastAsia"/>
                <w:sz w:val="21"/>
                <w:szCs w:val="21"/>
              </w:rPr>
            </w:pPr>
            <w:r>
              <w:rPr>
                <w:rFonts w:hint="eastAsia"/>
                <w:sz w:val="21"/>
                <w:szCs w:val="21"/>
              </w:rPr>
              <w:t>1</w:t>
            </w:r>
          </w:p>
        </w:tc>
        <w:tc>
          <w:tcPr>
            <w:tcW w:w="1260" w:type="dxa"/>
            <w:vAlign w:val="center"/>
          </w:tcPr>
          <w:p w14:paraId="51E9BCDF">
            <w:pPr>
              <w:spacing w:line="240" w:lineRule="auto"/>
              <w:ind w:firstLine="0" w:firstLineChars="0"/>
              <w:jc w:val="center"/>
              <w:rPr>
                <w:rFonts w:hint="eastAsia"/>
                <w:sz w:val="21"/>
                <w:szCs w:val="21"/>
              </w:rPr>
            </w:pPr>
            <w:r>
              <w:rPr>
                <w:rFonts w:hint="eastAsia"/>
                <w:sz w:val="21"/>
                <w:szCs w:val="21"/>
              </w:rPr>
              <w:t>游离氯</w:t>
            </w:r>
          </w:p>
        </w:tc>
        <w:tc>
          <w:tcPr>
            <w:tcW w:w="1416" w:type="dxa"/>
            <w:vAlign w:val="center"/>
          </w:tcPr>
          <w:p w14:paraId="0EFFA54F">
            <w:pPr>
              <w:spacing w:line="240" w:lineRule="auto"/>
              <w:ind w:firstLine="0" w:firstLineChars="0"/>
              <w:jc w:val="center"/>
              <w:rPr>
                <w:rFonts w:hint="eastAsia"/>
                <w:sz w:val="21"/>
                <w:szCs w:val="21"/>
              </w:rPr>
            </w:pPr>
            <w:r>
              <w:rPr>
                <w:rFonts w:hint="eastAsia"/>
                <w:sz w:val="21"/>
                <w:szCs w:val="21"/>
              </w:rPr>
              <w:t>≥30</w:t>
            </w:r>
          </w:p>
        </w:tc>
        <w:tc>
          <w:tcPr>
            <w:tcW w:w="1692" w:type="dxa"/>
            <w:vAlign w:val="center"/>
          </w:tcPr>
          <w:p w14:paraId="00758991">
            <w:pPr>
              <w:spacing w:line="240" w:lineRule="auto"/>
              <w:ind w:firstLine="0" w:firstLineChars="0"/>
              <w:jc w:val="center"/>
              <w:rPr>
                <w:rFonts w:hint="eastAsia"/>
                <w:sz w:val="21"/>
                <w:szCs w:val="21"/>
              </w:rPr>
            </w:pPr>
            <w:r>
              <w:rPr>
                <w:rFonts w:hint="eastAsia"/>
                <w:sz w:val="21"/>
                <w:szCs w:val="21"/>
              </w:rPr>
              <w:t>≤2</w:t>
            </w:r>
          </w:p>
        </w:tc>
        <w:tc>
          <w:tcPr>
            <w:tcW w:w="1512" w:type="dxa"/>
            <w:vAlign w:val="center"/>
          </w:tcPr>
          <w:p w14:paraId="382B2631">
            <w:pPr>
              <w:spacing w:line="240" w:lineRule="auto"/>
              <w:ind w:firstLine="0" w:firstLineChars="0"/>
              <w:jc w:val="center"/>
              <w:rPr>
                <w:rFonts w:hint="eastAsia"/>
                <w:sz w:val="21"/>
                <w:szCs w:val="21"/>
              </w:rPr>
            </w:pPr>
            <w:r>
              <w:rPr>
                <w:rFonts w:hint="eastAsia"/>
                <w:sz w:val="21"/>
                <w:szCs w:val="21"/>
              </w:rPr>
              <w:t>≥0.3</w:t>
            </w:r>
          </w:p>
        </w:tc>
        <w:tc>
          <w:tcPr>
            <w:tcW w:w="1933" w:type="dxa"/>
            <w:vAlign w:val="center"/>
          </w:tcPr>
          <w:p w14:paraId="6A64E736">
            <w:pPr>
              <w:spacing w:line="240" w:lineRule="auto"/>
              <w:ind w:firstLine="0" w:firstLineChars="0"/>
              <w:jc w:val="center"/>
              <w:rPr>
                <w:rFonts w:hint="eastAsia"/>
                <w:sz w:val="21"/>
                <w:szCs w:val="21"/>
              </w:rPr>
            </w:pPr>
            <w:r>
              <w:rPr>
                <w:rFonts w:hint="eastAsia"/>
                <w:sz w:val="21"/>
                <w:szCs w:val="21"/>
              </w:rPr>
              <w:t>≥0.05</w:t>
            </w:r>
          </w:p>
        </w:tc>
      </w:tr>
      <w:tr w14:paraId="2B44C9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73464C7E">
            <w:pPr>
              <w:spacing w:line="240" w:lineRule="auto"/>
              <w:ind w:firstLine="0" w:firstLineChars="0"/>
              <w:jc w:val="center"/>
              <w:rPr>
                <w:rFonts w:hint="eastAsia"/>
                <w:sz w:val="21"/>
                <w:szCs w:val="21"/>
              </w:rPr>
            </w:pPr>
            <w:r>
              <w:rPr>
                <w:rFonts w:hint="eastAsia"/>
                <w:sz w:val="21"/>
                <w:szCs w:val="21"/>
              </w:rPr>
              <w:t>2</w:t>
            </w:r>
          </w:p>
        </w:tc>
        <w:tc>
          <w:tcPr>
            <w:tcW w:w="1260" w:type="dxa"/>
            <w:vAlign w:val="center"/>
          </w:tcPr>
          <w:p w14:paraId="6AF180F8">
            <w:pPr>
              <w:spacing w:line="240" w:lineRule="auto"/>
              <w:ind w:firstLine="0" w:firstLineChars="0"/>
              <w:jc w:val="center"/>
              <w:rPr>
                <w:rFonts w:hint="eastAsia"/>
                <w:sz w:val="21"/>
                <w:szCs w:val="21"/>
              </w:rPr>
            </w:pPr>
            <w:r>
              <w:rPr>
                <w:rFonts w:hint="eastAsia"/>
                <w:sz w:val="21"/>
                <w:szCs w:val="21"/>
              </w:rPr>
              <w:t>总氯</w:t>
            </w:r>
          </w:p>
        </w:tc>
        <w:tc>
          <w:tcPr>
            <w:tcW w:w="1416" w:type="dxa"/>
            <w:vAlign w:val="center"/>
          </w:tcPr>
          <w:p w14:paraId="4DEDAC65">
            <w:pPr>
              <w:spacing w:line="240" w:lineRule="auto"/>
              <w:ind w:firstLine="0" w:firstLineChars="0"/>
              <w:jc w:val="center"/>
              <w:rPr>
                <w:rFonts w:hint="eastAsia"/>
                <w:sz w:val="21"/>
                <w:szCs w:val="21"/>
              </w:rPr>
            </w:pPr>
            <w:r>
              <w:rPr>
                <w:rFonts w:hint="eastAsia"/>
                <w:sz w:val="21"/>
                <w:szCs w:val="21"/>
              </w:rPr>
              <w:t>≥120</w:t>
            </w:r>
          </w:p>
        </w:tc>
        <w:tc>
          <w:tcPr>
            <w:tcW w:w="1692" w:type="dxa"/>
            <w:vAlign w:val="center"/>
          </w:tcPr>
          <w:p w14:paraId="31FB73BC">
            <w:pPr>
              <w:spacing w:line="240" w:lineRule="auto"/>
              <w:ind w:firstLine="0" w:firstLineChars="0"/>
              <w:jc w:val="center"/>
              <w:rPr>
                <w:rFonts w:hint="eastAsia"/>
                <w:sz w:val="21"/>
                <w:szCs w:val="21"/>
              </w:rPr>
            </w:pPr>
            <w:r>
              <w:rPr>
                <w:rFonts w:hint="eastAsia"/>
                <w:sz w:val="21"/>
                <w:szCs w:val="21"/>
              </w:rPr>
              <w:t>≤3</w:t>
            </w:r>
          </w:p>
        </w:tc>
        <w:tc>
          <w:tcPr>
            <w:tcW w:w="1512" w:type="dxa"/>
            <w:vAlign w:val="center"/>
          </w:tcPr>
          <w:p w14:paraId="1693D35C">
            <w:pPr>
              <w:spacing w:line="240" w:lineRule="auto"/>
              <w:ind w:firstLine="0" w:firstLineChars="0"/>
              <w:jc w:val="center"/>
              <w:rPr>
                <w:rFonts w:hint="eastAsia"/>
                <w:sz w:val="21"/>
                <w:szCs w:val="21"/>
              </w:rPr>
            </w:pPr>
            <w:r>
              <w:rPr>
                <w:rFonts w:hint="eastAsia"/>
                <w:sz w:val="21"/>
                <w:szCs w:val="21"/>
              </w:rPr>
              <w:t>≥0.5</w:t>
            </w:r>
          </w:p>
        </w:tc>
        <w:tc>
          <w:tcPr>
            <w:tcW w:w="1933" w:type="dxa"/>
            <w:vAlign w:val="center"/>
          </w:tcPr>
          <w:p w14:paraId="40201EA7">
            <w:pPr>
              <w:spacing w:line="240" w:lineRule="auto"/>
              <w:ind w:firstLine="0" w:firstLineChars="0"/>
              <w:jc w:val="center"/>
              <w:rPr>
                <w:rFonts w:hint="eastAsia"/>
                <w:sz w:val="21"/>
                <w:szCs w:val="21"/>
              </w:rPr>
            </w:pPr>
            <w:r>
              <w:rPr>
                <w:rFonts w:hint="eastAsia"/>
                <w:sz w:val="21"/>
                <w:szCs w:val="21"/>
              </w:rPr>
              <w:t>≥0.05</w:t>
            </w:r>
          </w:p>
        </w:tc>
      </w:tr>
      <w:tr w14:paraId="2E6AFF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08EA961E">
            <w:pPr>
              <w:spacing w:line="240" w:lineRule="auto"/>
              <w:ind w:firstLine="0" w:firstLineChars="0"/>
              <w:jc w:val="center"/>
              <w:rPr>
                <w:rFonts w:hint="eastAsia"/>
                <w:sz w:val="21"/>
                <w:szCs w:val="21"/>
              </w:rPr>
            </w:pPr>
            <w:r>
              <w:rPr>
                <w:rFonts w:hint="eastAsia"/>
                <w:sz w:val="21"/>
                <w:szCs w:val="21"/>
              </w:rPr>
              <w:t>3</w:t>
            </w:r>
          </w:p>
        </w:tc>
        <w:tc>
          <w:tcPr>
            <w:tcW w:w="1260" w:type="dxa"/>
            <w:vAlign w:val="center"/>
          </w:tcPr>
          <w:p w14:paraId="2A8DB0E6">
            <w:pPr>
              <w:spacing w:line="240" w:lineRule="auto"/>
              <w:ind w:firstLine="0" w:firstLineChars="0"/>
              <w:jc w:val="center"/>
              <w:rPr>
                <w:rFonts w:hint="eastAsia"/>
                <w:sz w:val="21"/>
                <w:szCs w:val="21"/>
              </w:rPr>
            </w:pPr>
            <w:r>
              <w:rPr>
                <w:rFonts w:hint="eastAsia"/>
                <w:sz w:val="21"/>
                <w:szCs w:val="21"/>
              </w:rPr>
              <w:t>臭氧</w:t>
            </w:r>
          </w:p>
        </w:tc>
        <w:tc>
          <w:tcPr>
            <w:tcW w:w="1416" w:type="dxa"/>
            <w:vAlign w:val="center"/>
          </w:tcPr>
          <w:p w14:paraId="18C843A5">
            <w:pPr>
              <w:spacing w:line="240" w:lineRule="auto"/>
              <w:ind w:firstLine="0" w:firstLineChars="0"/>
              <w:jc w:val="center"/>
              <w:rPr>
                <w:rFonts w:hint="eastAsia"/>
                <w:sz w:val="21"/>
                <w:szCs w:val="21"/>
              </w:rPr>
            </w:pPr>
            <w:r>
              <w:rPr>
                <w:rFonts w:hint="eastAsia"/>
                <w:sz w:val="21"/>
                <w:szCs w:val="21"/>
              </w:rPr>
              <w:t>≥12</w:t>
            </w:r>
          </w:p>
        </w:tc>
        <w:tc>
          <w:tcPr>
            <w:tcW w:w="1692" w:type="dxa"/>
            <w:vAlign w:val="center"/>
          </w:tcPr>
          <w:p w14:paraId="55D7CD7C">
            <w:pPr>
              <w:spacing w:line="240" w:lineRule="auto"/>
              <w:ind w:firstLine="0" w:firstLineChars="0"/>
              <w:jc w:val="center"/>
              <w:rPr>
                <w:rFonts w:hint="eastAsia"/>
                <w:sz w:val="21"/>
                <w:szCs w:val="21"/>
              </w:rPr>
            </w:pPr>
            <w:r>
              <w:rPr>
                <w:rFonts w:hint="eastAsia"/>
                <w:sz w:val="21"/>
                <w:szCs w:val="21"/>
              </w:rPr>
              <w:t>≤0.3</w:t>
            </w:r>
          </w:p>
        </w:tc>
        <w:tc>
          <w:tcPr>
            <w:tcW w:w="1512" w:type="dxa"/>
            <w:vAlign w:val="center"/>
          </w:tcPr>
          <w:p w14:paraId="52F2DEE5">
            <w:pPr>
              <w:spacing w:line="240" w:lineRule="auto"/>
              <w:ind w:firstLine="0" w:firstLineChars="0"/>
              <w:jc w:val="center"/>
              <w:rPr>
                <w:rFonts w:hint="eastAsia"/>
                <w:sz w:val="21"/>
                <w:szCs w:val="21"/>
              </w:rPr>
            </w:pPr>
            <w:r>
              <w:rPr>
                <w:rFonts w:hint="eastAsia"/>
                <w:sz w:val="21"/>
                <w:szCs w:val="21"/>
              </w:rPr>
              <w:t>-</w:t>
            </w:r>
          </w:p>
        </w:tc>
        <w:tc>
          <w:tcPr>
            <w:tcW w:w="1933" w:type="dxa"/>
            <w:vAlign w:val="center"/>
          </w:tcPr>
          <w:p w14:paraId="4A5DD0A8">
            <w:pPr>
              <w:spacing w:line="240" w:lineRule="auto"/>
              <w:ind w:firstLine="0" w:firstLineChars="0"/>
              <w:jc w:val="center"/>
              <w:rPr>
                <w:rFonts w:hint="eastAsia"/>
                <w:sz w:val="21"/>
                <w:szCs w:val="21"/>
              </w:rPr>
            </w:pPr>
            <w:r>
              <w:rPr>
                <w:rFonts w:hint="eastAsia"/>
                <w:sz w:val="21"/>
                <w:szCs w:val="21"/>
              </w:rPr>
              <w:t>≥0.02</w:t>
            </w:r>
          </w:p>
          <w:p w14:paraId="0C1A923A">
            <w:pPr>
              <w:spacing w:line="240" w:lineRule="auto"/>
              <w:ind w:firstLine="0" w:firstLineChars="0"/>
              <w:jc w:val="center"/>
              <w:rPr>
                <w:rFonts w:hint="eastAsia"/>
                <w:sz w:val="21"/>
                <w:szCs w:val="21"/>
              </w:rPr>
            </w:pPr>
            <w:r>
              <w:rPr>
                <w:rFonts w:hint="eastAsia"/>
                <w:sz w:val="21"/>
                <w:szCs w:val="21"/>
              </w:rPr>
              <w:t>如采用其他协同消毒方式,消毒剂限值及余量应满足相应要求</w:t>
            </w:r>
          </w:p>
          <w:p w14:paraId="726882B3">
            <w:pPr>
              <w:spacing w:line="240" w:lineRule="auto"/>
              <w:ind w:firstLine="0" w:firstLineChars="0"/>
              <w:jc w:val="center"/>
              <w:rPr>
                <w:rFonts w:hint="eastAsia"/>
                <w:sz w:val="21"/>
                <w:szCs w:val="21"/>
              </w:rPr>
            </w:pPr>
          </w:p>
        </w:tc>
      </w:tr>
      <w:tr w14:paraId="765CA2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59E1F975">
            <w:pPr>
              <w:spacing w:line="240" w:lineRule="auto"/>
              <w:ind w:firstLine="0" w:firstLineChars="0"/>
              <w:jc w:val="center"/>
              <w:rPr>
                <w:rFonts w:hint="eastAsia"/>
                <w:sz w:val="21"/>
                <w:szCs w:val="21"/>
              </w:rPr>
            </w:pPr>
            <w:r>
              <w:rPr>
                <w:rFonts w:hint="eastAsia"/>
                <w:sz w:val="21"/>
                <w:szCs w:val="21"/>
              </w:rPr>
              <w:t>4</w:t>
            </w:r>
          </w:p>
        </w:tc>
        <w:tc>
          <w:tcPr>
            <w:tcW w:w="1260" w:type="dxa"/>
            <w:vAlign w:val="center"/>
          </w:tcPr>
          <w:p w14:paraId="4D2BEAC0">
            <w:pPr>
              <w:spacing w:line="240" w:lineRule="auto"/>
              <w:ind w:firstLine="0" w:firstLineChars="0"/>
              <w:jc w:val="center"/>
              <w:rPr>
                <w:rFonts w:hint="eastAsia"/>
                <w:sz w:val="21"/>
                <w:szCs w:val="21"/>
              </w:rPr>
            </w:pPr>
            <w:r>
              <w:rPr>
                <w:rFonts w:hint="eastAsia"/>
                <w:sz w:val="21"/>
                <w:szCs w:val="21"/>
              </w:rPr>
              <w:t>二氧化氯</w:t>
            </w:r>
          </w:p>
        </w:tc>
        <w:tc>
          <w:tcPr>
            <w:tcW w:w="1416" w:type="dxa"/>
            <w:vAlign w:val="center"/>
          </w:tcPr>
          <w:p w14:paraId="28D99B26">
            <w:pPr>
              <w:spacing w:line="240" w:lineRule="auto"/>
              <w:ind w:firstLine="0" w:firstLineChars="0"/>
              <w:jc w:val="center"/>
              <w:rPr>
                <w:rFonts w:hint="eastAsia"/>
                <w:sz w:val="21"/>
                <w:szCs w:val="21"/>
              </w:rPr>
            </w:pPr>
            <w:r>
              <w:rPr>
                <w:rFonts w:hint="eastAsia"/>
                <w:sz w:val="21"/>
                <w:szCs w:val="21"/>
              </w:rPr>
              <w:t>≥30</w:t>
            </w:r>
          </w:p>
        </w:tc>
        <w:tc>
          <w:tcPr>
            <w:tcW w:w="1692" w:type="dxa"/>
            <w:vAlign w:val="center"/>
          </w:tcPr>
          <w:p w14:paraId="3F21BAA6">
            <w:pPr>
              <w:spacing w:line="240" w:lineRule="auto"/>
              <w:ind w:firstLine="0" w:firstLineChars="0"/>
              <w:jc w:val="center"/>
              <w:rPr>
                <w:rFonts w:hint="eastAsia"/>
                <w:sz w:val="21"/>
                <w:szCs w:val="21"/>
              </w:rPr>
            </w:pPr>
            <w:r>
              <w:rPr>
                <w:rFonts w:hint="eastAsia"/>
                <w:sz w:val="21"/>
                <w:szCs w:val="21"/>
              </w:rPr>
              <w:t>≤0.8</w:t>
            </w:r>
          </w:p>
        </w:tc>
        <w:tc>
          <w:tcPr>
            <w:tcW w:w="1512" w:type="dxa"/>
            <w:vAlign w:val="center"/>
          </w:tcPr>
          <w:p w14:paraId="0C0254D7">
            <w:pPr>
              <w:spacing w:line="240" w:lineRule="auto"/>
              <w:ind w:firstLine="0" w:firstLineChars="0"/>
              <w:jc w:val="center"/>
              <w:rPr>
                <w:rFonts w:hint="eastAsia"/>
                <w:sz w:val="21"/>
                <w:szCs w:val="21"/>
              </w:rPr>
            </w:pPr>
            <w:r>
              <w:rPr>
                <w:rFonts w:hint="eastAsia"/>
                <w:sz w:val="21"/>
                <w:szCs w:val="21"/>
              </w:rPr>
              <w:t>≥0.1</w:t>
            </w:r>
          </w:p>
        </w:tc>
        <w:tc>
          <w:tcPr>
            <w:tcW w:w="1933" w:type="dxa"/>
            <w:vAlign w:val="center"/>
          </w:tcPr>
          <w:p w14:paraId="507D6A1C">
            <w:pPr>
              <w:spacing w:line="240" w:lineRule="auto"/>
              <w:ind w:firstLine="0" w:firstLineChars="0"/>
              <w:jc w:val="center"/>
              <w:rPr>
                <w:rFonts w:hint="eastAsia"/>
                <w:sz w:val="21"/>
                <w:szCs w:val="21"/>
              </w:rPr>
            </w:pPr>
            <w:r>
              <w:rPr>
                <w:rFonts w:hint="eastAsia"/>
                <w:sz w:val="21"/>
                <w:szCs w:val="21"/>
              </w:rPr>
              <w:t>≥0.02</w:t>
            </w:r>
          </w:p>
        </w:tc>
      </w:tr>
      <w:tr w14:paraId="0E3FF2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5AC8F7D8">
            <w:pPr>
              <w:spacing w:line="240" w:lineRule="auto"/>
              <w:ind w:firstLine="0" w:firstLineChars="0"/>
              <w:rPr>
                <w:rFonts w:hint="eastAsia"/>
                <w:sz w:val="21"/>
                <w:szCs w:val="21"/>
              </w:rPr>
            </w:pPr>
            <w:r>
              <w:rPr>
                <w:rFonts w:hint="eastAsia"/>
                <w:sz w:val="21"/>
                <w:szCs w:val="21"/>
              </w:rPr>
              <w:t>采用液氯、次氯酸钠、次氯酸钙消毒方式时,应测定游离氣。</w:t>
            </w:r>
          </w:p>
          <w:p w14:paraId="6AD8F2B5">
            <w:pPr>
              <w:spacing w:line="240" w:lineRule="auto"/>
              <w:ind w:firstLine="0" w:firstLineChars="0"/>
              <w:rPr>
                <w:rFonts w:hint="eastAsia"/>
                <w:sz w:val="21"/>
                <w:szCs w:val="21"/>
              </w:rPr>
            </w:pPr>
            <w:r>
              <w:rPr>
                <w:rFonts w:hint="eastAsia"/>
                <w:sz w:val="21"/>
                <w:szCs w:val="21"/>
              </w:rPr>
              <w:t>采用氯胺消毒方式时,应测定总氯。</w:t>
            </w:r>
          </w:p>
          <w:p w14:paraId="1FE3F068">
            <w:pPr>
              <w:spacing w:line="240" w:lineRule="auto"/>
              <w:ind w:firstLine="0" w:firstLineChars="0"/>
              <w:rPr>
                <w:rFonts w:hint="eastAsia"/>
                <w:sz w:val="21"/>
                <w:szCs w:val="21"/>
              </w:rPr>
            </w:pPr>
            <w:r>
              <w:rPr>
                <w:rFonts w:hint="eastAsia"/>
                <w:sz w:val="21"/>
                <w:szCs w:val="21"/>
              </w:rPr>
              <w:t>采用臭氧消毒方式时,应测定臭氧。</w:t>
            </w:r>
          </w:p>
          <w:p w14:paraId="068A99EE">
            <w:pPr>
              <w:spacing w:line="240" w:lineRule="auto"/>
              <w:ind w:firstLine="0" w:firstLineChars="0"/>
              <w:rPr>
                <w:rFonts w:hint="eastAsia"/>
                <w:sz w:val="21"/>
                <w:szCs w:val="21"/>
              </w:rPr>
            </w:pPr>
            <w:r>
              <w:rPr>
                <w:rFonts w:hint="eastAsia"/>
                <w:sz w:val="21"/>
                <w:szCs w:val="21"/>
              </w:rPr>
              <w:t>采用二氧化氯消毒方式时,应测定二氧化氣:采用二氧化氣与氣混合消毒剂发生器消毒方式时,应测定二氧化氯和游离氯。两项指标均应满足限值要求,至少一项指标应满足余量要求。</w:t>
            </w:r>
          </w:p>
        </w:tc>
      </w:tr>
    </w:tbl>
    <w:p w14:paraId="463DD406">
      <w:pPr>
        <w:ind w:firstLine="480"/>
        <w:rPr>
          <w:rFonts w:hint="eastAsia"/>
        </w:rPr>
      </w:pPr>
      <w:r>
        <w:rPr>
          <w:rFonts w:hint="eastAsia"/>
        </w:rPr>
        <w:t>根据指标要求</w:t>
      </w:r>
      <w:r>
        <w:rPr>
          <w:rFonts w:hint="eastAsia"/>
          <w:lang w:val="en-US" w:eastAsia="zh-CN"/>
        </w:rPr>
        <w:t>二次</w:t>
      </w:r>
      <w:r>
        <w:rPr>
          <w:rFonts w:hint="eastAsia"/>
        </w:rPr>
        <w:t>供水水质监测参数应有：大肠杆菌、微生物、菌落总数、色度、浊度、氟化物、总硬度、高锰酸盐指数、氨。以不同的消毒方式可选择余氯、二氧化氯、臭氧。</w:t>
      </w:r>
    </w:p>
    <w:p w14:paraId="4CFBC24B">
      <w:pPr>
        <w:pStyle w:val="2"/>
        <w:rPr>
          <w:rFonts w:hint="eastAsia"/>
        </w:rPr>
      </w:pPr>
      <w:bookmarkStart w:id="8" w:name="_Toc9893"/>
      <w:r>
        <w:rPr>
          <w:rFonts w:hint="eastAsia"/>
        </w:rPr>
        <w:t>建设方案设计</w:t>
      </w:r>
      <w:bookmarkEnd w:id="7"/>
      <w:bookmarkEnd w:id="8"/>
    </w:p>
    <w:p w14:paraId="7159A876">
      <w:pPr>
        <w:pStyle w:val="3"/>
        <w:rPr>
          <w:rFonts w:hint="eastAsia"/>
        </w:rPr>
      </w:pPr>
      <w:bookmarkStart w:id="9" w:name="_Toc29568"/>
      <w:r>
        <w:rPr>
          <w:rFonts w:hint="eastAsia"/>
        </w:rPr>
        <w:t>系统框架图</w:t>
      </w:r>
      <w:bookmarkEnd w:id="9"/>
    </w:p>
    <w:p w14:paraId="17A0A251">
      <w:pPr>
        <w:ind w:firstLine="360"/>
        <w:rPr>
          <w:rFonts w:hint="eastAsia" w:ascii="PingFang SC" w:hAnsi="PingFang SC" w:cs="PingFang SC"/>
          <w:spacing w:val="7"/>
          <w:sz w:val="18"/>
          <w:szCs w:val="18"/>
          <w:shd w:val="clear" w:color="auto" w:fill="FFFFFF"/>
        </w:rPr>
      </w:pPr>
      <w:r>
        <w:rPr>
          <w:rFonts w:hint="eastAsia" w:ascii="PingFang SC" w:hAnsi="PingFang SC" w:cs="PingFang SC"/>
          <w:spacing w:val="7"/>
          <w:sz w:val="18"/>
          <w:szCs w:val="18"/>
          <w:shd w:val="clear" w:color="auto" w:fill="FFFFFF"/>
        </w:rPr>
        <w:drawing>
          <wp:inline distT="0" distB="0" distL="114300" distR="114300">
            <wp:extent cx="5173980" cy="4086860"/>
            <wp:effectExtent l="0" t="0" r="7620" b="12700"/>
            <wp:docPr id="12" name="图片 12" descr="lQLPJw4DzeYEI53NAnXNAtqwi4DTKeMj6d8HappxVXnaAA_730_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QLPJw4DzeYEI53NAnXNAtqwi4DTKeMj6d8HappxVXnaAA_730_629"/>
                    <pic:cNvPicPr>
                      <a:picLocks noChangeAspect="1"/>
                    </pic:cNvPicPr>
                  </pic:nvPicPr>
                  <pic:blipFill>
                    <a:blip r:embed="rId16"/>
                    <a:srcRect l="518" t="9062" r="1313" b="937"/>
                    <a:stretch>
                      <a:fillRect/>
                    </a:stretch>
                  </pic:blipFill>
                  <pic:spPr>
                    <a:xfrm>
                      <a:off x="0" y="0"/>
                      <a:ext cx="5173980" cy="4086860"/>
                    </a:xfrm>
                    <a:prstGeom prst="rect">
                      <a:avLst/>
                    </a:prstGeom>
                  </pic:spPr>
                </pic:pic>
              </a:graphicData>
            </a:graphic>
          </wp:inline>
        </w:drawing>
      </w:r>
    </w:p>
    <w:p w14:paraId="1B4DDF4A">
      <w:pPr>
        <w:ind w:firstLine="360"/>
        <w:rPr>
          <w:rFonts w:hint="eastAsia" w:ascii="PingFang SC" w:hAnsi="PingFang SC" w:eastAsia="宋体" w:cs="PingFang SC"/>
          <w:spacing w:val="7"/>
          <w:sz w:val="18"/>
          <w:szCs w:val="18"/>
          <w:shd w:val="clear" w:color="auto" w:fill="FFFFFF"/>
          <w:lang w:eastAsia="zh-CN"/>
        </w:rPr>
      </w:pPr>
      <w:r>
        <w:rPr>
          <w:rFonts w:hint="eastAsia" w:ascii="PingFang SC" w:hAnsi="PingFang SC" w:eastAsia="宋体" w:cs="PingFang SC"/>
          <w:spacing w:val="7"/>
          <w:sz w:val="18"/>
          <w:szCs w:val="18"/>
          <w:shd w:val="clear" w:color="auto" w:fill="FFFFFF"/>
          <w:lang w:eastAsia="zh-CN"/>
        </w:rPr>
        <w:drawing>
          <wp:inline distT="0" distB="0" distL="114300" distR="114300">
            <wp:extent cx="5266055" cy="2033905"/>
            <wp:effectExtent l="0" t="0" r="6985" b="8255"/>
            <wp:docPr id="7" name="图片 7" descr="lQLPJwU9Wj9ZQp_NAiTNBYuwCeH3hFkP7nIGipMHZ39WAA_1419_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QLPJwU9Wj9ZQp_NAiTNBYuwCeH3hFkP7nIGipMHZ39WAA_1419_548"/>
                    <pic:cNvPicPr>
                      <a:picLocks noChangeAspect="1"/>
                    </pic:cNvPicPr>
                  </pic:nvPicPr>
                  <pic:blipFill>
                    <a:blip r:embed="rId17"/>
                    <a:stretch>
                      <a:fillRect/>
                    </a:stretch>
                  </pic:blipFill>
                  <pic:spPr>
                    <a:xfrm>
                      <a:off x="0" y="0"/>
                      <a:ext cx="5266055" cy="2033905"/>
                    </a:xfrm>
                    <a:prstGeom prst="rect">
                      <a:avLst/>
                    </a:prstGeom>
                  </pic:spPr>
                </pic:pic>
              </a:graphicData>
            </a:graphic>
          </wp:inline>
        </w:drawing>
      </w:r>
    </w:p>
    <w:p w14:paraId="087FC330">
      <w:pPr>
        <w:pStyle w:val="17"/>
        <w:widowControl/>
        <w:spacing w:beforeAutospacing="0" w:afterAutospacing="0"/>
        <w:ind w:firstLine="0" w:firstLineChars="0"/>
        <w:jc w:val="both"/>
        <w:rPr>
          <w:rFonts w:hint="eastAsia"/>
        </w:rPr>
      </w:pPr>
      <w:r>
        <w:rPr>
          <w:rStyle w:val="22"/>
        </w:rPr>
        <w:t>城</w:t>
      </w:r>
      <w:r>
        <w:rPr>
          <w:rStyle w:val="22"/>
          <w:rFonts w:hint="eastAsia"/>
        </w:rPr>
        <w:t>市二次</w:t>
      </w:r>
      <w:r>
        <w:rPr>
          <w:rStyle w:val="22"/>
        </w:rPr>
        <w:t>供水在线监测系统</w:t>
      </w:r>
    </w:p>
    <w:p w14:paraId="286FC009">
      <w:pPr>
        <w:ind w:firstLine="480"/>
        <w:rPr>
          <w:rFonts w:hint="eastAsia"/>
        </w:rPr>
      </w:pPr>
      <w:r>
        <w:rPr>
          <w:rFonts w:hint="eastAsia"/>
        </w:rPr>
        <w:t>硬件方面：在线监测系统采用先进的供水管理技术，它集成了高精度监测传感器、数据处理单元、内部水流管路等组件，通过智能在线监测设备和无线数据传输系统为核心，实现对供水过程中的多个关键水质参数（如pH值、浊度、余氯、电导率等）的实时监控、分析和传输。</w:t>
      </w:r>
    </w:p>
    <w:p w14:paraId="6226EA91">
      <w:pPr>
        <w:ind w:firstLine="480"/>
        <w:rPr>
          <w:rFonts w:hint="eastAsia"/>
        </w:rPr>
      </w:pPr>
      <w:r>
        <w:rPr>
          <w:rFonts w:hint="eastAsia"/>
        </w:rPr>
        <w:t>在技术配置方面，系统采用了高精度传感器与监测仪表，这些设备根据特定的协议，通过数据采集传输仪将收集到的在线监测数据实时发送到后端监控平台。这种配置使得管理部门能够实时了解从水源取水、水厂制水、到配水及最终居民用水的整个过程，实现了全面的实时动态监控和预警机制。</w:t>
      </w:r>
    </w:p>
    <w:p w14:paraId="0A019997">
      <w:pPr>
        <w:pStyle w:val="17"/>
        <w:widowControl/>
        <w:spacing w:beforeAutospacing="0" w:afterAutospacing="0"/>
        <w:ind w:firstLine="480"/>
        <w:jc w:val="center"/>
        <w:rPr>
          <w:rFonts w:hint="eastAsia"/>
        </w:rPr>
      </w:pPr>
      <w:r>
        <w:drawing>
          <wp:inline distT="0" distB="0" distL="114300" distR="114300">
            <wp:extent cx="3642360" cy="1949450"/>
            <wp:effectExtent l="0" t="0" r="0" b="127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8"/>
                    <a:stretch>
                      <a:fillRect/>
                    </a:stretch>
                  </pic:blipFill>
                  <pic:spPr>
                    <a:xfrm>
                      <a:off x="0" y="0"/>
                      <a:ext cx="3642360" cy="1949450"/>
                    </a:xfrm>
                    <a:prstGeom prst="rect">
                      <a:avLst/>
                    </a:prstGeom>
                    <a:noFill/>
                    <a:ln>
                      <a:noFill/>
                    </a:ln>
                  </pic:spPr>
                </pic:pic>
              </a:graphicData>
            </a:graphic>
          </wp:inline>
        </w:drawing>
      </w:r>
    </w:p>
    <w:p w14:paraId="0BD124A5">
      <w:pPr>
        <w:ind w:firstLine="480"/>
        <w:rPr>
          <w:rFonts w:hint="eastAsia"/>
        </w:rPr>
      </w:pPr>
    </w:p>
    <w:p w14:paraId="71778A55">
      <w:pPr>
        <w:pStyle w:val="3"/>
        <w:rPr>
          <w:rFonts w:hint="eastAsia"/>
        </w:rPr>
      </w:pPr>
      <w:bookmarkStart w:id="10" w:name="_Toc7208"/>
      <w:r>
        <w:rPr>
          <w:rFonts w:hint="eastAsia"/>
        </w:rPr>
        <w:t>设备选型策略</w:t>
      </w:r>
      <w:bookmarkEnd w:id="10"/>
    </w:p>
    <w:p w14:paraId="1202C828">
      <w:pPr>
        <w:numPr>
          <w:ilvl w:val="0"/>
          <w:numId w:val="2"/>
        </w:numPr>
        <w:ind w:firstLine="480"/>
        <w:rPr>
          <w:rFonts w:hint="eastAsia"/>
        </w:rPr>
      </w:pPr>
      <w:r>
        <w:rPr>
          <w:rFonts w:hint="eastAsia"/>
        </w:rPr>
        <w:t>核心监测参数与设备对应</w:t>
      </w:r>
    </w:p>
    <w:tbl>
      <w:tblPr>
        <w:tblStyle w:val="20"/>
        <w:tblpPr w:leftFromText="180" w:rightFromText="180" w:vertAnchor="text" w:horzAnchor="page" w:tblpX="1762" w:tblpY="469"/>
        <w:tblOverlap w:val="never"/>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71"/>
        <w:gridCol w:w="3278"/>
        <w:gridCol w:w="3070"/>
      </w:tblGrid>
      <w:tr w14:paraId="7898C3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vAlign w:val="center"/>
          </w:tcPr>
          <w:p w14:paraId="0FC561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b/>
                <w:bCs/>
                <w:sz w:val="21"/>
                <w:szCs w:val="21"/>
              </w:rPr>
            </w:pPr>
            <w:r>
              <w:rPr>
                <w:rFonts w:hint="eastAsia"/>
                <w:b/>
                <w:bCs/>
                <w:sz w:val="21"/>
                <w:szCs w:val="21"/>
              </w:rPr>
              <w:t>核心监测参数</w:t>
            </w:r>
          </w:p>
        </w:tc>
        <w:tc>
          <w:tcPr>
            <w:tcW w:w="1923" w:type="pct"/>
            <w:vAlign w:val="center"/>
          </w:tcPr>
          <w:p w14:paraId="224B82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b/>
                <w:bCs/>
                <w:sz w:val="21"/>
                <w:szCs w:val="21"/>
              </w:rPr>
            </w:pPr>
            <w:r>
              <w:rPr>
                <w:rFonts w:hint="eastAsia"/>
                <w:b/>
                <w:bCs/>
                <w:sz w:val="21"/>
                <w:szCs w:val="21"/>
              </w:rPr>
              <w:t>设备名称</w:t>
            </w:r>
          </w:p>
        </w:tc>
        <w:tc>
          <w:tcPr>
            <w:tcW w:w="1801" w:type="pct"/>
            <w:vAlign w:val="center"/>
          </w:tcPr>
          <w:p w14:paraId="45E18A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b/>
                <w:bCs/>
                <w:sz w:val="21"/>
                <w:szCs w:val="21"/>
              </w:rPr>
            </w:pPr>
            <w:r>
              <w:rPr>
                <w:rFonts w:hint="eastAsia"/>
                <w:b/>
                <w:bCs/>
                <w:sz w:val="21"/>
                <w:szCs w:val="21"/>
              </w:rPr>
              <w:t>设备原理</w:t>
            </w:r>
          </w:p>
        </w:tc>
      </w:tr>
      <w:tr w14:paraId="61AB31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1782C5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大肠杆菌</w:t>
            </w:r>
          </w:p>
        </w:tc>
        <w:tc>
          <w:tcPr>
            <w:tcW w:w="1923" w:type="pct"/>
            <w:shd w:val="clear" w:color="auto" w:fill="auto"/>
            <w:vAlign w:val="center"/>
          </w:tcPr>
          <w:p w14:paraId="0EDD75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大肠杆菌在线分析仪</w:t>
            </w:r>
          </w:p>
        </w:tc>
        <w:tc>
          <w:tcPr>
            <w:tcW w:w="1801" w:type="pct"/>
            <w:shd w:val="clear" w:color="auto" w:fill="auto"/>
            <w:vAlign w:val="center"/>
          </w:tcPr>
          <w:p w14:paraId="60DEE2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酶底物法</w:t>
            </w:r>
          </w:p>
        </w:tc>
      </w:tr>
      <w:tr w14:paraId="6748A7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7F8F86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生物毒性</w:t>
            </w:r>
          </w:p>
        </w:tc>
        <w:tc>
          <w:tcPr>
            <w:tcW w:w="1923" w:type="pct"/>
            <w:shd w:val="clear" w:color="auto" w:fill="auto"/>
            <w:vAlign w:val="center"/>
          </w:tcPr>
          <w:p w14:paraId="4025F9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生物毒性在线分析仪</w:t>
            </w:r>
          </w:p>
        </w:tc>
        <w:tc>
          <w:tcPr>
            <w:tcW w:w="1801" w:type="pct"/>
            <w:shd w:val="clear" w:color="auto" w:fill="auto"/>
            <w:vAlign w:val="center"/>
          </w:tcPr>
          <w:p w14:paraId="0BDE39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发光细菌法</w:t>
            </w:r>
          </w:p>
        </w:tc>
      </w:tr>
      <w:tr w14:paraId="2422B4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6946D9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色度</w:t>
            </w:r>
          </w:p>
        </w:tc>
        <w:tc>
          <w:tcPr>
            <w:tcW w:w="1923" w:type="pct"/>
            <w:shd w:val="clear" w:color="auto" w:fill="auto"/>
            <w:vAlign w:val="center"/>
          </w:tcPr>
          <w:p w14:paraId="5E05EF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在线色度传感器</w:t>
            </w:r>
          </w:p>
        </w:tc>
        <w:tc>
          <w:tcPr>
            <w:tcW w:w="1801" w:type="pct"/>
            <w:shd w:val="clear" w:color="auto" w:fill="auto"/>
            <w:vAlign w:val="center"/>
          </w:tcPr>
          <w:p w14:paraId="24CE94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双波长可见光吸收法</w:t>
            </w:r>
          </w:p>
        </w:tc>
      </w:tr>
      <w:tr w14:paraId="327EEF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6272BA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浊度</w:t>
            </w:r>
          </w:p>
        </w:tc>
        <w:tc>
          <w:tcPr>
            <w:tcW w:w="1923" w:type="pct"/>
            <w:shd w:val="clear" w:color="auto" w:fill="auto"/>
            <w:vAlign w:val="center"/>
          </w:tcPr>
          <w:p w14:paraId="66624A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在线浊度传感器</w:t>
            </w:r>
          </w:p>
        </w:tc>
        <w:tc>
          <w:tcPr>
            <w:tcW w:w="1801" w:type="pct"/>
            <w:shd w:val="clear" w:color="auto" w:fill="auto"/>
            <w:vAlign w:val="center"/>
          </w:tcPr>
          <w:p w14:paraId="63D30B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散射光法</w:t>
            </w:r>
          </w:p>
        </w:tc>
      </w:tr>
      <w:tr w14:paraId="7CD9F8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4AB7DD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PH</w:t>
            </w:r>
          </w:p>
        </w:tc>
        <w:tc>
          <w:tcPr>
            <w:tcW w:w="1923" w:type="pct"/>
            <w:shd w:val="clear" w:color="auto" w:fill="auto"/>
            <w:vAlign w:val="center"/>
          </w:tcPr>
          <w:p w14:paraId="0ACC2B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在线PH传感器</w:t>
            </w:r>
          </w:p>
        </w:tc>
        <w:tc>
          <w:tcPr>
            <w:tcW w:w="1801" w:type="pct"/>
            <w:shd w:val="clear" w:color="auto" w:fill="auto"/>
            <w:vAlign w:val="center"/>
          </w:tcPr>
          <w:p w14:paraId="55BADD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玻璃电极法</w:t>
            </w:r>
          </w:p>
        </w:tc>
      </w:tr>
      <w:tr w14:paraId="4DBB56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524AD5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电导率</w:t>
            </w:r>
          </w:p>
        </w:tc>
        <w:tc>
          <w:tcPr>
            <w:tcW w:w="1923" w:type="pct"/>
            <w:shd w:val="clear" w:color="auto" w:fill="auto"/>
            <w:vAlign w:val="center"/>
          </w:tcPr>
          <w:p w14:paraId="4A824E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在线电导率传感器</w:t>
            </w:r>
          </w:p>
        </w:tc>
        <w:tc>
          <w:tcPr>
            <w:tcW w:w="1801" w:type="pct"/>
            <w:shd w:val="clear" w:color="auto" w:fill="auto"/>
            <w:vAlign w:val="center"/>
          </w:tcPr>
          <w:p w14:paraId="778538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sz w:val="21"/>
                <w:szCs w:val="21"/>
              </w:rPr>
              <w:t>接触式电极法</w:t>
            </w:r>
          </w:p>
        </w:tc>
      </w:tr>
      <w:tr w14:paraId="18C630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51157F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硬度</w:t>
            </w:r>
          </w:p>
        </w:tc>
        <w:tc>
          <w:tcPr>
            <w:tcW w:w="1923" w:type="pct"/>
            <w:shd w:val="clear" w:color="auto" w:fill="auto"/>
            <w:vAlign w:val="center"/>
          </w:tcPr>
          <w:p w14:paraId="40C919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在线硬度传感器/在线硬度分析仪</w:t>
            </w:r>
          </w:p>
        </w:tc>
        <w:tc>
          <w:tcPr>
            <w:tcW w:w="1801" w:type="pct"/>
            <w:shd w:val="clear" w:color="auto" w:fill="auto"/>
            <w:vAlign w:val="center"/>
          </w:tcPr>
          <w:p w14:paraId="7DEA18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离子选择法/比色滴定</w:t>
            </w:r>
          </w:p>
        </w:tc>
      </w:tr>
      <w:tr w14:paraId="570D1F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06521C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氨氮</w:t>
            </w:r>
          </w:p>
        </w:tc>
        <w:tc>
          <w:tcPr>
            <w:tcW w:w="1923" w:type="pct"/>
            <w:shd w:val="clear" w:color="auto" w:fill="auto"/>
            <w:vAlign w:val="center"/>
          </w:tcPr>
          <w:p w14:paraId="171D06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在线氨氮传感器/在线氨氮分析仪/在线全光谱多参数传感器/便携式多参数分析仪</w:t>
            </w:r>
          </w:p>
        </w:tc>
        <w:tc>
          <w:tcPr>
            <w:tcW w:w="1801" w:type="pct"/>
            <w:shd w:val="clear" w:color="auto" w:fill="auto"/>
            <w:vAlign w:val="center"/>
          </w:tcPr>
          <w:p w14:paraId="4F8FB4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离子选择法/水杨酸法/全光谱法/光电比色法</w:t>
            </w:r>
          </w:p>
        </w:tc>
      </w:tr>
      <w:tr w14:paraId="417E10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5BE599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硝氮</w:t>
            </w:r>
          </w:p>
        </w:tc>
        <w:tc>
          <w:tcPr>
            <w:tcW w:w="1923" w:type="pct"/>
            <w:shd w:val="clear" w:color="auto" w:fill="auto"/>
            <w:vAlign w:val="center"/>
          </w:tcPr>
          <w:p w14:paraId="5D928F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在线光学硝氮传感器</w:t>
            </w:r>
          </w:p>
        </w:tc>
        <w:tc>
          <w:tcPr>
            <w:tcW w:w="1801" w:type="pct"/>
            <w:shd w:val="clear" w:color="auto" w:fill="auto"/>
            <w:vAlign w:val="center"/>
          </w:tcPr>
          <w:p w14:paraId="6CB9DA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双波长可见光吸收法</w:t>
            </w:r>
          </w:p>
        </w:tc>
      </w:tr>
      <w:tr w14:paraId="77AB45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2D7E02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高锰酸盐指数</w:t>
            </w:r>
          </w:p>
        </w:tc>
        <w:tc>
          <w:tcPr>
            <w:tcW w:w="1923" w:type="pct"/>
            <w:shd w:val="clear" w:color="auto" w:fill="auto"/>
            <w:vAlign w:val="center"/>
          </w:tcPr>
          <w:p w14:paraId="5621D8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在线高锰酸盐指数分析</w:t>
            </w:r>
            <w:r>
              <w:rPr>
                <w:rFonts w:hint="eastAsia" w:cs="宋体"/>
                <w:i w:val="0"/>
                <w:iCs w:val="0"/>
                <w:color w:val="000000"/>
                <w:kern w:val="0"/>
                <w:sz w:val="21"/>
                <w:szCs w:val="21"/>
                <w:u w:val="none"/>
                <w:lang w:val="en-US" w:eastAsia="zh-CN" w:bidi="ar"/>
              </w:rPr>
              <w:t>仪</w:t>
            </w:r>
            <w:r>
              <w:rPr>
                <w:rFonts w:hint="eastAsia" w:ascii="宋体" w:hAnsi="宋体" w:eastAsia="宋体" w:cs="宋体"/>
                <w:i w:val="0"/>
                <w:iCs w:val="0"/>
                <w:color w:val="000000"/>
                <w:kern w:val="0"/>
                <w:sz w:val="21"/>
                <w:szCs w:val="21"/>
                <w:u w:val="none"/>
                <w:lang w:val="en-US" w:eastAsia="zh-CN" w:bidi="ar"/>
              </w:rPr>
              <w:t>/在线全光谱多参数传感器/便携式多参数分析仪</w:t>
            </w:r>
          </w:p>
        </w:tc>
        <w:tc>
          <w:tcPr>
            <w:tcW w:w="1801" w:type="pct"/>
            <w:shd w:val="clear" w:color="auto" w:fill="auto"/>
            <w:vAlign w:val="center"/>
          </w:tcPr>
          <w:p w14:paraId="6B8566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高锰酸钾氧化法/全光谱法/光电比色法</w:t>
            </w:r>
          </w:p>
        </w:tc>
      </w:tr>
      <w:tr w14:paraId="5C08AB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00A90B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余氯</w:t>
            </w:r>
          </w:p>
        </w:tc>
        <w:tc>
          <w:tcPr>
            <w:tcW w:w="1923" w:type="pct"/>
            <w:shd w:val="clear" w:color="auto" w:fill="auto"/>
            <w:vAlign w:val="center"/>
          </w:tcPr>
          <w:p w14:paraId="7017BD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在线余氯传感器/在线余氯分析仪/便携式多参数分析仪</w:t>
            </w:r>
          </w:p>
        </w:tc>
        <w:tc>
          <w:tcPr>
            <w:tcW w:w="1801" w:type="pct"/>
            <w:shd w:val="clear" w:color="auto" w:fill="auto"/>
            <w:vAlign w:val="center"/>
          </w:tcPr>
          <w:p w14:paraId="59DBB0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sz w:val="21"/>
                <w:szCs w:val="21"/>
              </w:rPr>
              <w:t>恒压法</w:t>
            </w:r>
            <w:r>
              <w:rPr>
                <w:rFonts w:hint="eastAsia" w:ascii="宋体" w:hAnsi="宋体" w:eastAsia="宋体" w:cs="宋体"/>
                <w:i w:val="0"/>
                <w:iCs w:val="0"/>
                <w:color w:val="000000"/>
                <w:kern w:val="0"/>
                <w:sz w:val="21"/>
                <w:szCs w:val="21"/>
                <w:u w:val="none"/>
                <w:lang w:val="en-US" w:eastAsia="zh-CN" w:bidi="ar"/>
              </w:rPr>
              <w:t>/DPD</w:t>
            </w:r>
            <w:r>
              <w:rPr>
                <w:rFonts w:hint="eastAsia" w:cs="宋体"/>
                <w:i w:val="0"/>
                <w:iCs w:val="0"/>
                <w:color w:val="000000"/>
                <w:kern w:val="0"/>
                <w:sz w:val="21"/>
                <w:szCs w:val="21"/>
                <w:u w:val="none"/>
                <w:lang w:val="en-US" w:eastAsia="zh-CN" w:bidi="ar"/>
              </w:rPr>
              <w:t>吸光度法</w:t>
            </w:r>
            <w:r>
              <w:rPr>
                <w:rFonts w:hint="eastAsia" w:ascii="宋体" w:hAnsi="宋体" w:eastAsia="宋体" w:cs="宋体"/>
                <w:i w:val="0"/>
                <w:iCs w:val="0"/>
                <w:color w:val="000000"/>
                <w:kern w:val="0"/>
                <w:sz w:val="21"/>
                <w:szCs w:val="21"/>
                <w:u w:val="none"/>
                <w:lang w:val="en-US" w:eastAsia="zh-CN" w:bidi="ar"/>
              </w:rPr>
              <w:t>/光电比色法</w:t>
            </w:r>
          </w:p>
        </w:tc>
      </w:tr>
      <w:tr w14:paraId="619C3C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53AB52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二氧化氯</w:t>
            </w:r>
          </w:p>
        </w:tc>
        <w:tc>
          <w:tcPr>
            <w:tcW w:w="1923" w:type="pct"/>
            <w:shd w:val="clear" w:color="auto" w:fill="auto"/>
            <w:vAlign w:val="center"/>
          </w:tcPr>
          <w:p w14:paraId="6E97AD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在线二氧化氯传感器/便携式多参数分析仪</w:t>
            </w:r>
          </w:p>
        </w:tc>
        <w:tc>
          <w:tcPr>
            <w:tcW w:w="1801" w:type="pct"/>
            <w:shd w:val="clear" w:color="auto" w:fill="auto"/>
            <w:vAlign w:val="center"/>
          </w:tcPr>
          <w:p w14:paraId="4BE9C0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sz w:val="21"/>
                <w:szCs w:val="21"/>
              </w:rPr>
              <w:t>恒压法</w:t>
            </w:r>
            <w:r>
              <w:rPr>
                <w:rFonts w:hint="eastAsia" w:ascii="宋体" w:hAnsi="宋体" w:eastAsia="宋体" w:cs="宋体"/>
                <w:i w:val="0"/>
                <w:iCs w:val="0"/>
                <w:color w:val="000000"/>
                <w:kern w:val="0"/>
                <w:sz w:val="21"/>
                <w:szCs w:val="21"/>
                <w:u w:val="none"/>
                <w:lang w:val="en-US" w:eastAsia="zh-CN" w:bidi="ar"/>
              </w:rPr>
              <w:t>/光电比色法</w:t>
            </w:r>
          </w:p>
        </w:tc>
      </w:tr>
      <w:tr w14:paraId="719462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1274" w:type="pct"/>
            <w:shd w:val="clear" w:color="auto" w:fill="auto"/>
            <w:vAlign w:val="center"/>
          </w:tcPr>
          <w:p w14:paraId="41C863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臭氧</w:t>
            </w:r>
          </w:p>
        </w:tc>
        <w:tc>
          <w:tcPr>
            <w:tcW w:w="1923" w:type="pct"/>
            <w:shd w:val="clear" w:color="auto" w:fill="auto"/>
            <w:vAlign w:val="center"/>
          </w:tcPr>
          <w:p w14:paraId="3F96FC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在线臭氧传感器</w:t>
            </w:r>
          </w:p>
        </w:tc>
        <w:tc>
          <w:tcPr>
            <w:tcW w:w="1801" w:type="pct"/>
            <w:shd w:val="clear" w:color="auto" w:fill="auto"/>
            <w:vAlign w:val="center"/>
          </w:tcPr>
          <w:p w14:paraId="1E5658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sz w:val="21"/>
                <w:szCs w:val="21"/>
              </w:rPr>
              <w:t>恒压法</w:t>
            </w:r>
          </w:p>
        </w:tc>
      </w:tr>
      <w:tr w14:paraId="728087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649A56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流量</w:t>
            </w:r>
          </w:p>
        </w:tc>
        <w:tc>
          <w:tcPr>
            <w:tcW w:w="1923" w:type="pct"/>
            <w:shd w:val="clear" w:color="auto" w:fill="auto"/>
            <w:vAlign w:val="center"/>
          </w:tcPr>
          <w:p w14:paraId="0FF243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电磁流量计</w:t>
            </w:r>
          </w:p>
        </w:tc>
        <w:tc>
          <w:tcPr>
            <w:tcW w:w="1801" w:type="pct"/>
            <w:shd w:val="clear" w:color="auto" w:fill="auto"/>
            <w:vAlign w:val="center"/>
          </w:tcPr>
          <w:p w14:paraId="5C137B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法拉第电磁感应</w:t>
            </w:r>
          </w:p>
        </w:tc>
      </w:tr>
      <w:tr w14:paraId="113661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47C96D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颗粒物数量</w:t>
            </w:r>
          </w:p>
        </w:tc>
        <w:tc>
          <w:tcPr>
            <w:tcW w:w="1923" w:type="pct"/>
            <w:shd w:val="clear" w:color="auto" w:fill="auto"/>
            <w:vAlign w:val="center"/>
          </w:tcPr>
          <w:p w14:paraId="157098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液体颗粒计数器</w:t>
            </w:r>
          </w:p>
        </w:tc>
        <w:tc>
          <w:tcPr>
            <w:tcW w:w="1801" w:type="pct"/>
            <w:shd w:val="clear" w:color="auto" w:fill="auto"/>
            <w:vAlign w:val="center"/>
          </w:tcPr>
          <w:p w14:paraId="1B972A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光阻法</w:t>
            </w:r>
          </w:p>
        </w:tc>
      </w:tr>
      <w:tr w14:paraId="4F23AA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6E4E72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噪声</w:t>
            </w:r>
          </w:p>
        </w:tc>
        <w:tc>
          <w:tcPr>
            <w:tcW w:w="1923" w:type="pct"/>
            <w:shd w:val="clear" w:color="auto" w:fill="auto"/>
            <w:vAlign w:val="center"/>
          </w:tcPr>
          <w:p w14:paraId="529169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管道噪声检测仪</w:t>
            </w:r>
          </w:p>
        </w:tc>
        <w:tc>
          <w:tcPr>
            <w:tcW w:w="1801" w:type="pct"/>
            <w:shd w:val="clear" w:color="auto" w:fill="auto"/>
            <w:vAlign w:val="center"/>
          </w:tcPr>
          <w:p w14:paraId="2F78FA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超高灵敏度压电</w:t>
            </w:r>
          </w:p>
        </w:tc>
      </w:tr>
    </w:tbl>
    <w:p w14:paraId="36983A9F">
      <w:pPr>
        <w:numPr>
          <w:ilvl w:val="0"/>
          <w:numId w:val="2"/>
        </w:numPr>
        <w:ind w:firstLine="480"/>
        <w:rPr>
          <w:rFonts w:hint="eastAsia"/>
        </w:rPr>
      </w:pPr>
      <w:r>
        <w:rPr>
          <w:rFonts w:hint="eastAsia"/>
        </w:rPr>
        <w:t>设备类型选择</w:t>
      </w:r>
    </w:p>
    <w:p w14:paraId="090DADEC">
      <w:pPr>
        <w:ind w:firstLine="0" w:firstLineChars="0"/>
        <w:rPr>
          <w:rFonts w:hint="eastAsia"/>
        </w:rPr>
      </w:pPr>
      <w:r>
        <w:rPr>
          <w:rFonts w:hint="eastAsia"/>
        </w:rPr>
        <w:t>集成产品：</w:t>
      </w:r>
    </w:p>
    <w:p w14:paraId="6CD5E723">
      <w:pPr>
        <w:ind w:firstLine="0" w:firstLineChars="0"/>
      </w:pPr>
      <w:r>
        <w:rPr>
          <w:rFonts w:hint="eastAsia"/>
        </w:rPr>
        <w:t xml:space="preserve">        </w:t>
      </w:r>
      <w:r>
        <w:drawing>
          <wp:inline distT="0" distB="0" distL="114300" distR="114300">
            <wp:extent cx="1421765" cy="1938020"/>
            <wp:effectExtent l="0" t="0" r="6985" b="508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9"/>
                    <a:srcRect t="10130" r="65367"/>
                    <a:stretch>
                      <a:fillRect/>
                    </a:stretch>
                  </pic:blipFill>
                  <pic:spPr>
                    <a:xfrm>
                      <a:off x="0" y="0"/>
                      <a:ext cx="1421765" cy="19380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60475" cy="1578610"/>
            <wp:effectExtent l="0" t="0" r="15875" b="2540"/>
            <wp:docPr id="10" name="图片 1" descr="/tmp/webword_663558690/upload_post_object_v2_24972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tmp/webword_663558690/upload_post_object_v2_249722887"/>
                    <pic:cNvPicPr>
                      <a:picLocks noChangeAspect="1"/>
                    </pic:cNvPicPr>
                  </pic:nvPicPr>
                  <pic:blipFill>
                    <a:blip r:embed="rId20"/>
                    <a:srcRect/>
                    <a:stretch>
                      <a:fillRect/>
                    </a:stretch>
                  </pic:blipFill>
                  <pic:spPr>
                    <a:xfrm>
                      <a:off x="0" y="0"/>
                      <a:ext cx="1260475" cy="15786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27150" cy="2068830"/>
            <wp:effectExtent l="0" t="0" r="6350" b="762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1"/>
                    <a:srcRect l="67672" b="4064"/>
                    <a:stretch>
                      <a:fillRect/>
                    </a:stretch>
                  </pic:blipFill>
                  <pic:spPr>
                    <a:xfrm>
                      <a:off x="0" y="0"/>
                      <a:ext cx="1327150" cy="2068830"/>
                    </a:xfrm>
                    <a:prstGeom prst="rect">
                      <a:avLst/>
                    </a:prstGeom>
                    <a:noFill/>
                    <a:ln>
                      <a:noFill/>
                    </a:ln>
                  </pic:spPr>
                </pic:pic>
              </a:graphicData>
            </a:graphic>
          </wp:inline>
        </w:drawing>
      </w:r>
    </w:p>
    <w:p w14:paraId="53E67BCD">
      <w:pPr>
        <w:ind w:firstLine="0" w:firstLineChars="0"/>
        <w:rPr>
          <w:rFonts w:hint="eastAsia"/>
        </w:rPr>
      </w:pPr>
    </w:p>
    <w:p w14:paraId="65111097">
      <w:pPr>
        <w:jc w:val="center"/>
        <w:rPr>
          <w:rFonts w:hint="eastAsia"/>
          <w:b/>
          <w:bCs/>
        </w:rPr>
      </w:pPr>
      <w:r>
        <w:rPr>
          <w:rFonts w:hint="eastAsia"/>
          <w:b/>
          <w:bCs/>
          <w:lang w:val="en-US" w:eastAsia="zh-CN"/>
        </w:rPr>
        <w:t>供水水质监测微系统</w:t>
      </w:r>
    </w:p>
    <w:p w14:paraId="5AB659D4">
      <w:pPr>
        <w:ind w:firstLine="0" w:firstLineChars="0"/>
        <w:rPr>
          <w:rFonts w:hint="eastAsia"/>
        </w:rPr>
      </w:pPr>
      <w:r>
        <w:rPr>
          <w:rFonts w:hint="eastAsia"/>
        </w:rPr>
        <w:t>传感器类产品：</w:t>
      </w:r>
    </w:p>
    <w:p w14:paraId="5C782A8B">
      <w:pPr>
        <w:ind w:firstLine="0" w:firstLineChars="0"/>
        <w:jc w:val="center"/>
        <w:rPr>
          <w:rFonts w:hint="eastAsia"/>
        </w:rPr>
      </w:pPr>
      <w:r>
        <w:drawing>
          <wp:inline distT="0" distB="0" distL="114300" distR="114300">
            <wp:extent cx="4268470" cy="1600200"/>
            <wp:effectExtent l="0" t="0" r="1778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2"/>
                    <a:stretch>
                      <a:fillRect/>
                    </a:stretch>
                  </pic:blipFill>
                  <pic:spPr>
                    <a:xfrm>
                      <a:off x="0" y="0"/>
                      <a:ext cx="4268470" cy="1600200"/>
                    </a:xfrm>
                    <a:prstGeom prst="rect">
                      <a:avLst/>
                    </a:prstGeom>
                    <a:noFill/>
                    <a:ln>
                      <a:noFill/>
                    </a:ln>
                  </pic:spPr>
                </pic:pic>
              </a:graphicData>
            </a:graphic>
          </wp:inline>
        </w:drawing>
      </w:r>
    </w:p>
    <w:p w14:paraId="09050A0A">
      <w:pPr>
        <w:ind w:firstLine="964" w:firstLineChars="400"/>
        <w:rPr>
          <w:rFonts w:hint="eastAsia"/>
          <w:b/>
          <w:bCs/>
        </w:rPr>
      </w:pPr>
      <w:r>
        <w:rPr>
          <w:rFonts w:hint="eastAsia"/>
          <w:b/>
          <w:bCs/>
        </w:rPr>
        <w:t>低浊传感器           PH传感器          余氯传感器</w:t>
      </w:r>
    </w:p>
    <w:p w14:paraId="215ED88F">
      <w:pPr>
        <w:ind w:firstLine="0" w:firstLineChars="0"/>
        <w:rPr>
          <w:rFonts w:hint="eastAsia"/>
        </w:rPr>
      </w:pPr>
      <w:r>
        <w:rPr>
          <w:rFonts w:hint="eastAsia"/>
        </w:rPr>
        <w:t>流量计、噪声、颗粒度监测：</w:t>
      </w:r>
    </w:p>
    <w:p w14:paraId="4EA69EE5">
      <w:pPr>
        <w:ind w:firstLine="0" w:firstLineChars="0"/>
        <w:jc w:val="center"/>
        <w:rPr>
          <w:rFonts w:hint="eastAsia"/>
        </w:rPr>
      </w:pPr>
      <w:r>
        <w:drawing>
          <wp:inline distT="0" distB="0" distL="114300" distR="114300">
            <wp:extent cx="4185285" cy="1535430"/>
            <wp:effectExtent l="0" t="0" r="5715" b="381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3"/>
                    <a:stretch>
                      <a:fillRect/>
                    </a:stretch>
                  </pic:blipFill>
                  <pic:spPr>
                    <a:xfrm>
                      <a:off x="0" y="0"/>
                      <a:ext cx="4185285" cy="1535430"/>
                    </a:xfrm>
                    <a:prstGeom prst="rect">
                      <a:avLst/>
                    </a:prstGeom>
                    <a:noFill/>
                    <a:ln>
                      <a:noFill/>
                    </a:ln>
                  </pic:spPr>
                </pic:pic>
              </a:graphicData>
            </a:graphic>
          </wp:inline>
        </w:drawing>
      </w:r>
    </w:p>
    <w:p w14:paraId="692A92D4">
      <w:pPr>
        <w:ind w:firstLine="964" w:firstLineChars="400"/>
        <w:rPr>
          <w:rFonts w:hint="eastAsia"/>
          <w:b/>
          <w:bCs/>
        </w:rPr>
      </w:pPr>
      <w:r>
        <w:rPr>
          <w:rFonts w:hint="eastAsia"/>
          <w:b/>
          <w:bCs/>
        </w:rPr>
        <w:t>电磁流量计      管道噪声检测仪      液体颗粒计数器</w:t>
      </w:r>
    </w:p>
    <w:p w14:paraId="214FAE7A">
      <w:pPr>
        <w:ind w:firstLine="0" w:firstLineChars="0"/>
        <w:rPr>
          <w:rFonts w:hint="eastAsia" w:cs="Times New Roman"/>
          <w:sz w:val="28"/>
          <w:szCs w:val="28"/>
        </w:rPr>
      </w:pPr>
    </w:p>
    <w:p w14:paraId="08E54189">
      <w:pPr>
        <w:ind w:firstLine="0" w:firstLineChars="0"/>
        <w:rPr>
          <w:rFonts w:hint="eastAsia" w:cs="Times New Roman"/>
          <w:sz w:val="28"/>
          <w:szCs w:val="28"/>
        </w:rPr>
      </w:pPr>
    </w:p>
    <w:p w14:paraId="5E0FD59F">
      <w:pPr>
        <w:pStyle w:val="2"/>
        <w:rPr>
          <w:rFonts w:hint="eastAsia"/>
        </w:rPr>
      </w:pPr>
      <w:bookmarkStart w:id="11" w:name="_Toc24440"/>
      <w:bookmarkStart w:id="12" w:name="_Toc26356"/>
      <w:r>
        <w:rPr>
          <w:rFonts w:hint="eastAsia"/>
        </w:rPr>
        <w:t>产品介绍</w:t>
      </w:r>
      <w:bookmarkEnd w:id="11"/>
      <w:bookmarkEnd w:id="12"/>
    </w:p>
    <w:p w14:paraId="20831F16">
      <w:pPr>
        <w:pStyle w:val="3"/>
        <w:rPr>
          <w:rFonts w:hint="eastAsia"/>
        </w:rPr>
      </w:pPr>
      <w:bookmarkStart w:id="13" w:name="_Toc8441"/>
      <w:r>
        <w:rPr>
          <w:rFonts w:hint="eastAsia"/>
        </w:rPr>
        <w:t>技术参数</w:t>
      </w:r>
      <w:bookmarkEnd w:id="13"/>
    </w:p>
    <w:tbl>
      <w:tblPr>
        <w:tblStyle w:val="20"/>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4185"/>
        <w:gridCol w:w="2754"/>
      </w:tblGrid>
      <w:tr w14:paraId="73F711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927" w:type="pct"/>
            <w:vAlign w:val="center"/>
          </w:tcPr>
          <w:p w14:paraId="614C5F2A">
            <w:pPr>
              <w:spacing w:line="240" w:lineRule="auto"/>
              <w:ind w:firstLine="0" w:firstLineChars="0"/>
              <w:jc w:val="center"/>
              <w:rPr>
                <w:rFonts w:hint="eastAsia"/>
                <w:b/>
                <w:bCs/>
                <w:sz w:val="21"/>
                <w:szCs w:val="21"/>
              </w:rPr>
            </w:pPr>
            <w:r>
              <w:rPr>
                <w:rFonts w:hint="eastAsia"/>
                <w:b/>
                <w:bCs/>
                <w:sz w:val="21"/>
                <w:szCs w:val="21"/>
              </w:rPr>
              <w:t>设备名称</w:t>
            </w:r>
          </w:p>
        </w:tc>
        <w:tc>
          <w:tcPr>
            <w:tcW w:w="2456" w:type="pct"/>
            <w:vAlign w:val="center"/>
          </w:tcPr>
          <w:p w14:paraId="49EBB5BC">
            <w:pPr>
              <w:spacing w:line="240" w:lineRule="auto"/>
              <w:ind w:firstLine="0" w:firstLineChars="0"/>
              <w:jc w:val="center"/>
              <w:rPr>
                <w:rFonts w:hint="eastAsia"/>
                <w:b/>
                <w:bCs/>
                <w:sz w:val="21"/>
                <w:szCs w:val="21"/>
              </w:rPr>
            </w:pPr>
            <w:r>
              <w:rPr>
                <w:rFonts w:hint="eastAsia"/>
                <w:b/>
                <w:bCs/>
                <w:sz w:val="21"/>
                <w:szCs w:val="21"/>
              </w:rPr>
              <w:t>监测参数</w:t>
            </w:r>
          </w:p>
        </w:tc>
        <w:tc>
          <w:tcPr>
            <w:tcW w:w="1616" w:type="pct"/>
            <w:vAlign w:val="center"/>
          </w:tcPr>
          <w:p w14:paraId="28AC459B">
            <w:pPr>
              <w:spacing w:line="240" w:lineRule="auto"/>
              <w:ind w:firstLine="0" w:firstLineChars="0"/>
              <w:jc w:val="center"/>
              <w:rPr>
                <w:rFonts w:hint="eastAsia"/>
                <w:b/>
                <w:bCs/>
                <w:sz w:val="21"/>
                <w:szCs w:val="21"/>
              </w:rPr>
            </w:pPr>
            <w:r>
              <w:rPr>
                <w:rFonts w:hint="eastAsia"/>
                <w:b/>
                <w:bCs/>
                <w:sz w:val="21"/>
                <w:szCs w:val="21"/>
              </w:rPr>
              <w:t>图片示例</w:t>
            </w:r>
          </w:p>
        </w:tc>
      </w:tr>
      <w:tr w14:paraId="16D018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8" w:hRule="atLeast"/>
        </w:trPr>
        <w:tc>
          <w:tcPr>
            <w:tcW w:w="927" w:type="pct"/>
            <w:vAlign w:val="center"/>
          </w:tcPr>
          <w:p w14:paraId="6C6041C9">
            <w:pPr>
              <w:spacing w:line="240" w:lineRule="auto"/>
              <w:ind w:firstLine="0" w:firstLineChars="0"/>
              <w:jc w:val="center"/>
              <w:rPr>
                <w:rFonts w:hint="eastAsia"/>
                <w:sz w:val="21"/>
                <w:szCs w:val="21"/>
                <w:lang w:val="en-US" w:eastAsia="zh-CN"/>
              </w:rPr>
            </w:pPr>
            <w:r>
              <w:rPr>
                <w:rFonts w:hint="eastAsia"/>
                <w:sz w:val="21"/>
                <w:szCs w:val="21"/>
                <w:lang w:val="en-US" w:eastAsia="zh-CN"/>
              </w:rPr>
              <w:t>大肠杆菌在线分析仪</w:t>
            </w:r>
          </w:p>
        </w:tc>
        <w:tc>
          <w:tcPr>
            <w:tcW w:w="2456" w:type="pct"/>
            <w:vAlign w:val="center"/>
          </w:tcPr>
          <w:p w14:paraId="61CFD705">
            <w:pPr>
              <w:spacing w:line="240" w:lineRule="auto"/>
              <w:ind w:firstLine="0" w:firstLineChars="0"/>
              <w:jc w:val="both"/>
              <w:rPr>
                <w:rFonts w:hint="eastAsia"/>
                <w:sz w:val="21"/>
                <w:szCs w:val="21"/>
                <w:lang w:val="en-US" w:eastAsia="zh-CN"/>
              </w:rPr>
            </w:pPr>
            <w:r>
              <w:rPr>
                <w:rFonts w:hint="eastAsia"/>
                <w:sz w:val="21"/>
                <w:szCs w:val="21"/>
                <w:lang w:val="en-US" w:eastAsia="zh-CN"/>
              </w:rPr>
              <w:t>原理：酶底物法</w:t>
            </w:r>
          </w:p>
          <w:p w14:paraId="2E02F31C">
            <w:pPr>
              <w:spacing w:line="240" w:lineRule="auto"/>
              <w:ind w:firstLine="0" w:firstLineChars="0"/>
              <w:jc w:val="both"/>
              <w:rPr>
                <w:rFonts w:hint="eastAsia"/>
                <w:sz w:val="21"/>
                <w:szCs w:val="21"/>
                <w:lang w:val="en-US" w:eastAsia="zh-CN"/>
              </w:rPr>
            </w:pPr>
            <w:r>
              <w:rPr>
                <w:rFonts w:hint="eastAsia"/>
                <w:sz w:val="21"/>
                <w:szCs w:val="21"/>
                <w:lang w:val="en-US" w:eastAsia="zh-CN"/>
              </w:rPr>
              <w:t>量程：0-100MPN/100mL</w:t>
            </w:r>
          </w:p>
          <w:p w14:paraId="44D15080">
            <w:pPr>
              <w:spacing w:line="240" w:lineRule="auto"/>
              <w:ind w:firstLine="0" w:firstLineChars="0"/>
              <w:jc w:val="both"/>
              <w:rPr>
                <w:rFonts w:hint="default"/>
                <w:sz w:val="21"/>
                <w:szCs w:val="21"/>
                <w:lang w:val="en-US" w:eastAsia="zh-CN"/>
              </w:rPr>
            </w:pPr>
            <w:r>
              <w:rPr>
                <w:rFonts w:hint="eastAsia"/>
                <w:sz w:val="21"/>
                <w:szCs w:val="21"/>
                <w:lang w:val="en-US" w:eastAsia="zh-CN"/>
              </w:rPr>
              <w:t>精度：±10%</w:t>
            </w:r>
          </w:p>
        </w:tc>
        <w:tc>
          <w:tcPr>
            <w:tcW w:w="1616" w:type="pct"/>
            <w:vAlign w:val="center"/>
          </w:tcPr>
          <w:p w14:paraId="15A81483">
            <w:pPr>
              <w:spacing w:line="240" w:lineRule="auto"/>
              <w:ind w:firstLine="0" w:firstLineChars="0"/>
              <w:jc w:val="center"/>
            </w:pPr>
            <w:r>
              <w:drawing>
                <wp:inline distT="0" distB="0" distL="114300" distR="114300">
                  <wp:extent cx="737235" cy="1314450"/>
                  <wp:effectExtent l="0" t="0" r="9525" b="1143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4"/>
                          <a:stretch>
                            <a:fillRect/>
                          </a:stretch>
                        </pic:blipFill>
                        <pic:spPr>
                          <a:xfrm>
                            <a:off x="0" y="0"/>
                            <a:ext cx="737235" cy="1314450"/>
                          </a:xfrm>
                          <a:prstGeom prst="rect">
                            <a:avLst/>
                          </a:prstGeom>
                          <a:noFill/>
                          <a:ln>
                            <a:noFill/>
                          </a:ln>
                        </pic:spPr>
                      </pic:pic>
                    </a:graphicData>
                  </a:graphic>
                </wp:inline>
              </w:drawing>
            </w:r>
          </w:p>
        </w:tc>
      </w:tr>
      <w:tr w14:paraId="63BF5A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8" w:hRule="atLeast"/>
        </w:trPr>
        <w:tc>
          <w:tcPr>
            <w:tcW w:w="927" w:type="pct"/>
            <w:vAlign w:val="center"/>
          </w:tcPr>
          <w:p w14:paraId="1A59AAEA">
            <w:pPr>
              <w:spacing w:line="240" w:lineRule="auto"/>
              <w:ind w:firstLine="0" w:firstLineChars="0"/>
              <w:jc w:val="center"/>
              <w:rPr>
                <w:rFonts w:hint="eastAsia"/>
                <w:sz w:val="21"/>
                <w:szCs w:val="21"/>
                <w:lang w:val="en-US" w:eastAsia="zh-CN"/>
              </w:rPr>
            </w:pPr>
            <w:r>
              <w:rPr>
                <w:rFonts w:hint="eastAsia"/>
                <w:sz w:val="21"/>
                <w:szCs w:val="21"/>
                <w:lang w:val="en-US" w:eastAsia="zh-CN"/>
              </w:rPr>
              <w:t>生物毒性在线分析仪</w:t>
            </w:r>
          </w:p>
        </w:tc>
        <w:tc>
          <w:tcPr>
            <w:tcW w:w="2456" w:type="pct"/>
            <w:vAlign w:val="center"/>
          </w:tcPr>
          <w:p w14:paraId="10A89079">
            <w:pPr>
              <w:spacing w:line="240" w:lineRule="auto"/>
              <w:ind w:firstLine="0" w:firstLineChars="0"/>
              <w:jc w:val="both"/>
              <w:rPr>
                <w:rFonts w:hint="default"/>
                <w:sz w:val="21"/>
                <w:szCs w:val="21"/>
                <w:lang w:val="en-US" w:eastAsia="zh-CN"/>
              </w:rPr>
            </w:pPr>
            <w:r>
              <w:rPr>
                <w:rFonts w:hint="eastAsia"/>
                <w:sz w:val="21"/>
                <w:szCs w:val="21"/>
                <w:lang w:val="en-US" w:eastAsia="zh-CN"/>
              </w:rPr>
              <w:t>原理：发光细菌法</w:t>
            </w:r>
          </w:p>
          <w:p w14:paraId="45DED802">
            <w:pPr>
              <w:spacing w:line="240" w:lineRule="auto"/>
              <w:ind w:firstLine="0" w:firstLineChars="0"/>
              <w:jc w:val="both"/>
              <w:rPr>
                <w:rFonts w:hint="eastAsia"/>
                <w:sz w:val="21"/>
                <w:szCs w:val="21"/>
                <w:lang w:val="en-US" w:eastAsia="zh-CN"/>
              </w:rPr>
            </w:pPr>
            <w:r>
              <w:rPr>
                <w:rFonts w:hint="eastAsia"/>
                <w:sz w:val="21"/>
                <w:szCs w:val="21"/>
                <w:lang w:val="en-US" w:eastAsia="zh-CN"/>
              </w:rPr>
              <w:t>量程：0-100%抑制率</w:t>
            </w:r>
          </w:p>
          <w:p w14:paraId="7942F248">
            <w:pPr>
              <w:spacing w:line="240" w:lineRule="auto"/>
              <w:ind w:firstLine="0" w:firstLineChars="0"/>
              <w:jc w:val="both"/>
              <w:rPr>
                <w:rFonts w:hint="eastAsia"/>
                <w:sz w:val="21"/>
                <w:szCs w:val="21"/>
              </w:rPr>
            </w:pPr>
            <w:r>
              <w:rPr>
                <w:rFonts w:hint="eastAsia"/>
                <w:sz w:val="21"/>
                <w:szCs w:val="21"/>
                <w:lang w:val="en-US" w:eastAsia="zh-CN"/>
              </w:rPr>
              <w:t>精度：±10%</w:t>
            </w:r>
          </w:p>
        </w:tc>
        <w:tc>
          <w:tcPr>
            <w:tcW w:w="1616" w:type="pct"/>
            <w:vAlign w:val="center"/>
          </w:tcPr>
          <w:p w14:paraId="7BD51C92">
            <w:pPr>
              <w:spacing w:line="240" w:lineRule="auto"/>
              <w:ind w:firstLine="0" w:firstLineChars="0"/>
              <w:jc w:val="center"/>
            </w:pPr>
            <w:r>
              <w:drawing>
                <wp:inline distT="0" distB="0" distL="114300" distR="114300">
                  <wp:extent cx="737235" cy="1314450"/>
                  <wp:effectExtent l="0" t="0" r="9525" b="1143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4"/>
                          <a:stretch>
                            <a:fillRect/>
                          </a:stretch>
                        </pic:blipFill>
                        <pic:spPr>
                          <a:xfrm>
                            <a:off x="0" y="0"/>
                            <a:ext cx="737235" cy="1314450"/>
                          </a:xfrm>
                          <a:prstGeom prst="rect">
                            <a:avLst/>
                          </a:prstGeom>
                          <a:noFill/>
                          <a:ln>
                            <a:noFill/>
                          </a:ln>
                        </pic:spPr>
                      </pic:pic>
                    </a:graphicData>
                  </a:graphic>
                </wp:inline>
              </w:drawing>
            </w:r>
          </w:p>
        </w:tc>
      </w:tr>
      <w:tr w14:paraId="5BDF61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927" w:type="pct"/>
            <w:vAlign w:val="center"/>
          </w:tcPr>
          <w:p w14:paraId="1D83F98D">
            <w:pPr>
              <w:spacing w:line="240" w:lineRule="auto"/>
              <w:ind w:firstLine="0" w:firstLineChars="0"/>
              <w:jc w:val="center"/>
              <w:rPr>
                <w:rFonts w:hint="eastAsia"/>
                <w:sz w:val="21"/>
                <w:szCs w:val="21"/>
                <w:lang w:val="en-US" w:eastAsia="zh-CN"/>
              </w:rPr>
            </w:pPr>
            <w:r>
              <w:rPr>
                <w:rFonts w:hint="eastAsia"/>
                <w:sz w:val="21"/>
                <w:szCs w:val="21"/>
                <w:lang w:val="en-US" w:eastAsia="zh-CN"/>
              </w:rPr>
              <w:t>在线色度传感器</w:t>
            </w:r>
          </w:p>
        </w:tc>
        <w:tc>
          <w:tcPr>
            <w:tcW w:w="2456" w:type="pct"/>
            <w:vAlign w:val="center"/>
          </w:tcPr>
          <w:p w14:paraId="60AF1247">
            <w:pPr>
              <w:spacing w:line="240" w:lineRule="auto"/>
              <w:ind w:firstLine="0" w:firstLineChars="0"/>
              <w:rPr>
                <w:rFonts w:hint="eastAsia"/>
                <w:sz w:val="21"/>
                <w:szCs w:val="21"/>
              </w:rPr>
            </w:pPr>
            <w:r>
              <w:rPr>
                <w:sz w:val="21"/>
                <w:szCs w:val="21"/>
              </w:rPr>
              <w:t>原理</w:t>
            </w:r>
            <w:r>
              <w:rPr>
                <w:rFonts w:hint="eastAsia"/>
                <w:sz w:val="21"/>
                <w:szCs w:val="21"/>
              </w:rPr>
              <w:t>：双波长可见光吸收法</w:t>
            </w:r>
          </w:p>
          <w:p w14:paraId="578D0546">
            <w:pPr>
              <w:spacing w:line="240" w:lineRule="auto"/>
              <w:ind w:firstLine="0" w:firstLineChars="0"/>
              <w:rPr>
                <w:rFonts w:hint="eastAsia"/>
                <w:sz w:val="21"/>
                <w:szCs w:val="21"/>
              </w:rPr>
            </w:pPr>
            <w:r>
              <w:rPr>
                <w:sz w:val="21"/>
                <w:szCs w:val="21"/>
              </w:rPr>
              <w:t>量程</w:t>
            </w:r>
            <w:r>
              <w:rPr>
                <w:rFonts w:hint="eastAsia"/>
                <w:sz w:val="21"/>
                <w:szCs w:val="21"/>
              </w:rPr>
              <w:t>：0～500Hazen</w:t>
            </w:r>
          </w:p>
          <w:p w14:paraId="749B2C8F">
            <w:pPr>
              <w:spacing w:line="240" w:lineRule="auto"/>
              <w:ind w:firstLine="0" w:firstLineChars="0"/>
              <w:jc w:val="both"/>
              <w:rPr>
                <w:rFonts w:hint="eastAsia"/>
                <w:sz w:val="21"/>
                <w:szCs w:val="21"/>
                <w:lang w:val="en-US" w:eastAsia="zh-CN"/>
              </w:rPr>
            </w:pPr>
            <w:r>
              <w:rPr>
                <w:sz w:val="21"/>
                <w:szCs w:val="21"/>
              </w:rPr>
              <w:t>精度</w:t>
            </w:r>
            <w:r>
              <w:rPr>
                <w:rFonts w:hint="eastAsia"/>
                <w:sz w:val="21"/>
                <w:szCs w:val="21"/>
              </w:rPr>
              <w:t>：读数的±5%</w:t>
            </w:r>
          </w:p>
        </w:tc>
        <w:tc>
          <w:tcPr>
            <w:tcW w:w="1616" w:type="pct"/>
            <w:vAlign w:val="center"/>
          </w:tcPr>
          <w:p w14:paraId="71278C91">
            <w:pPr>
              <w:spacing w:line="240" w:lineRule="auto"/>
              <w:ind w:firstLine="0" w:firstLineChars="0"/>
              <w:jc w:val="center"/>
            </w:pPr>
            <w:r>
              <w:rPr>
                <w:rFonts w:hint="eastAsia" w:ascii="Times New Roman" w:hAnsi="Times New Roman" w:eastAsia="宋体"/>
                <w:lang w:eastAsia="zh-CN"/>
              </w:rPr>
              <w:drawing>
                <wp:inline distT="0" distB="0" distL="114300" distR="114300">
                  <wp:extent cx="1477010" cy="241300"/>
                  <wp:effectExtent l="0" t="295910" r="0" b="361950"/>
                  <wp:docPr id="43" name="图片 5" descr="E:/新建文件夹 (9)/mmexport1716363568276.pngmmexport171636356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descr="E:/新建文件夹 (9)/mmexport1716363568276.pngmmexport1716363568276"/>
                          <pic:cNvPicPr>
                            <a:picLocks noChangeAspect="1"/>
                          </pic:cNvPicPr>
                        </pic:nvPicPr>
                        <pic:blipFill>
                          <a:blip r:embed="rId25"/>
                          <a:srcRect l="4361" t="40771" r="5933" b="39677"/>
                          <a:stretch>
                            <a:fillRect/>
                          </a:stretch>
                        </pic:blipFill>
                        <pic:spPr>
                          <a:xfrm rot="19500000">
                            <a:off x="0" y="0"/>
                            <a:ext cx="1477010" cy="241300"/>
                          </a:xfrm>
                          <a:prstGeom prst="rect">
                            <a:avLst/>
                          </a:prstGeom>
                          <a:noFill/>
                          <a:ln>
                            <a:noFill/>
                          </a:ln>
                        </pic:spPr>
                      </pic:pic>
                    </a:graphicData>
                  </a:graphic>
                </wp:inline>
              </w:drawing>
            </w:r>
          </w:p>
        </w:tc>
      </w:tr>
      <w:tr w14:paraId="7637E8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9" w:hRule="atLeast"/>
        </w:trPr>
        <w:tc>
          <w:tcPr>
            <w:tcW w:w="927" w:type="pct"/>
            <w:vAlign w:val="center"/>
          </w:tcPr>
          <w:p w14:paraId="6EB11DEF">
            <w:pPr>
              <w:spacing w:line="240" w:lineRule="auto"/>
              <w:ind w:firstLine="0" w:firstLineChars="0"/>
              <w:jc w:val="center"/>
              <w:rPr>
                <w:rFonts w:hint="eastAsia"/>
                <w:sz w:val="21"/>
                <w:szCs w:val="21"/>
                <w:lang w:val="en-US" w:eastAsia="zh-CN"/>
              </w:rPr>
            </w:pPr>
            <w:r>
              <w:rPr>
                <w:rFonts w:hint="eastAsia"/>
                <w:sz w:val="21"/>
                <w:szCs w:val="21"/>
                <w:lang w:val="en-US" w:eastAsia="zh-CN"/>
              </w:rPr>
              <w:t>在线浊度传感器</w:t>
            </w:r>
          </w:p>
        </w:tc>
        <w:tc>
          <w:tcPr>
            <w:tcW w:w="2456" w:type="pct"/>
            <w:shd w:val="clear" w:color="auto" w:fill="auto"/>
            <w:vAlign w:val="center"/>
          </w:tcPr>
          <w:p w14:paraId="532BA446">
            <w:pPr>
              <w:spacing w:line="240" w:lineRule="auto"/>
              <w:ind w:firstLine="0" w:firstLineChars="0"/>
              <w:rPr>
                <w:rFonts w:hint="eastAsia"/>
                <w:sz w:val="21"/>
                <w:szCs w:val="21"/>
              </w:rPr>
            </w:pPr>
            <w:r>
              <w:rPr>
                <w:sz w:val="21"/>
                <w:szCs w:val="21"/>
              </w:rPr>
              <w:t>原理：光散射</w:t>
            </w:r>
          </w:p>
          <w:p w14:paraId="3E052741">
            <w:pPr>
              <w:spacing w:line="240" w:lineRule="auto"/>
              <w:ind w:firstLine="0" w:firstLineChars="0"/>
              <w:rPr>
                <w:rFonts w:hint="eastAsia"/>
                <w:sz w:val="21"/>
                <w:szCs w:val="21"/>
              </w:rPr>
            </w:pPr>
            <w:r>
              <w:rPr>
                <w:sz w:val="21"/>
                <w:szCs w:val="21"/>
              </w:rPr>
              <w:t>量程：0~10.000NTU</w:t>
            </w:r>
          </w:p>
          <w:p w14:paraId="22709E42">
            <w:pPr>
              <w:spacing w:line="240" w:lineRule="auto"/>
              <w:ind w:firstLine="0" w:firstLineChars="0"/>
              <w:rPr>
                <w:rFonts w:hint="eastAsia" w:ascii="宋体" w:hAnsi="宋体" w:eastAsia="宋体" w:cs="宋体"/>
                <w:kern w:val="2"/>
                <w:sz w:val="21"/>
                <w:szCs w:val="21"/>
                <w:lang w:val="en-US" w:eastAsia="zh-CN" w:bidi="ar-SA"/>
              </w:rPr>
            </w:pPr>
            <w:r>
              <w:rPr>
                <w:sz w:val="21"/>
                <w:szCs w:val="21"/>
              </w:rPr>
              <w:t>精度：±2%或±0.02NTU以大为准；±0.3℃</w:t>
            </w:r>
          </w:p>
        </w:tc>
        <w:tc>
          <w:tcPr>
            <w:tcW w:w="1616" w:type="pct"/>
            <w:shd w:val="clear" w:color="auto" w:fill="auto"/>
            <w:vAlign w:val="center"/>
          </w:tcPr>
          <w:p w14:paraId="27ECA8FC">
            <w:pPr>
              <w:spacing w:line="240" w:lineRule="auto"/>
              <w:ind w:firstLine="0" w:firstLineChars="0"/>
              <w:jc w:val="center"/>
              <w:rPr>
                <w:rFonts w:hint="eastAsia" w:ascii="宋体" w:hAnsi="宋体" w:eastAsia="宋体" w:cs="宋体"/>
                <w:kern w:val="2"/>
                <w:sz w:val="24"/>
                <w:szCs w:val="24"/>
                <w:lang w:val="en-US" w:eastAsia="zh-CN" w:bidi="ar-SA"/>
              </w:rPr>
            </w:pPr>
            <w:r>
              <w:drawing>
                <wp:inline distT="0" distB="0" distL="114300" distR="114300">
                  <wp:extent cx="798830" cy="1207135"/>
                  <wp:effectExtent l="0" t="0" r="1270" b="1206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6"/>
                          <a:stretch>
                            <a:fillRect/>
                          </a:stretch>
                        </pic:blipFill>
                        <pic:spPr>
                          <a:xfrm>
                            <a:off x="0" y="0"/>
                            <a:ext cx="798830" cy="1207135"/>
                          </a:xfrm>
                          <a:prstGeom prst="rect">
                            <a:avLst/>
                          </a:prstGeom>
                          <a:noFill/>
                          <a:ln>
                            <a:noFill/>
                          </a:ln>
                        </pic:spPr>
                      </pic:pic>
                    </a:graphicData>
                  </a:graphic>
                </wp:inline>
              </w:drawing>
            </w:r>
          </w:p>
        </w:tc>
      </w:tr>
      <w:tr w14:paraId="582AA3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8" w:hRule="atLeast"/>
        </w:trPr>
        <w:tc>
          <w:tcPr>
            <w:tcW w:w="927" w:type="pct"/>
            <w:vAlign w:val="center"/>
          </w:tcPr>
          <w:p w14:paraId="5B8FF44E">
            <w:pPr>
              <w:spacing w:line="240" w:lineRule="auto"/>
              <w:ind w:firstLine="0" w:firstLineChars="0"/>
              <w:jc w:val="center"/>
              <w:rPr>
                <w:rFonts w:hint="eastAsia"/>
                <w:sz w:val="21"/>
                <w:szCs w:val="21"/>
                <w:lang w:val="en-US" w:eastAsia="zh-CN"/>
              </w:rPr>
            </w:pPr>
            <w:r>
              <w:rPr>
                <w:rFonts w:hint="eastAsia"/>
                <w:sz w:val="21"/>
                <w:szCs w:val="21"/>
                <w:lang w:val="en-US" w:eastAsia="zh-CN"/>
              </w:rPr>
              <w:t>在线PH传感器</w:t>
            </w:r>
          </w:p>
        </w:tc>
        <w:tc>
          <w:tcPr>
            <w:tcW w:w="2456" w:type="pct"/>
            <w:shd w:val="clear" w:color="auto" w:fill="auto"/>
            <w:vAlign w:val="center"/>
          </w:tcPr>
          <w:p w14:paraId="08D4AF28">
            <w:pPr>
              <w:spacing w:line="240" w:lineRule="auto"/>
              <w:ind w:firstLine="0" w:firstLineChars="0"/>
              <w:rPr>
                <w:rFonts w:hint="eastAsia"/>
                <w:sz w:val="21"/>
                <w:szCs w:val="21"/>
              </w:rPr>
            </w:pPr>
            <w:r>
              <w:rPr>
                <w:sz w:val="21"/>
                <w:szCs w:val="21"/>
              </w:rPr>
              <w:t>原理：玻璃电极法</w:t>
            </w:r>
          </w:p>
          <w:p w14:paraId="55591BBF">
            <w:pPr>
              <w:spacing w:line="240" w:lineRule="auto"/>
              <w:ind w:firstLine="0" w:firstLineChars="0"/>
              <w:rPr>
                <w:rFonts w:hint="eastAsia"/>
                <w:sz w:val="21"/>
                <w:szCs w:val="21"/>
              </w:rPr>
            </w:pPr>
            <w:r>
              <w:rPr>
                <w:sz w:val="21"/>
                <w:szCs w:val="21"/>
              </w:rPr>
              <w:t>量程：0-14 pH</w:t>
            </w:r>
          </w:p>
          <w:p w14:paraId="3A771CB3">
            <w:pPr>
              <w:spacing w:line="240" w:lineRule="auto"/>
              <w:ind w:firstLine="0" w:firstLineChars="0"/>
              <w:rPr>
                <w:rFonts w:hint="eastAsia" w:ascii="宋体" w:hAnsi="宋体" w:eastAsia="宋体" w:cs="宋体"/>
                <w:kern w:val="2"/>
                <w:sz w:val="21"/>
                <w:szCs w:val="21"/>
                <w:lang w:val="en-US" w:eastAsia="zh-CN" w:bidi="ar-SA"/>
              </w:rPr>
            </w:pPr>
            <w:r>
              <w:rPr>
                <w:sz w:val="21"/>
                <w:szCs w:val="21"/>
              </w:rPr>
              <w:t>精度：±0.1 pH</w:t>
            </w:r>
          </w:p>
        </w:tc>
        <w:tc>
          <w:tcPr>
            <w:tcW w:w="1616" w:type="pct"/>
            <w:shd w:val="clear" w:color="auto" w:fill="auto"/>
            <w:vAlign w:val="center"/>
          </w:tcPr>
          <w:p w14:paraId="44C74D62">
            <w:pPr>
              <w:spacing w:line="240" w:lineRule="auto"/>
              <w:ind w:firstLine="0" w:firstLineChars="0"/>
              <w:jc w:val="center"/>
              <w:rPr>
                <w:rFonts w:hint="eastAsia" w:ascii="宋体" w:hAnsi="宋体" w:eastAsia="宋体" w:cs="宋体"/>
                <w:kern w:val="2"/>
                <w:sz w:val="24"/>
                <w:szCs w:val="24"/>
                <w:lang w:val="en-US" w:eastAsia="zh-CN" w:bidi="ar-SA"/>
              </w:rPr>
            </w:pPr>
            <w:r>
              <w:rPr>
                <w:rFonts w:ascii="Times New Roman" w:hAnsi="Times New Roman" w:cs="Times New Roman"/>
                <w:b/>
                <w:sz w:val="32"/>
                <w:szCs w:val="32"/>
              </w:rPr>
              <w:drawing>
                <wp:inline distT="0" distB="0" distL="114300" distR="114300">
                  <wp:extent cx="326390" cy="1350645"/>
                  <wp:effectExtent l="0" t="307340" r="0" b="31115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27" cstate="print"/>
                          <a:stretch>
                            <a:fillRect/>
                          </a:stretch>
                        </pic:blipFill>
                        <pic:spPr>
                          <a:xfrm rot="3660000">
                            <a:off x="0" y="0"/>
                            <a:ext cx="328911" cy="1359777"/>
                          </a:xfrm>
                          <a:prstGeom prst="rect">
                            <a:avLst/>
                          </a:prstGeom>
                          <a:noFill/>
                          <a:ln>
                            <a:noFill/>
                          </a:ln>
                        </pic:spPr>
                      </pic:pic>
                    </a:graphicData>
                  </a:graphic>
                </wp:inline>
              </w:drawing>
            </w:r>
          </w:p>
        </w:tc>
      </w:tr>
      <w:tr w14:paraId="280FFA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0" w:hRule="atLeast"/>
        </w:trPr>
        <w:tc>
          <w:tcPr>
            <w:tcW w:w="927" w:type="pct"/>
            <w:vAlign w:val="center"/>
          </w:tcPr>
          <w:p w14:paraId="0FAC82AC">
            <w:pPr>
              <w:spacing w:line="240" w:lineRule="auto"/>
              <w:ind w:firstLine="0" w:firstLineChars="0"/>
              <w:jc w:val="center"/>
              <w:rPr>
                <w:rFonts w:hint="eastAsia"/>
                <w:sz w:val="21"/>
                <w:szCs w:val="21"/>
                <w:lang w:val="en-US" w:eastAsia="zh-CN"/>
              </w:rPr>
            </w:pPr>
            <w:r>
              <w:rPr>
                <w:rFonts w:hint="eastAsia"/>
                <w:sz w:val="21"/>
                <w:szCs w:val="21"/>
                <w:lang w:val="en-US" w:eastAsia="zh-CN"/>
              </w:rPr>
              <w:t>在线电导率传感器</w:t>
            </w:r>
          </w:p>
        </w:tc>
        <w:tc>
          <w:tcPr>
            <w:tcW w:w="2456" w:type="pct"/>
            <w:shd w:val="clear" w:color="auto" w:fill="auto"/>
            <w:vAlign w:val="center"/>
          </w:tcPr>
          <w:p w14:paraId="1BAF5800">
            <w:pPr>
              <w:spacing w:line="240" w:lineRule="auto"/>
              <w:ind w:firstLine="0" w:firstLineChars="0"/>
              <w:rPr>
                <w:rFonts w:hint="eastAsia"/>
                <w:sz w:val="21"/>
                <w:szCs w:val="21"/>
              </w:rPr>
            </w:pPr>
            <w:r>
              <w:rPr>
                <w:sz w:val="21"/>
                <w:szCs w:val="21"/>
              </w:rPr>
              <w:t>原理</w:t>
            </w:r>
            <w:r>
              <w:rPr>
                <w:rFonts w:hint="eastAsia"/>
                <w:sz w:val="21"/>
                <w:szCs w:val="21"/>
              </w:rPr>
              <w:t>：接触式电极法</w:t>
            </w:r>
          </w:p>
          <w:p w14:paraId="66ACA789">
            <w:pPr>
              <w:spacing w:line="240" w:lineRule="auto"/>
              <w:ind w:firstLine="0" w:firstLineChars="0"/>
              <w:rPr>
                <w:rFonts w:hint="eastAsia"/>
                <w:sz w:val="21"/>
                <w:szCs w:val="21"/>
              </w:rPr>
            </w:pPr>
            <w:r>
              <w:rPr>
                <w:sz w:val="21"/>
                <w:szCs w:val="21"/>
              </w:rPr>
              <w:t>量程</w:t>
            </w:r>
            <w:r>
              <w:rPr>
                <w:rFonts w:hint="eastAsia"/>
                <w:sz w:val="21"/>
                <w:szCs w:val="21"/>
              </w:rPr>
              <w:t>：0～5000 μS/cm</w:t>
            </w:r>
          </w:p>
          <w:p w14:paraId="7A0E577A">
            <w:pPr>
              <w:spacing w:line="240" w:lineRule="auto"/>
              <w:ind w:firstLine="0" w:firstLineChars="0"/>
              <w:rPr>
                <w:rFonts w:hint="eastAsia" w:ascii="宋体" w:hAnsi="宋体" w:eastAsia="宋体" w:cs="宋体"/>
                <w:kern w:val="2"/>
                <w:sz w:val="21"/>
                <w:szCs w:val="21"/>
                <w:lang w:val="en-US" w:eastAsia="zh-CN" w:bidi="ar-SA"/>
              </w:rPr>
            </w:pPr>
            <w:r>
              <w:rPr>
                <w:sz w:val="21"/>
                <w:szCs w:val="21"/>
              </w:rPr>
              <w:t>精度</w:t>
            </w:r>
            <w:r>
              <w:rPr>
                <w:rFonts w:hint="eastAsia"/>
                <w:sz w:val="21"/>
                <w:szCs w:val="21"/>
              </w:rPr>
              <w:t>：读数的±1%</w:t>
            </w:r>
          </w:p>
        </w:tc>
        <w:tc>
          <w:tcPr>
            <w:tcW w:w="1616" w:type="pct"/>
            <w:shd w:val="clear" w:color="auto" w:fill="auto"/>
            <w:vAlign w:val="center"/>
          </w:tcPr>
          <w:p w14:paraId="1CB1C0BA">
            <w:pPr>
              <w:spacing w:line="240" w:lineRule="auto"/>
              <w:ind w:firstLine="0" w:firstLineChars="0"/>
              <w:jc w:val="center"/>
              <w:rPr>
                <w:rFonts w:hint="eastAsia" w:ascii="宋体" w:hAnsi="宋体" w:eastAsia="宋体" w:cs="宋体"/>
                <w:kern w:val="2"/>
                <w:sz w:val="24"/>
                <w:szCs w:val="24"/>
                <w:lang w:val="en-US" w:eastAsia="zh-CN" w:bidi="ar-SA"/>
              </w:rPr>
            </w:pPr>
            <w:r>
              <w:rPr>
                <w:rFonts w:ascii="Times New Roman" w:hAnsi="Times New Roman" w:cs="Times New Roman"/>
                <w:b/>
                <w:sz w:val="32"/>
                <w:szCs w:val="32"/>
              </w:rPr>
              <w:drawing>
                <wp:inline distT="0" distB="0" distL="114300" distR="114300">
                  <wp:extent cx="302260" cy="1303020"/>
                  <wp:effectExtent l="0" t="305435" r="0" b="30670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8" cstate="print"/>
                          <a:stretch>
                            <a:fillRect/>
                          </a:stretch>
                        </pic:blipFill>
                        <pic:spPr>
                          <a:xfrm rot="3600000">
                            <a:off x="0" y="0"/>
                            <a:ext cx="306471" cy="1319474"/>
                          </a:xfrm>
                          <a:prstGeom prst="rect">
                            <a:avLst/>
                          </a:prstGeom>
                          <a:noFill/>
                          <a:ln>
                            <a:noFill/>
                          </a:ln>
                        </pic:spPr>
                      </pic:pic>
                    </a:graphicData>
                  </a:graphic>
                </wp:inline>
              </w:drawing>
            </w:r>
          </w:p>
        </w:tc>
      </w:tr>
      <w:tr w14:paraId="471071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4" w:hRule="atLeast"/>
        </w:trPr>
        <w:tc>
          <w:tcPr>
            <w:tcW w:w="927" w:type="pct"/>
            <w:vAlign w:val="center"/>
          </w:tcPr>
          <w:p w14:paraId="68569722">
            <w:pPr>
              <w:spacing w:line="240" w:lineRule="auto"/>
              <w:ind w:firstLine="0" w:firstLineChars="0"/>
              <w:jc w:val="center"/>
              <w:rPr>
                <w:rFonts w:hint="default" w:eastAsia="宋体"/>
                <w:sz w:val="21"/>
                <w:szCs w:val="21"/>
                <w:lang w:val="en-US" w:eastAsia="zh-CN"/>
              </w:rPr>
            </w:pPr>
            <w:r>
              <w:rPr>
                <w:rFonts w:hint="default" w:eastAsia="宋体"/>
                <w:sz w:val="21"/>
                <w:szCs w:val="21"/>
                <w:lang w:val="en-US" w:eastAsia="zh-CN"/>
              </w:rPr>
              <w:t>在线硬度传感器</w:t>
            </w:r>
          </w:p>
        </w:tc>
        <w:tc>
          <w:tcPr>
            <w:tcW w:w="2456" w:type="pct"/>
            <w:vAlign w:val="center"/>
          </w:tcPr>
          <w:p w14:paraId="2ECF3E5B">
            <w:pPr>
              <w:spacing w:line="240" w:lineRule="auto"/>
              <w:ind w:firstLine="0" w:firstLineChars="0"/>
              <w:rPr>
                <w:rFonts w:hint="eastAsia"/>
                <w:sz w:val="21"/>
                <w:szCs w:val="21"/>
              </w:rPr>
            </w:pPr>
            <w:r>
              <w:rPr>
                <w:sz w:val="21"/>
                <w:szCs w:val="21"/>
              </w:rPr>
              <w:t>原理</w:t>
            </w:r>
            <w:r>
              <w:rPr>
                <w:rFonts w:hint="eastAsia"/>
                <w:sz w:val="21"/>
                <w:szCs w:val="21"/>
              </w:rPr>
              <w:t>：离子选择法</w:t>
            </w:r>
          </w:p>
          <w:p w14:paraId="65F8A62D">
            <w:pPr>
              <w:spacing w:line="240" w:lineRule="auto"/>
              <w:ind w:firstLine="0" w:firstLineChars="0"/>
              <w:rPr>
                <w:rFonts w:hint="eastAsia"/>
                <w:sz w:val="21"/>
                <w:szCs w:val="21"/>
              </w:rPr>
            </w:pPr>
            <w:r>
              <w:rPr>
                <w:sz w:val="21"/>
                <w:szCs w:val="21"/>
              </w:rPr>
              <w:t>量程</w:t>
            </w:r>
            <w:r>
              <w:rPr>
                <w:rFonts w:hint="eastAsia"/>
                <w:sz w:val="21"/>
                <w:szCs w:val="21"/>
              </w:rPr>
              <w:t>：0～1000.0mg/L</w:t>
            </w:r>
          </w:p>
          <w:p w14:paraId="4D088686">
            <w:pPr>
              <w:spacing w:line="240" w:lineRule="auto"/>
              <w:ind w:firstLine="0" w:firstLineChars="0"/>
              <w:jc w:val="both"/>
              <w:rPr>
                <w:rFonts w:hint="eastAsia"/>
                <w:sz w:val="21"/>
                <w:szCs w:val="21"/>
              </w:rPr>
            </w:pPr>
            <w:r>
              <w:rPr>
                <w:sz w:val="21"/>
                <w:szCs w:val="21"/>
              </w:rPr>
              <w:t>精度</w:t>
            </w:r>
            <w:r>
              <w:rPr>
                <w:rFonts w:hint="eastAsia"/>
                <w:sz w:val="21"/>
                <w:szCs w:val="21"/>
              </w:rPr>
              <w:t>：读数的±10%</w:t>
            </w:r>
          </w:p>
        </w:tc>
        <w:tc>
          <w:tcPr>
            <w:tcW w:w="1616" w:type="pct"/>
            <w:vAlign w:val="center"/>
          </w:tcPr>
          <w:p w14:paraId="156B0E4E">
            <w:pPr>
              <w:spacing w:line="240" w:lineRule="auto"/>
              <w:ind w:firstLine="0" w:firstLineChars="0"/>
              <w:jc w:val="center"/>
              <w:rPr>
                <w:rFonts w:hint="eastAsia"/>
                <w:sz w:val="21"/>
                <w:szCs w:val="21"/>
              </w:rPr>
            </w:pPr>
            <w:r>
              <w:rPr>
                <w:rFonts w:hint="eastAsia" w:eastAsiaTheme="minorEastAsia"/>
                <w:sz w:val="28"/>
                <w:szCs w:val="28"/>
                <w:lang w:eastAsia="zh-CN"/>
              </w:rPr>
              <w:drawing>
                <wp:inline distT="0" distB="0" distL="114300" distR="114300">
                  <wp:extent cx="1393825" cy="263525"/>
                  <wp:effectExtent l="0" t="226060" r="0" b="226695"/>
                  <wp:docPr id="5" name="图片 5" descr="E:/产品图片/氯离子/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产品图片/氯离子/11.png11"/>
                          <pic:cNvPicPr>
                            <a:picLocks noChangeAspect="1"/>
                          </pic:cNvPicPr>
                        </pic:nvPicPr>
                        <pic:blipFill>
                          <a:blip r:embed="rId29"/>
                          <a:srcRect l="4997" t="40082" r="12686" b="37439"/>
                          <a:stretch>
                            <a:fillRect/>
                          </a:stretch>
                        </pic:blipFill>
                        <pic:spPr>
                          <a:xfrm rot="19980000">
                            <a:off x="0" y="0"/>
                            <a:ext cx="1393825" cy="263525"/>
                          </a:xfrm>
                          <a:prstGeom prst="rect">
                            <a:avLst/>
                          </a:prstGeom>
                        </pic:spPr>
                      </pic:pic>
                    </a:graphicData>
                  </a:graphic>
                </wp:inline>
              </w:drawing>
            </w:r>
          </w:p>
        </w:tc>
      </w:tr>
      <w:tr w14:paraId="311EF8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927" w:type="pct"/>
            <w:vAlign w:val="center"/>
          </w:tcPr>
          <w:p w14:paraId="73780CEA">
            <w:pPr>
              <w:spacing w:line="240" w:lineRule="auto"/>
              <w:ind w:firstLine="0" w:firstLineChars="0"/>
              <w:jc w:val="center"/>
              <w:rPr>
                <w:rFonts w:hint="default" w:eastAsia="宋体"/>
                <w:sz w:val="21"/>
                <w:szCs w:val="21"/>
                <w:lang w:val="en-US" w:eastAsia="zh-CN"/>
              </w:rPr>
            </w:pPr>
            <w:r>
              <w:rPr>
                <w:rFonts w:hint="default" w:eastAsia="宋体"/>
                <w:sz w:val="21"/>
                <w:szCs w:val="21"/>
                <w:lang w:val="en-US" w:eastAsia="zh-CN"/>
              </w:rPr>
              <w:t>在线硬度分析仪</w:t>
            </w:r>
          </w:p>
        </w:tc>
        <w:tc>
          <w:tcPr>
            <w:tcW w:w="2456" w:type="pct"/>
            <w:vAlign w:val="center"/>
          </w:tcPr>
          <w:p w14:paraId="12192C76">
            <w:pPr>
              <w:spacing w:line="240" w:lineRule="auto"/>
              <w:ind w:firstLine="0" w:firstLineChars="0"/>
              <w:rPr>
                <w:rFonts w:hint="eastAsia"/>
                <w:sz w:val="21"/>
                <w:szCs w:val="21"/>
              </w:rPr>
            </w:pPr>
            <w:r>
              <w:rPr>
                <w:sz w:val="21"/>
                <w:szCs w:val="21"/>
              </w:rPr>
              <w:t>原理</w:t>
            </w:r>
            <w:r>
              <w:rPr>
                <w:rFonts w:hint="eastAsia"/>
                <w:sz w:val="21"/>
                <w:szCs w:val="21"/>
              </w:rPr>
              <w:t>：比色滴定</w:t>
            </w:r>
          </w:p>
          <w:p w14:paraId="5FC72F6C">
            <w:pPr>
              <w:spacing w:line="240" w:lineRule="auto"/>
              <w:ind w:firstLine="0" w:firstLineChars="0"/>
              <w:rPr>
                <w:rFonts w:hint="eastAsia"/>
                <w:sz w:val="21"/>
                <w:szCs w:val="21"/>
              </w:rPr>
            </w:pPr>
            <w:r>
              <w:rPr>
                <w:sz w:val="21"/>
                <w:szCs w:val="21"/>
              </w:rPr>
              <w:t>量程</w:t>
            </w:r>
            <w:r>
              <w:rPr>
                <w:rFonts w:hint="eastAsia"/>
                <w:sz w:val="21"/>
                <w:szCs w:val="21"/>
              </w:rPr>
              <w:t>：50～500ppm</w:t>
            </w:r>
          </w:p>
          <w:p w14:paraId="43F37EC9">
            <w:pPr>
              <w:spacing w:line="240" w:lineRule="auto"/>
              <w:ind w:firstLine="0" w:firstLineChars="0"/>
              <w:jc w:val="both"/>
              <w:rPr>
                <w:rFonts w:hint="eastAsia"/>
                <w:sz w:val="21"/>
                <w:szCs w:val="21"/>
              </w:rPr>
            </w:pPr>
            <w:r>
              <w:rPr>
                <w:sz w:val="21"/>
                <w:szCs w:val="21"/>
              </w:rPr>
              <w:t>精度</w:t>
            </w:r>
            <w:r>
              <w:rPr>
                <w:rFonts w:hint="eastAsia"/>
                <w:sz w:val="21"/>
                <w:szCs w:val="21"/>
              </w:rPr>
              <w:t>：上限值的</w:t>
            </w:r>
            <w:r>
              <w:rPr>
                <w:rFonts w:hint="eastAsia"/>
                <w:sz w:val="21"/>
                <w:szCs w:val="21"/>
                <w:lang w:val="en-US" w:eastAsia="zh-CN"/>
              </w:rPr>
              <w:t>±</w:t>
            </w:r>
            <w:r>
              <w:rPr>
                <w:rFonts w:hint="eastAsia"/>
                <w:sz w:val="21"/>
                <w:szCs w:val="21"/>
              </w:rPr>
              <w:t>5%</w:t>
            </w:r>
          </w:p>
        </w:tc>
        <w:tc>
          <w:tcPr>
            <w:tcW w:w="1616" w:type="pct"/>
            <w:vAlign w:val="center"/>
          </w:tcPr>
          <w:p w14:paraId="2BC408CB">
            <w:pPr>
              <w:spacing w:line="240" w:lineRule="auto"/>
              <w:ind w:firstLine="0" w:firstLineChars="0"/>
              <w:jc w:val="center"/>
              <w:rPr>
                <w:rFonts w:hint="eastAsia"/>
                <w:sz w:val="21"/>
                <w:szCs w:val="21"/>
              </w:rPr>
            </w:pPr>
            <w:r>
              <w:rPr>
                <w:rFonts w:ascii="HarmonyOS Sans" w:hAnsi="HarmonyOS Sans"/>
                <w:lang w:val="en-GB"/>
              </w:rPr>
              <w:drawing>
                <wp:inline distT="0" distB="0" distL="0" distR="0">
                  <wp:extent cx="878840" cy="1070610"/>
                  <wp:effectExtent l="0" t="0" r="65405" b="41275"/>
                  <wp:docPr id="44"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78840" cy="1070610"/>
                          </a:xfrm>
                          <a:prstGeom prst="rect">
                            <a:avLst/>
                          </a:prstGeom>
                          <a:effectLst>
                            <a:outerShdw blurRad="50800" dist="38100" dir="2700000" algn="tl" rotWithShape="0">
                              <a:prstClr val="black">
                                <a:alpha val="40000"/>
                              </a:prstClr>
                            </a:outerShdw>
                          </a:effectLst>
                        </pic:spPr>
                      </pic:pic>
                    </a:graphicData>
                  </a:graphic>
                </wp:inline>
              </w:drawing>
            </w:r>
          </w:p>
        </w:tc>
      </w:tr>
      <w:tr w14:paraId="4C7C54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68" w:hRule="atLeast"/>
        </w:trPr>
        <w:tc>
          <w:tcPr>
            <w:tcW w:w="927" w:type="pct"/>
            <w:vAlign w:val="center"/>
          </w:tcPr>
          <w:p w14:paraId="681B4BA6">
            <w:pPr>
              <w:spacing w:line="240" w:lineRule="auto"/>
              <w:ind w:firstLine="0" w:firstLineChars="0"/>
              <w:jc w:val="center"/>
              <w:rPr>
                <w:rFonts w:hint="eastAsia"/>
                <w:sz w:val="21"/>
                <w:szCs w:val="21"/>
              </w:rPr>
            </w:pPr>
            <w:r>
              <w:rPr>
                <w:rFonts w:hint="eastAsia"/>
                <w:sz w:val="21"/>
                <w:szCs w:val="21"/>
              </w:rPr>
              <w:t>在线氨氮传感器</w:t>
            </w:r>
          </w:p>
        </w:tc>
        <w:tc>
          <w:tcPr>
            <w:tcW w:w="2456" w:type="pct"/>
            <w:vAlign w:val="center"/>
          </w:tcPr>
          <w:p w14:paraId="3FB5220D">
            <w:pPr>
              <w:spacing w:line="240" w:lineRule="auto"/>
              <w:ind w:firstLine="0" w:firstLineChars="0"/>
              <w:rPr>
                <w:rFonts w:hint="eastAsia"/>
                <w:sz w:val="21"/>
                <w:szCs w:val="21"/>
              </w:rPr>
            </w:pPr>
            <w:r>
              <w:rPr>
                <w:sz w:val="21"/>
                <w:szCs w:val="21"/>
              </w:rPr>
              <w:t>原理</w:t>
            </w:r>
            <w:r>
              <w:rPr>
                <w:rFonts w:hint="eastAsia"/>
                <w:sz w:val="21"/>
                <w:szCs w:val="21"/>
              </w:rPr>
              <w:t>：离子选择电极法</w:t>
            </w:r>
          </w:p>
          <w:p w14:paraId="3F03E926">
            <w:pPr>
              <w:spacing w:line="240" w:lineRule="auto"/>
              <w:ind w:firstLine="0" w:firstLineChars="0"/>
              <w:rPr>
                <w:rFonts w:hint="eastAsia"/>
                <w:sz w:val="21"/>
                <w:szCs w:val="21"/>
              </w:rPr>
            </w:pPr>
            <w:r>
              <w:rPr>
                <w:sz w:val="21"/>
                <w:szCs w:val="21"/>
              </w:rPr>
              <w:t>量程</w:t>
            </w:r>
            <w:r>
              <w:rPr>
                <w:rFonts w:hint="eastAsia"/>
                <w:sz w:val="21"/>
                <w:szCs w:val="21"/>
              </w:rPr>
              <w:t>：0～100.00 mg/L</w:t>
            </w:r>
          </w:p>
          <w:p w14:paraId="7BA0E548">
            <w:pPr>
              <w:spacing w:line="240" w:lineRule="auto"/>
              <w:ind w:firstLine="0" w:firstLineChars="0"/>
              <w:rPr>
                <w:rFonts w:hint="eastAsia"/>
                <w:sz w:val="21"/>
                <w:szCs w:val="21"/>
              </w:rPr>
            </w:pPr>
            <w:r>
              <w:rPr>
                <w:sz w:val="21"/>
                <w:szCs w:val="21"/>
              </w:rPr>
              <w:t>精度</w:t>
            </w:r>
            <w:r>
              <w:rPr>
                <w:rFonts w:hint="eastAsia"/>
                <w:sz w:val="21"/>
                <w:szCs w:val="21"/>
              </w:rPr>
              <w:t>：读数的±10%或±1 mg/L 以大者为准</w:t>
            </w:r>
          </w:p>
        </w:tc>
        <w:tc>
          <w:tcPr>
            <w:tcW w:w="1616" w:type="pct"/>
            <w:vAlign w:val="center"/>
          </w:tcPr>
          <w:p w14:paraId="6524B68E">
            <w:pPr>
              <w:spacing w:line="240" w:lineRule="auto"/>
              <w:ind w:firstLine="0" w:firstLineChars="0"/>
              <w:jc w:val="center"/>
              <w:rPr>
                <w:rFonts w:hint="eastAsia"/>
              </w:rPr>
            </w:pPr>
            <w:r>
              <w:rPr>
                <w:rFonts w:hint="eastAsia" w:eastAsiaTheme="minorEastAsia"/>
                <w:lang w:eastAsia="zh-CN"/>
              </w:rPr>
              <w:drawing>
                <wp:inline distT="0" distB="0" distL="114300" distR="114300">
                  <wp:extent cx="392430" cy="1581785"/>
                  <wp:effectExtent l="0" t="200025" r="0" b="306705"/>
                  <wp:docPr id="45" name="图片 45" descr="E:/新建文件夹 (9)/mmexport1716363568522.pngmmexport1716363568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E:/新建文件夹 (9)/mmexport1716363568522.pngmmexport1716363568522"/>
                          <pic:cNvPicPr>
                            <a:picLocks noChangeAspect="1"/>
                          </pic:cNvPicPr>
                        </pic:nvPicPr>
                        <pic:blipFill>
                          <a:blip r:embed="rId31"/>
                          <a:srcRect l="33411" r="33411"/>
                          <a:stretch>
                            <a:fillRect/>
                          </a:stretch>
                        </pic:blipFill>
                        <pic:spPr>
                          <a:xfrm rot="3240000">
                            <a:off x="0" y="0"/>
                            <a:ext cx="392430" cy="1581785"/>
                          </a:xfrm>
                          <a:prstGeom prst="rect">
                            <a:avLst/>
                          </a:prstGeom>
                        </pic:spPr>
                      </pic:pic>
                    </a:graphicData>
                  </a:graphic>
                </wp:inline>
              </w:drawing>
            </w:r>
          </w:p>
        </w:tc>
      </w:tr>
      <w:tr w14:paraId="6550C2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927" w:type="pct"/>
            <w:vAlign w:val="center"/>
          </w:tcPr>
          <w:p w14:paraId="44FE783E">
            <w:pPr>
              <w:spacing w:line="240" w:lineRule="auto"/>
              <w:ind w:firstLine="0" w:firstLineChars="0"/>
              <w:jc w:val="center"/>
              <w:rPr>
                <w:rFonts w:hint="eastAsia"/>
                <w:sz w:val="21"/>
                <w:szCs w:val="21"/>
              </w:rPr>
            </w:pPr>
            <w:r>
              <w:rPr>
                <w:rFonts w:hint="eastAsia"/>
                <w:sz w:val="21"/>
                <w:szCs w:val="21"/>
              </w:rPr>
              <w:t>在线氨氮分析仪</w:t>
            </w:r>
          </w:p>
        </w:tc>
        <w:tc>
          <w:tcPr>
            <w:tcW w:w="2456" w:type="pct"/>
            <w:vAlign w:val="center"/>
          </w:tcPr>
          <w:p w14:paraId="4ED34CF4">
            <w:pPr>
              <w:spacing w:line="240" w:lineRule="auto"/>
              <w:ind w:firstLine="0" w:firstLineChars="0"/>
              <w:rPr>
                <w:rFonts w:hint="eastAsia"/>
                <w:sz w:val="21"/>
                <w:szCs w:val="21"/>
              </w:rPr>
            </w:pPr>
            <w:r>
              <w:rPr>
                <w:sz w:val="21"/>
                <w:szCs w:val="21"/>
              </w:rPr>
              <w:t>原理</w:t>
            </w:r>
            <w:r>
              <w:rPr>
                <w:rFonts w:hint="eastAsia"/>
                <w:sz w:val="21"/>
                <w:szCs w:val="21"/>
              </w:rPr>
              <w:t>：水杨酸分光光度法</w:t>
            </w:r>
          </w:p>
          <w:p w14:paraId="4AD4C5B4">
            <w:pPr>
              <w:spacing w:line="240" w:lineRule="auto"/>
              <w:ind w:firstLine="0" w:firstLineChars="0"/>
              <w:rPr>
                <w:rFonts w:hint="eastAsia"/>
                <w:sz w:val="21"/>
                <w:szCs w:val="21"/>
              </w:rPr>
            </w:pPr>
            <w:r>
              <w:rPr>
                <w:sz w:val="21"/>
                <w:szCs w:val="21"/>
              </w:rPr>
              <w:t>量程</w:t>
            </w:r>
            <w:r>
              <w:rPr>
                <w:rFonts w:hint="eastAsia"/>
                <w:sz w:val="21"/>
                <w:szCs w:val="21"/>
              </w:rPr>
              <w:t>：0～150.00mg/L</w:t>
            </w:r>
          </w:p>
          <w:p w14:paraId="096F1E25">
            <w:pPr>
              <w:spacing w:line="240" w:lineRule="auto"/>
              <w:ind w:firstLine="0" w:firstLineChars="0"/>
              <w:rPr>
                <w:rFonts w:hint="eastAsia"/>
                <w:sz w:val="21"/>
                <w:szCs w:val="21"/>
              </w:rPr>
            </w:pPr>
            <w:r>
              <w:rPr>
                <w:sz w:val="21"/>
                <w:szCs w:val="21"/>
              </w:rPr>
              <w:t>精度</w:t>
            </w:r>
            <w:r>
              <w:rPr>
                <w:rFonts w:hint="eastAsia"/>
                <w:sz w:val="21"/>
                <w:szCs w:val="21"/>
              </w:rPr>
              <w:t>： 浓度＜2mg/L，±0.2mg/L；浓度≥2mg/L，≤10%</w:t>
            </w:r>
          </w:p>
        </w:tc>
        <w:tc>
          <w:tcPr>
            <w:tcW w:w="1616" w:type="pct"/>
            <w:vAlign w:val="center"/>
          </w:tcPr>
          <w:p w14:paraId="194DF092">
            <w:pPr>
              <w:spacing w:line="240" w:lineRule="auto"/>
              <w:ind w:firstLine="0" w:firstLineChars="0"/>
              <w:jc w:val="center"/>
              <w:rPr>
                <w:rFonts w:hint="eastAsia"/>
              </w:rPr>
            </w:pPr>
            <w:r>
              <w:drawing>
                <wp:inline distT="0" distB="0" distL="114300" distR="114300">
                  <wp:extent cx="737235" cy="1314450"/>
                  <wp:effectExtent l="0" t="0" r="9525" b="11430"/>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24"/>
                          <a:stretch>
                            <a:fillRect/>
                          </a:stretch>
                        </pic:blipFill>
                        <pic:spPr>
                          <a:xfrm>
                            <a:off x="0" y="0"/>
                            <a:ext cx="737235" cy="1314450"/>
                          </a:xfrm>
                          <a:prstGeom prst="rect">
                            <a:avLst/>
                          </a:prstGeom>
                          <a:noFill/>
                          <a:ln>
                            <a:noFill/>
                          </a:ln>
                        </pic:spPr>
                      </pic:pic>
                    </a:graphicData>
                  </a:graphic>
                </wp:inline>
              </w:drawing>
            </w:r>
          </w:p>
        </w:tc>
      </w:tr>
      <w:tr w14:paraId="2DE935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0" w:hRule="atLeast"/>
        </w:trPr>
        <w:tc>
          <w:tcPr>
            <w:tcW w:w="927" w:type="pct"/>
            <w:vAlign w:val="center"/>
          </w:tcPr>
          <w:p w14:paraId="0D6A4B38">
            <w:pPr>
              <w:spacing w:line="240" w:lineRule="auto"/>
              <w:ind w:firstLine="0" w:firstLineChars="0"/>
              <w:jc w:val="center"/>
              <w:rPr>
                <w:rFonts w:hint="eastAsia"/>
                <w:sz w:val="21"/>
                <w:szCs w:val="21"/>
              </w:rPr>
            </w:pPr>
            <w:r>
              <w:rPr>
                <w:rFonts w:hint="eastAsia" w:cs="宋体"/>
                <w:i w:val="0"/>
                <w:iCs w:val="0"/>
                <w:color w:val="000000"/>
                <w:kern w:val="0"/>
                <w:sz w:val="21"/>
                <w:szCs w:val="21"/>
                <w:u w:val="none"/>
                <w:lang w:val="en-US" w:eastAsia="zh-CN" w:bidi="ar"/>
              </w:rPr>
              <w:t>在线光学硝氮传感器</w:t>
            </w:r>
          </w:p>
        </w:tc>
        <w:tc>
          <w:tcPr>
            <w:tcW w:w="2456" w:type="pct"/>
            <w:vAlign w:val="center"/>
          </w:tcPr>
          <w:p w14:paraId="44A6D12C">
            <w:pPr>
              <w:spacing w:line="240" w:lineRule="auto"/>
              <w:ind w:firstLine="0" w:firstLineChars="0"/>
              <w:jc w:val="left"/>
              <w:rPr>
                <w:rFonts w:hint="eastAsia"/>
                <w:sz w:val="21"/>
                <w:szCs w:val="21"/>
              </w:rPr>
            </w:pPr>
            <w:r>
              <w:rPr>
                <w:sz w:val="21"/>
                <w:szCs w:val="21"/>
              </w:rPr>
              <w:t>原理：</w:t>
            </w:r>
            <w:r>
              <w:rPr>
                <w:rFonts w:hint="eastAsia"/>
                <w:sz w:val="21"/>
                <w:szCs w:val="21"/>
              </w:rPr>
              <w:t>双波长紫外吸收法</w:t>
            </w:r>
          </w:p>
          <w:p w14:paraId="12F52A71">
            <w:pPr>
              <w:spacing w:line="240" w:lineRule="auto"/>
              <w:ind w:firstLine="0" w:firstLineChars="0"/>
              <w:jc w:val="left"/>
              <w:rPr>
                <w:rFonts w:hint="eastAsia"/>
                <w:sz w:val="21"/>
                <w:szCs w:val="21"/>
              </w:rPr>
            </w:pPr>
            <w:r>
              <w:rPr>
                <w:sz w:val="21"/>
                <w:szCs w:val="21"/>
              </w:rPr>
              <w:t>量程：</w:t>
            </w:r>
            <w:r>
              <w:rPr>
                <w:rFonts w:hint="eastAsia"/>
                <w:sz w:val="21"/>
                <w:szCs w:val="21"/>
              </w:rPr>
              <w:t>0～20.0 mg/L</w:t>
            </w:r>
          </w:p>
          <w:p w14:paraId="22B58709">
            <w:pPr>
              <w:spacing w:line="240" w:lineRule="auto"/>
              <w:ind w:firstLine="0" w:firstLineChars="0"/>
              <w:rPr>
                <w:sz w:val="21"/>
                <w:szCs w:val="21"/>
              </w:rPr>
            </w:pPr>
            <w:r>
              <w:rPr>
                <w:sz w:val="21"/>
                <w:szCs w:val="21"/>
              </w:rPr>
              <w:t>精度</w:t>
            </w:r>
            <w:r>
              <w:rPr>
                <w:rFonts w:hint="eastAsia"/>
                <w:sz w:val="21"/>
                <w:szCs w:val="21"/>
              </w:rPr>
              <w:t>：读数的±5%</w:t>
            </w:r>
          </w:p>
        </w:tc>
        <w:tc>
          <w:tcPr>
            <w:tcW w:w="1616" w:type="pct"/>
            <w:vAlign w:val="center"/>
          </w:tcPr>
          <w:p w14:paraId="5F892EF6">
            <w:pPr>
              <w:spacing w:line="240" w:lineRule="auto"/>
              <w:ind w:firstLine="0" w:firstLineChars="0"/>
              <w:jc w:val="center"/>
            </w:pPr>
            <w:r>
              <w:rPr>
                <w:rFonts w:hint="eastAsia" w:ascii="Times New Roman" w:hAnsi="Times New Roman"/>
              </w:rPr>
              <w:drawing>
                <wp:inline distT="0" distB="0" distL="114300" distR="114300">
                  <wp:extent cx="192405" cy="1195705"/>
                  <wp:effectExtent l="0" t="294640" r="0" b="351155"/>
                  <wp:docPr id="1" name="图片 1" descr="lQLPDhsUQbx-RArNCMLNAWuwbhGOLd90K5cB8dyl7UBnAA_363_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QLPDhsUQbx-RArNCMLNAWuwbhGOLd90K5cB8dyl7UBnAA_363_2242"/>
                          <pic:cNvPicPr>
                            <a:picLocks noChangeAspect="1"/>
                          </pic:cNvPicPr>
                        </pic:nvPicPr>
                        <pic:blipFill>
                          <a:blip r:embed="rId32"/>
                          <a:stretch>
                            <a:fillRect/>
                          </a:stretch>
                        </pic:blipFill>
                        <pic:spPr>
                          <a:xfrm rot="3180000" flipH="1">
                            <a:off x="0" y="0"/>
                            <a:ext cx="192405" cy="1195705"/>
                          </a:xfrm>
                          <a:prstGeom prst="rect">
                            <a:avLst/>
                          </a:prstGeom>
                          <a:noFill/>
                          <a:ln>
                            <a:noFill/>
                          </a:ln>
                        </pic:spPr>
                      </pic:pic>
                    </a:graphicData>
                  </a:graphic>
                </wp:inline>
              </w:drawing>
            </w:r>
          </w:p>
        </w:tc>
      </w:tr>
      <w:tr w14:paraId="1548AA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8" w:hRule="atLeast"/>
        </w:trPr>
        <w:tc>
          <w:tcPr>
            <w:tcW w:w="927" w:type="pct"/>
            <w:vAlign w:val="center"/>
          </w:tcPr>
          <w:p w14:paraId="58BEE60F">
            <w:pPr>
              <w:spacing w:line="240" w:lineRule="auto"/>
              <w:ind w:firstLine="0" w:firstLineChars="0"/>
              <w:jc w:val="center"/>
              <w:rPr>
                <w:rFonts w:hint="eastAsia"/>
                <w:sz w:val="21"/>
                <w:szCs w:val="21"/>
              </w:rPr>
            </w:pPr>
            <w:r>
              <w:rPr>
                <w:rFonts w:hint="eastAsia"/>
                <w:sz w:val="21"/>
                <w:szCs w:val="21"/>
              </w:rPr>
              <w:t>在线高锰酸盐指数分析仪</w:t>
            </w:r>
          </w:p>
        </w:tc>
        <w:tc>
          <w:tcPr>
            <w:tcW w:w="2456" w:type="pct"/>
            <w:vAlign w:val="center"/>
          </w:tcPr>
          <w:p w14:paraId="02D5F1E9">
            <w:pPr>
              <w:spacing w:line="240" w:lineRule="auto"/>
              <w:ind w:firstLine="0" w:firstLineChars="0"/>
              <w:rPr>
                <w:rFonts w:hint="eastAsia"/>
                <w:sz w:val="21"/>
                <w:szCs w:val="21"/>
              </w:rPr>
            </w:pPr>
            <w:r>
              <w:rPr>
                <w:sz w:val="21"/>
                <w:szCs w:val="21"/>
              </w:rPr>
              <w:t>原理</w:t>
            </w:r>
            <w:r>
              <w:rPr>
                <w:rFonts w:hint="eastAsia"/>
                <w:sz w:val="21"/>
                <w:szCs w:val="21"/>
              </w:rPr>
              <w:t>：高锰酸钾氧化法</w:t>
            </w:r>
          </w:p>
          <w:p w14:paraId="1BB3884C">
            <w:pPr>
              <w:spacing w:line="240" w:lineRule="auto"/>
              <w:ind w:firstLine="0" w:firstLineChars="0"/>
              <w:rPr>
                <w:rFonts w:hint="eastAsia"/>
                <w:sz w:val="21"/>
                <w:szCs w:val="21"/>
              </w:rPr>
            </w:pPr>
            <w:r>
              <w:rPr>
                <w:sz w:val="21"/>
                <w:szCs w:val="21"/>
              </w:rPr>
              <w:t>量程</w:t>
            </w:r>
            <w:r>
              <w:rPr>
                <w:rFonts w:hint="eastAsia"/>
                <w:sz w:val="21"/>
                <w:szCs w:val="21"/>
              </w:rPr>
              <w:t>：0.0～20.00mg/L</w:t>
            </w:r>
          </w:p>
          <w:p w14:paraId="2388C905">
            <w:pPr>
              <w:spacing w:line="240" w:lineRule="auto"/>
              <w:ind w:firstLine="0" w:firstLineChars="0"/>
              <w:rPr>
                <w:rFonts w:hint="eastAsia"/>
                <w:sz w:val="21"/>
                <w:szCs w:val="21"/>
              </w:rPr>
            </w:pPr>
            <w:r>
              <w:rPr>
                <w:sz w:val="21"/>
                <w:szCs w:val="21"/>
              </w:rPr>
              <w:t>精度</w:t>
            </w:r>
            <w:r>
              <w:rPr>
                <w:rFonts w:hint="eastAsia"/>
                <w:sz w:val="21"/>
                <w:szCs w:val="21"/>
              </w:rPr>
              <w:t>：±10%</w:t>
            </w:r>
          </w:p>
        </w:tc>
        <w:tc>
          <w:tcPr>
            <w:tcW w:w="1616" w:type="pct"/>
            <w:vAlign w:val="center"/>
          </w:tcPr>
          <w:p w14:paraId="4332F75E">
            <w:pPr>
              <w:spacing w:line="240" w:lineRule="auto"/>
              <w:ind w:firstLine="0" w:firstLineChars="0"/>
              <w:jc w:val="center"/>
              <w:rPr>
                <w:rFonts w:hint="eastAsia"/>
              </w:rPr>
            </w:pPr>
            <w:r>
              <w:drawing>
                <wp:inline distT="0" distB="0" distL="114300" distR="114300">
                  <wp:extent cx="737235" cy="1314450"/>
                  <wp:effectExtent l="0" t="0" r="9525" b="1143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24"/>
                          <a:stretch>
                            <a:fillRect/>
                          </a:stretch>
                        </pic:blipFill>
                        <pic:spPr>
                          <a:xfrm>
                            <a:off x="0" y="0"/>
                            <a:ext cx="737235" cy="1314450"/>
                          </a:xfrm>
                          <a:prstGeom prst="rect">
                            <a:avLst/>
                          </a:prstGeom>
                          <a:noFill/>
                          <a:ln>
                            <a:noFill/>
                          </a:ln>
                        </pic:spPr>
                      </pic:pic>
                    </a:graphicData>
                  </a:graphic>
                </wp:inline>
              </w:drawing>
            </w:r>
          </w:p>
        </w:tc>
      </w:tr>
      <w:tr w14:paraId="52B3E4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4" w:hRule="atLeast"/>
        </w:trPr>
        <w:tc>
          <w:tcPr>
            <w:tcW w:w="927" w:type="pct"/>
            <w:vAlign w:val="center"/>
          </w:tcPr>
          <w:p w14:paraId="76D5CED7">
            <w:pPr>
              <w:spacing w:line="240" w:lineRule="auto"/>
              <w:ind w:firstLine="0" w:firstLineChars="0"/>
              <w:jc w:val="center"/>
              <w:rPr>
                <w:rFonts w:hint="eastAsia"/>
                <w:sz w:val="21"/>
                <w:szCs w:val="21"/>
              </w:rPr>
            </w:pPr>
            <w:r>
              <w:rPr>
                <w:rFonts w:hint="eastAsia"/>
                <w:sz w:val="21"/>
                <w:szCs w:val="21"/>
              </w:rPr>
              <w:t>在线余氯传感器</w:t>
            </w:r>
          </w:p>
        </w:tc>
        <w:tc>
          <w:tcPr>
            <w:tcW w:w="2456" w:type="pct"/>
            <w:shd w:val="clear" w:color="auto" w:fill="auto"/>
            <w:vAlign w:val="center"/>
          </w:tcPr>
          <w:p w14:paraId="29DE43C5">
            <w:pPr>
              <w:spacing w:line="240" w:lineRule="auto"/>
              <w:ind w:firstLine="0" w:firstLineChars="0"/>
              <w:jc w:val="left"/>
              <w:rPr>
                <w:rFonts w:hint="eastAsia"/>
                <w:sz w:val="21"/>
                <w:szCs w:val="21"/>
              </w:rPr>
            </w:pPr>
            <w:r>
              <w:rPr>
                <w:sz w:val="21"/>
                <w:szCs w:val="21"/>
              </w:rPr>
              <w:t>原理：恒压法</w:t>
            </w:r>
          </w:p>
          <w:p w14:paraId="2AA472A7">
            <w:pPr>
              <w:spacing w:line="240" w:lineRule="auto"/>
              <w:ind w:firstLine="0" w:firstLineChars="0"/>
              <w:jc w:val="left"/>
              <w:rPr>
                <w:rFonts w:hint="eastAsia"/>
                <w:sz w:val="21"/>
                <w:szCs w:val="21"/>
              </w:rPr>
            </w:pPr>
            <w:r>
              <w:rPr>
                <w:sz w:val="21"/>
                <w:szCs w:val="21"/>
              </w:rPr>
              <w:t>量程：0～2.000mg/L</w:t>
            </w:r>
          </w:p>
          <w:p w14:paraId="48B92D65">
            <w:pPr>
              <w:spacing w:line="240" w:lineRule="auto"/>
              <w:ind w:firstLine="0" w:firstLineChars="0"/>
              <w:jc w:val="left"/>
              <w:rPr>
                <w:rFonts w:hint="eastAsia" w:ascii="宋体" w:hAnsi="宋体" w:eastAsia="宋体" w:cs="宋体"/>
                <w:kern w:val="2"/>
                <w:sz w:val="21"/>
                <w:szCs w:val="21"/>
                <w:lang w:val="en-US" w:eastAsia="zh-CN" w:bidi="ar-SA"/>
              </w:rPr>
            </w:pPr>
            <w:r>
              <w:rPr>
                <w:sz w:val="21"/>
                <w:szCs w:val="21"/>
              </w:rPr>
              <w:t>精度</w:t>
            </w:r>
            <w:r>
              <w:rPr>
                <w:rFonts w:hint="eastAsia"/>
                <w:sz w:val="21"/>
                <w:szCs w:val="21"/>
              </w:rPr>
              <w:t>：</w:t>
            </w:r>
            <w:r>
              <w:rPr>
                <w:sz w:val="21"/>
                <w:szCs w:val="21"/>
              </w:rPr>
              <w:t>读数的±5%/±0.05mg/L</w:t>
            </w:r>
          </w:p>
        </w:tc>
        <w:tc>
          <w:tcPr>
            <w:tcW w:w="1616" w:type="pct"/>
            <w:shd w:val="clear" w:color="auto" w:fill="auto"/>
            <w:vAlign w:val="center"/>
          </w:tcPr>
          <w:p w14:paraId="769C4A90">
            <w:pPr>
              <w:spacing w:line="240" w:lineRule="auto"/>
              <w:ind w:firstLine="0" w:firstLineChars="0"/>
              <w:jc w:val="center"/>
              <w:rPr>
                <w:rFonts w:hint="eastAsia" w:ascii="宋体" w:hAnsi="宋体" w:eastAsia="宋体" w:cs="宋体"/>
                <w:kern w:val="2"/>
                <w:sz w:val="24"/>
                <w:szCs w:val="24"/>
                <w:lang w:val="en-US" w:eastAsia="zh-CN" w:bidi="ar-SA"/>
              </w:rPr>
            </w:pPr>
            <w:r>
              <w:rPr>
                <w:rFonts w:cs="Times New Roman"/>
                <w:sz w:val="28"/>
                <w:szCs w:val="28"/>
              </w:rPr>
              <w:drawing>
                <wp:inline distT="0" distB="0" distL="114300" distR="114300">
                  <wp:extent cx="304165" cy="1256665"/>
                  <wp:effectExtent l="0" t="291465" r="0" b="303530"/>
                  <wp:docPr id="42" name="图片 42" descr="64c5201a486764d6471562335dbe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64c5201a486764d6471562335dbe0151"/>
                          <pic:cNvPicPr>
                            <a:picLocks noChangeAspect="1"/>
                          </pic:cNvPicPr>
                        </pic:nvPicPr>
                        <pic:blipFill>
                          <a:blip r:embed="rId33"/>
                          <a:stretch>
                            <a:fillRect/>
                          </a:stretch>
                        </pic:blipFill>
                        <pic:spPr>
                          <a:xfrm rot="3000000">
                            <a:off x="0" y="0"/>
                            <a:ext cx="304165" cy="1256665"/>
                          </a:xfrm>
                          <a:prstGeom prst="rect">
                            <a:avLst/>
                          </a:prstGeom>
                        </pic:spPr>
                      </pic:pic>
                    </a:graphicData>
                  </a:graphic>
                </wp:inline>
              </w:drawing>
            </w:r>
          </w:p>
        </w:tc>
      </w:tr>
      <w:tr w14:paraId="6ED62E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927" w:type="pct"/>
            <w:vAlign w:val="center"/>
          </w:tcPr>
          <w:p w14:paraId="41991BF4">
            <w:pPr>
              <w:spacing w:line="240" w:lineRule="auto"/>
              <w:ind w:firstLine="0" w:firstLineChars="0"/>
              <w:jc w:val="center"/>
              <w:rPr>
                <w:rFonts w:hint="eastAsia"/>
                <w:sz w:val="21"/>
                <w:szCs w:val="21"/>
              </w:rPr>
            </w:pPr>
            <w:r>
              <w:rPr>
                <w:rFonts w:hint="eastAsia"/>
                <w:sz w:val="21"/>
                <w:szCs w:val="21"/>
              </w:rPr>
              <w:t>在线余氯分析仪</w:t>
            </w:r>
          </w:p>
        </w:tc>
        <w:tc>
          <w:tcPr>
            <w:tcW w:w="2456" w:type="pct"/>
            <w:vAlign w:val="center"/>
          </w:tcPr>
          <w:p w14:paraId="09CBFB01">
            <w:pPr>
              <w:spacing w:line="240" w:lineRule="auto"/>
              <w:ind w:firstLine="0" w:firstLineChars="0"/>
              <w:rPr>
                <w:rFonts w:hint="eastAsia"/>
                <w:sz w:val="21"/>
                <w:szCs w:val="21"/>
              </w:rPr>
            </w:pPr>
            <w:r>
              <w:rPr>
                <w:sz w:val="21"/>
                <w:szCs w:val="21"/>
              </w:rPr>
              <w:t>原理</w:t>
            </w:r>
            <w:r>
              <w:rPr>
                <w:rFonts w:hint="eastAsia"/>
                <w:sz w:val="21"/>
                <w:szCs w:val="21"/>
              </w:rPr>
              <w:t>：</w:t>
            </w:r>
            <w:r>
              <w:rPr>
                <w:rFonts w:hint="eastAsia"/>
                <w:sz w:val="21"/>
                <w:szCs w:val="21"/>
                <w:lang w:val="en-US" w:eastAsia="zh-CN"/>
              </w:rPr>
              <w:t>DPD</w:t>
            </w:r>
            <w:r>
              <w:rPr>
                <w:rFonts w:hint="eastAsia"/>
                <w:sz w:val="21"/>
                <w:szCs w:val="21"/>
              </w:rPr>
              <w:t>吸光度法</w:t>
            </w:r>
          </w:p>
          <w:p w14:paraId="251265D9">
            <w:pPr>
              <w:spacing w:line="240" w:lineRule="auto"/>
              <w:ind w:firstLine="0" w:firstLineChars="0"/>
              <w:rPr>
                <w:rFonts w:hint="eastAsia"/>
                <w:sz w:val="21"/>
                <w:szCs w:val="21"/>
              </w:rPr>
            </w:pPr>
            <w:r>
              <w:rPr>
                <w:sz w:val="21"/>
                <w:szCs w:val="21"/>
              </w:rPr>
              <w:t>量程</w:t>
            </w:r>
            <w:r>
              <w:rPr>
                <w:rFonts w:hint="eastAsia"/>
                <w:sz w:val="21"/>
                <w:szCs w:val="21"/>
              </w:rPr>
              <w:t>：0-5.000mg/L</w:t>
            </w:r>
          </w:p>
          <w:p w14:paraId="2DE10546">
            <w:pPr>
              <w:spacing w:line="240" w:lineRule="auto"/>
              <w:ind w:firstLine="0" w:firstLineChars="0"/>
              <w:rPr>
                <w:rFonts w:hint="eastAsia"/>
                <w:sz w:val="21"/>
                <w:szCs w:val="21"/>
              </w:rPr>
            </w:pPr>
            <w:r>
              <w:rPr>
                <w:sz w:val="21"/>
                <w:szCs w:val="21"/>
              </w:rPr>
              <w:t>精度</w:t>
            </w:r>
            <w:r>
              <w:rPr>
                <w:rFonts w:hint="eastAsia"/>
                <w:sz w:val="21"/>
                <w:szCs w:val="21"/>
              </w:rPr>
              <w:t>：±0.1 mg/L</w:t>
            </w:r>
          </w:p>
        </w:tc>
        <w:tc>
          <w:tcPr>
            <w:tcW w:w="1616" w:type="pct"/>
            <w:vAlign w:val="center"/>
          </w:tcPr>
          <w:p w14:paraId="1088A90F">
            <w:pPr>
              <w:spacing w:line="240" w:lineRule="auto"/>
              <w:ind w:firstLine="0" w:firstLineChars="0"/>
              <w:jc w:val="center"/>
              <w:rPr>
                <w:rFonts w:hint="eastAsia"/>
              </w:rPr>
            </w:pPr>
            <w:r>
              <w:rPr>
                <w:rFonts w:hint="eastAsia" w:ascii="Times New Roman" w:hAnsi="Times New Roman"/>
                <w:b/>
                <w:sz w:val="28"/>
                <w:szCs w:val="28"/>
              </w:rPr>
              <w:drawing>
                <wp:inline distT="0" distB="0" distL="114300" distR="114300">
                  <wp:extent cx="855980" cy="991870"/>
                  <wp:effectExtent l="0" t="0" r="12700" b="13970"/>
                  <wp:docPr id="48" name="图片 48" descr="IMG_2722.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2722.HEIC"/>
                          <pic:cNvPicPr>
                            <a:picLocks noChangeAspect="1"/>
                          </pic:cNvPicPr>
                        </pic:nvPicPr>
                        <pic:blipFill>
                          <a:blip r:embed="rId34"/>
                          <a:stretch>
                            <a:fillRect/>
                          </a:stretch>
                        </pic:blipFill>
                        <pic:spPr>
                          <a:xfrm>
                            <a:off x="0" y="0"/>
                            <a:ext cx="855980" cy="991870"/>
                          </a:xfrm>
                          <a:prstGeom prst="rect">
                            <a:avLst/>
                          </a:prstGeom>
                        </pic:spPr>
                      </pic:pic>
                    </a:graphicData>
                  </a:graphic>
                </wp:inline>
              </w:drawing>
            </w:r>
          </w:p>
        </w:tc>
      </w:tr>
      <w:tr w14:paraId="6B2483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6" w:hRule="atLeast"/>
        </w:trPr>
        <w:tc>
          <w:tcPr>
            <w:tcW w:w="927" w:type="pct"/>
            <w:shd w:val="clear" w:color="auto" w:fill="auto"/>
            <w:vAlign w:val="center"/>
          </w:tcPr>
          <w:p w14:paraId="44612950">
            <w:pPr>
              <w:spacing w:line="240" w:lineRule="auto"/>
              <w:ind w:firstLine="0" w:firstLineChars="0"/>
              <w:jc w:val="center"/>
              <w:rPr>
                <w:rFonts w:hint="eastAsia" w:ascii="宋体" w:hAnsi="宋体" w:eastAsia="宋体" w:cs="宋体"/>
                <w:kern w:val="2"/>
                <w:sz w:val="21"/>
                <w:szCs w:val="21"/>
                <w:lang w:val="en-US" w:eastAsia="zh-CN" w:bidi="ar-SA"/>
              </w:rPr>
            </w:pPr>
            <w:r>
              <w:rPr>
                <w:rFonts w:hint="eastAsia"/>
                <w:sz w:val="21"/>
                <w:szCs w:val="21"/>
              </w:rPr>
              <w:t>在线二氧化氯传感器</w:t>
            </w:r>
          </w:p>
        </w:tc>
        <w:tc>
          <w:tcPr>
            <w:tcW w:w="2456" w:type="pct"/>
            <w:shd w:val="clear" w:color="auto" w:fill="auto"/>
            <w:vAlign w:val="center"/>
          </w:tcPr>
          <w:p w14:paraId="538B1EE0">
            <w:pPr>
              <w:spacing w:line="240" w:lineRule="auto"/>
              <w:ind w:firstLine="0" w:firstLineChars="0"/>
              <w:rPr>
                <w:rFonts w:hint="eastAsia"/>
                <w:sz w:val="21"/>
                <w:szCs w:val="21"/>
              </w:rPr>
            </w:pPr>
            <w:r>
              <w:rPr>
                <w:sz w:val="21"/>
                <w:szCs w:val="21"/>
              </w:rPr>
              <w:t>原理</w:t>
            </w:r>
            <w:r>
              <w:rPr>
                <w:rFonts w:hint="eastAsia"/>
                <w:sz w:val="21"/>
                <w:szCs w:val="21"/>
              </w:rPr>
              <w:t>：</w:t>
            </w:r>
            <w:r>
              <w:rPr>
                <w:sz w:val="21"/>
                <w:szCs w:val="21"/>
              </w:rPr>
              <w:t>恒压法</w:t>
            </w:r>
          </w:p>
          <w:p w14:paraId="09D961EF">
            <w:pPr>
              <w:spacing w:line="240" w:lineRule="auto"/>
              <w:ind w:firstLine="0" w:firstLineChars="0"/>
              <w:rPr>
                <w:rFonts w:hint="eastAsia"/>
                <w:sz w:val="21"/>
                <w:szCs w:val="21"/>
              </w:rPr>
            </w:pPr>
            <w:r>
              <w:rPr>
                <w:sz w:val="21"/>
                <w:szCs w:val="21"/>
              </w:rPr>
              <w:t>量程</w:t>
            </w:r>
            <w:r>
              <w:rPr>
                <w:rFonts w:hint="eastAsia"/>
                <w:sz w:val="21"/>
                <w:szCs w:val="21"/>
              </w:rPr>
              <w:t>：0-2</w:t>
            </w:r>
            <w:r>
              <w:rPr>
                <w:rFonts w:hint="eastAsia"/>
                <w:sz w:val="21"/>
                <w:szCs w:val="21"/>
                <w:lang w:val="en-US" w:eastAsia="zh-CN"/>
              </w:rPr>
              <w:t>.000</w:t>
            </w:r>
            <w:r>
              <w:rPr>
                <w:rFonts w:hint="eastAsia"/>
                <w:sz w:val="21"/>
                <w:szCs w:val="21"/>
              </w:rPr>
              <w:t>mg/L</w:t>
            </w:r>
          </w:p>
          <w:p w14:paraId="00D67756">
            <w:pPr>
              <w:spacing w:line="240" w:lineRule="auto"/>
              <w:ind w:firstLine="0" w:firstLineChars="0"/>
              <w:rPr>
                <w:rFonts w:hint="eastAsia" w:ascii="宋体" w:hAnsi="宋体" w:eastAsia="宋体" w:cs="宋体"/>
                <w:kern w:val="2"/>
                <w:sz w:val="21"/>
                <w:szCs w:val="21"/>
                <w:lang w:val="en-US" w:eastAsia="zh-CN" w:bidi="ar-SA"/>
              </w:rPr>
            </w:pPr>
            <w:r>
              <w:rPr>
                <w:sz w:val="21"/>
                <w:szCs w:val="21"/>
              </w:rPr>
              <w:t>精度</w:t>
            </w:r>
            <w:r>
              <w:rPr>
                <w:rFonts w:hint="eastAsia"/>
                <w:sz w:val="21"/>
                <w:szCs w:val="21"/>
              </w:rPr>
              <w:t>：</w:t>
            </w:r>
            <w:r>
              <w:rPr>
                <w:sz w:val="21"/>
                <w:szCs w:val="21"/>
              </w:rPr>
              <w:t>读数的±5%/±0.05mg/L</w:t>
            </w:r>
          </w:p>
        </w:tc>
        <w:tc>
          <w:tcPr>
            <w:tcW w:w="1616" w:type="pct"/>
            <w:shd w:val="clear" w:color="auto" w:fill="auto"/>
            <w:vAlign w:val="center"/>
          </w:tcPr>
          <w:p w14:paraId="372AE10C">
            <w:pPr>
              <w:spacing w:line="240" w:lineRule="auto"/>
              <w:ind w:firstLine="0" w:firstLineChars="0"/>
              <w:jc w:val="center"/>
              <w:rPr>
                <w:rFonts w:hint="eastAsia" w:ascii="宋体" w:hAnsi="宋体" w:eastAsia="宋体" w:cs="宋体"/>
                <w:kern w:val="2"/>
                <w:sz w:val="24"/>
                <w:szCs w:val="24"/>
                <w:lang w:val="en-US" w:eastAsia="zh-CN" w:bidi="ar-SA"/>
              </w:rPr>
            </w:pPr>
            <w:r>
              <w:rPr>
                <w:rFonts w:cs="Times New Roman"/>
                <w:sz w:val="28"/>
                <w:szCs w:val="28"/>
              </w:rPr>
              <w:drawing>
                <wp:inline distT="0" distB="0" distL="114300" distR="114300">
                  <wp:extent cx="304165" cy="1256665"/>
                  <wp:effectExtent l="0" t="226695" r="0" b="246380"/>
                  <wp:docPr id="49" name="图片 49" descr="64c5201a486764d6471562335dbe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64c5201a486764d6471562335dbe0151"/>
                          <pic:cNvPicPr>
                            <a:picLocks noChangeAspect="1"/>
                          </pic:cNvPicPr>
                        </pic:nvPicPr>
                        <pic:blipFill>
                          <a:blip r:embed="rId33"/>
                          <a:stretch>
                            <a:fillRect/>
                          </a:stretch>
                        </pic:blipFill>
                        <pic:spPr>
                          <a:xfrm rot="3420000">
                            <a:off x="0" y="0"/>
                            <a:ext cx="304165" cy="1256665"/>
                          </a:xfrm>
                          <a:prstGeom prst="rect">
                            <a:avLst/>
                          </a:prstGeom>
                        </pic:spPr>
                      </pic:pic>
                    </a:graphicData>
                  </a:graphic>
                </wp:inline>
              </w:drawing>
            </w:r>
          </w:p>
        </w:tc>
      </w:tr>
      <w:tr w14:paraId="134152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4" w:hRule="atLeast"/>
        </w:trPr>
        <w:tc>
          <w:tcPr>
            <w:tcW w:w="927" w:type="pct"/>
            <w:shd w:val="clear" w:color="auto" w:fill="auto"/>
            <w:vAlign w:val="center"/>
          </w:tcPr>
          <w:p w14:paraId="35060CC1">
            <w:pPr>
              <w:spacing w:line="240" w:lineRule="auto"/>
              <w:ind w:firstLine="0" w:firstLineChars="0"/>
              <w:jc w:val="center"/>
              <w:rPr>
                <w:rFonts w:hint="eastAsia" w:ascii="宋体" w:hAnsi="宋体" w:eastAsia="宋体" w:cs="宋体"/>
                <w:kern w:val="2"/>
                <w:sz w:val="21"/>
                <w:szCs w:val="21"/>
                <w:lang w:val="en-US" w:eastAsia="zh-CN" w:bidi="ar-SA"/>
              </w:rPr>
            </w:pPr>
            <w:r>
              <w:rPr>
                <w:rFonts w:hint="eastAsia"/>
                <w:sz w:val="21"/>
                <w:szCs w:val="21"/>
              </w:rPr>
              <w:t>在线臭氧传感器</w:t>
            </w:r>
          </w:p>
        </w:tc>
        <w:tc>
          <w:tcPr>
            <w:tcW w:w="2456" w:type="pct"/>
            <w:shd w:val="clear" w:color="auto" w:fill="auto"/>
            <w:vAlign w:val="center"/>
          </w:tcPr>
          <w:p w14:paraId="34BA6230">
            <w:pPr>
              <w:spacing w:line="240" w:lineRule="auto"/>
              <w:ind w:firstLine="0" w:firstLineChars="0"/>
              <w:rPr>
                <w:rFonts w:hint="eastAsia"/>
                <w:sz w:val="21"/>
                <w:szCs w:val="21"/>
              </w:rPr>
            </w:pPr>
            <w:r>
              <w:rPr>
                <w:sz w:val="21"/>
                <w:szCs w:val="21"/>
              </w:rPr>
              <w:t>原理</w:t>
            </w:r>
            <w:r>
              <w:rPr>
                <w:rFonts w:hint="eastAsia"/>
                <w:sz w:val="21"/>
                <w:szCs w:val="21"/>
              </w:rPr>
              <w:t>：</w:t>
            </w:r>
            <w:r>
              <w:rPr>
                <w:sz w:val="21"/>
                <w:szCs w:val="21"/>
              </w:rPr>
              <w:t>恒压法</w:t>
            </w:r>
          </w:p>
          <w:p w14:paraId="133BFE82">
            <w:pPr>
              <w:spacing w:line="240" w:lineRule="auto"/>
              <w:ind w:firstLine="0" w:firstLineChars="0"/>
              <w:rPr>
                <w:rFonts w:hint="eastAsia"/>
                <w:sz w:val="21"/>
                <w:szCs w:val="21"/>
              </w:rPr>
            </w:pPr>
            <w:r>
              <w:rPr>
                <w:sz w:val="21"/>
                <w:szCs w:val="21"/>
              </w:rPr>
              <w:t>量程</w:t>
            </w:r>
            <w:r>
              <w:rPr>
                <w:rFonts w:hint="eastAsia"/>
                <w:sz w:val="21"/>
                <w:szCs w:val="21"/>
              </w:rPr>
              <w:t>：0-2</w:t>
            </w:r>
            <w:r>
              <w:rPr>
                <w:rFonts w:hint="eastAsia"/>
                <w:sz w:val="21"/>
                <w:szCs w:val="21"/>
                <w:lang w:val="en-US" w:eastAsia="zh-CN"/>
              </w:rPr>
              <w:t>.000</w:t>
            </w:r>
            <w:r>
              <w:rPr>
                <w:rFonts w:hint="eastAsia"/>
                <w:sz w:val="21"/>
                <w:szCs w:val="21"/>
              </w:rPr>
              <w:t>mg/L</w:t>
            </w:r>
          </w:p>
          <w:p w14:paraId="25574888">
            <w:pPr>
              <w:spacing w:line="240" w:lineRule="auto"/>
              <w:ind w:firstLine="0" w:firstLineChars="0"/>
              <w:rPr>
                <w:rFonts w:hint="eastAsia" w:ascii="宋体" w:hAnsi="宋体" w:eastAsia="宋体" w:cs="宋体"/>
                <w:kern w:val="2"/>
                <w:sz w:val="21"/>
                <w:szCs w:val="21"/>
                <w:lang w:val="en-US" w:eastAsia="zh-CN" w:bidi="ar-SA"/>
              </w:rPr>
            </w:pPr>
            <w:r>
              <w:rPr>
                <w:sz w:val="21"/>
                <w:szCs w:val="21"/>
              </w:rPr>
              <w:t>精度</w:t>
            </w:r>
            <w:r>
              <w:rPr>
                <w:rFonts w:hint="eastAsia"/>
                <w:sz w:val="21"/>
                <w:szCs w:val="21"/>
              </w:rPr>
              <w:t>：</w:t>
            </w:r>
            <w:r>
              <w:rPr>
                <w:sz w:val="21"/>
                <w:szCs w:val="21"/>
              </w:rPr>
              <w:t>读数的±5%/±0.05mg/L</w:t>
            </w:r>
          </w:p>
        </w:tc>
        <w:tc>
          <w:tcPr>
            <w:tcW w:w="1616" w:type="pct"/>
            <w:shd w:val="clear" w:color="auto" w:fill="auto"/>
            <w:vAlign w:val="center"/>
          </w:tcPr>
          <w:p w14:paraId="476411DE">
            <w:pPr>
              <w:spacing w:line="240" w:lineRule="auto"/>
              <w:ind w:firstLine="0" w:firstLineChars="0"/>
              <w:jc w:val="center"/>
              <w:rPr>
                <w:rFonts w:hint="eastAsia" w:ascii="宋体" w:hAnsi="宋体" w:eastAsia="宋体" w:cs="宋体"/>
                <w:kern w:val="2"/>
                <w:sz w:val="24"/>
                <w:szCs w:val="24"/>
                <w:lang w:val="en-US" w:eastAsia="zh-CN" w:bidi="ar-SA"/>
              </w:rPr>
            </w:pPr>
            <w:r>
              <w:drawing>
                <wp:inline distT="0" distB="0" distL="114300" distR="114300">
                  <wp:extent cx="309245" cy="1280160"/>
                  <wp:effectExtent l="0" t="307975" r="0" b="31242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35"/>
                          <a:stretch>
                            <a:fillRect/>
                          </a:stretch>
                        </pic:blipFill>
                        <pic:spPr>
                          <a:xfrm rot="3540000">
                            <a:off x="0" y="0"/>
                            <a:ext cx="309245" cy="1280160"/>
                          </a:xfrm>
                          <a:prstGeom prst="rect">
                            <a:avLst/>
                          </a:prstGeom>
                          <a:noFill/>
                          <a:ln>
                            <a:noFill/>
                          </a:ln>
                        </pic:spPr>
                      </pic:pic>
                    </a:graphicData>
                  </a:graphic>
                </wp:inline>
              </w:drawing>
            </w:r>
          </w:p>
        </w:tc>
      </w:tr>
      <w:tr w14:paraId="54E1F8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8" w:hRule="atLeast"/>
        </w:trPr>
        <w:tc>
          <w:tcPr>
            <w:tcW w:w="927" w:type="pct"/>
            <w:shd w:val="clear" w:color="auto" w:fill="auto"/>
            <w:vAlign w:val="center"/>
          </w:tcPr>
          <w:p w14:paraId="1FAF1F44">
            <w:pPr>
              <w:spacing w:line="240" w:lineRule="auto"/>
              <w:ind w:firstLine="0" w:firstLineChars="0"/>
              <w:jc w:val="center"/>
              <w:rPr>
                <w:rFonts w:hint="eastAsia" w:ascii="宋体" w:hAnsi="宋体" w:eastAsia="宋体" w:cs="宋体"/>
                <w:kern w:val="2"/>
                <w:sz w:val="21"/>
                <w:szCs w:val="21"/>
                <w:lang w:val="en-US" w:eastAsia="zh-CN" w:bidi="ar-SA"/>
              </w:rPr>
            </w:pPr>
            <w:r>
              <w:rPr>
                <w:rFonts w:hint="eastAsia"/>
                <w:sz w:val="21"/>
                <w:szCs w:val="21"/>
                <w:lang w:val="en-US" w:eastAsia="zh-CN"/>
              </w:rPr>
              <w:t>供水水质微站系统</w:t>
            </w:r>
          </w:p>
        </w:tc>
        <w:tc>
          <w:tcPr>
            <w:tcW w:w="2456" w:type="pct"/>
            <w:shd w:val="clear" w:color="auto" w:fill="auto"/>
            <w:vAlign w:val="center"/>
          </w:tcPr>
          <w:p w14:paraId="7D68C273">
            <w:pPr>
              <w:spacing w:line="240" w:lineRule="auto"/>
              <w:ind w:firstLine="0" w:firstLineChars="0"/>
              <w:jc w:val="left"/>
              <w:rPr>
                <w:rFonts w:hint="eastAsia" w:ascii="宋体" w:hAnsi="宋体" w:eastAsia="宋体" w:cs="宋体"/>
                <w:kern w:val="2"/>
                <w:sz w:val="21"/>
                <w:szCs w:val="21"/>
                <w:lang w:val="en-US" w:eastAsia="zh-CN" w:bidi="ar-SA"/>
              </w:rPr>
            </w:pPr>
            <w:r>
              <w:rPr>
                <w:rFonts w:hint="eastAsia"/>
                <w:sz w:val="21"/>
                <w:szCs w:val="21"/>
                <w:lang w:val="en-US" w:eastAsia="zh-CN"/>
              </w:rPr>
              <w:t>集成</w:t>
            </w:r>
            <w:r>
              <w:rPr>
                <w:rFonts w:hint="eastAsia"/>
                <w:sz w:val="21"/>
                <w:szCs w:val="21"/>
              </w:rPr>
              <w:t>PH、</w:t>
            </w:r>
            <w:r>
              <w:rPr>
                <w:rFonts w:hint="eastAsia"/>
                <w:sz w:val="21"/>
                <w:szCs w:val="21"/>
                <w:lang w:val="en-US" w:eastAsia="zh-CN"/>
              </w:rPr>
              <w:t>电导率</w:t>
            </w:r>
            <w:r>
              <w:rPr>
                <w:rFonts w:hint="eastAsia"/>
                <w:sz w:val="21"/>
                <w:szCs w:val="21"/>
              </w:rPr>
              <w:t>、浊度、余氯</w:t>
            </w:r>
            <w:r>
              <w:rPr>
                <w:rFonts w:hint="eastAsia"/>
                <w:sz w:val="21"/>
                <w:szCs w:val="21"/>
                <w:lang w:val="en-US" w:eastAsia="zh-CN"/>
              </w:rPr>
              <w:t>等传感器</w:t>
            </w:r>
          </w:p>
        </w:tc>
        <w:tc>
          <w:tcPr>
            <w:tcW w:w="1616" w:type="pct"/>
            <w:shd w:val="clear" w:color="auto" w:fill="auto"/>
            <w:vAlign w:val="center"/>
          </w:tcPr>
          <w:p w14:paraId="6787840E">
            <w:pPr>
              <w:spacing w:line="240" w:lineRule="auto"/>
              <w:ind w:firstLine="0" w:firstLineChars="0"/>
              <w:jc w:val="center"/>
              <w:rPr>
                <w:rFonts w:hint="eastAsia" w:ascii="宋体" w:hAnsi="宋体" w:eastAsia="宋体" w:cs="宋体"/>
                <w:kern w:val="2"/>
                <w:sz w:val="21"/>
                <w:szCs w:val="21"/>
                <w:lang w:val="en-US" w:eastAsia="zh-CN" w:bidi="ar-SA"/>
              </w:rPr>
            </w:pPr>
            <w:r>
              <w:drawing>
                <wp:inline distT="0" distB="0" distL="114300" distR="114300">
                  <wp:extent cx="1625600" cy="846455"/>
                  <wp:effectExtent l="0" t="0" r="12700" b="1079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36"/>
                          <a:stretch>
                            <a:fillRect/>
                          </a:stretch>
                        </pic:blipFill>
                        <pic:spPr>
                          <a:xfrm>
                            <a:off x="0" y="0"/>
                            <a:ext cx="1625600" cy="846455"/>
                          </a:xfrm>
                          <a:prstGeom prst="rect">
                            <a:avLst/>
                          </a:prstGeom>
                          <a:noFill/>
                          <a:ln>
                            <a:noFill/>
                          </a:ln>
                        </pic:spPr>
                      </pic:pic>
                    </a:graphicData>
                  </a:graphic>
                </wp:inline>
              </w:drawing>
            </w:r>
          </w:p>
        </w:tc>
      </w:tr>
      <w:tr w14:paraId="3AA6B9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927" w:type="pct"/>
            <w:vAlign w:val="center"/>
          </w:tcPr>
          <w:p w14:paraId="61B8D99C">
            <w:pPr>
              <w:spacing w:line="240" w:lineRule="auto"/>
              <w:ind w:firstLine="0" w:firstLineChars="0"/>
              <w:jc w:val="center"/>
              <w:rPr>
                <w:rFonts w:hint="eastAsia"/>
                <w:sz w:val="21"/>
                <w:szCs w:val="21"/>
              </w:rPr>
            </w:pPr>
            <w:r>
              <w:rPr>
                <w:rFonts w:hint="eastAsia"/>
                <w:sz w:val="21"/>
                <w:szCs w:val="21"/>
              </w:rPr>
              <w:t>在线全光谱多参数传感器</w:t>
            </w:r>
          </w:p>
        </w:tc>
        <w:tc>
          <w:tcPr>
            <w:tcW w:w="2456" w:type="pct"/>
            <w:vAlign w:val="center"/>
          </w:tcPr>
          <w:p w14:paraId="763C6412">
            <w:pPr>
              <w:spacing w:line="240" w:lineRule="auto"/>
              <w:ind w:firstLine="0" w:firstLineChars="0"/>
              <w:jc w:val="left"/>
              <w:rPr>
                <w:rFonts w:hint="eastAsia"/>
                <w:sz w:val="21"/>
                <w:szCs w:val="21"/>
              </w:rPr>
            </w:pPr>
            <w:r>
              <w:rPr>
                <w:sz w:val="21"/>
                <w:szCs w:val="21"/>
              </w:rPr>
              <w:t>原理</w:t>
            </w:r>
            <w:r>
              <w:rPr>
                <w:rFonts w:hint="eastAsia"/>
                <w:sz w:val="21"/>
                <w:szCs w:val="21"/>
              </w:rPr>
              <w:t>：全光谱吸收法</w:t>
            </w:r>
          </w:p>
          <w:p w14:paraId="65C7D5CC">
            <w:pPr>
              <w:spacing w:line="240" w:lineRule="auto"/>
              <w:ind w:firstLine="0" w:firstLineChars="0"/>
              <w:jc w:val="left"/>
              <w:rPr>
                <w:rFonts w:hint="eastAsia"/>
                <w:sz w:val="21"/>
                <w:szCs w:val="21"/>
              </w:rPr>
            </w:pPr>
            <w:r>
              <w:rPr>
                <w:sz w:val="21"/>
                <w:szCs w:val="21"/>
              </w:rPr>
              <w:t>量程</w:t>
            </w:r>
            <w:r>
              <w:rPr>
                <w:rFonts w:hint="eastAsia"/>
                <w:sz w:val="21"/>
                <w:szCs w:val="21"/>
              </w:rPr>
              <w:t>：</w:t>
            </w:r>
          </w:p>
          <w:p w14:paraId="27E8C7B1">
            <w:pPr>
              <w:spacing w:line="240" w:lineRule="auto"/>
              <w:ind w:firstLine="0" w:firstLineChars="0"/>
              <w:jc w:val="left"/>
              <w:rPr>
                <w:rFonts w:hint="eastAsia"/>
                <w:sz w:val="21"/>
                <w:szCs w:val="21"/>
              </w:rPr>
            </w:pPr>
            <w:r>
              <w:rPr>
                <w:rFonts w:hint="eastAsia"/>
                <w:sz w:val="21"/>
                <w:szCs w:val="21"/>
              </w:rPr>
              <w:t>COD：0～200mg/Lequiv. KHP；色度：0～500Hazen；TOC：0～150mg/L；浊度：0～400NTU；BOD：0～150mg/L；UV254：0～1.5AU；TP：0～15mg/L；TN：0～100mg/L；NHN：0～80mg/L；硝酸盐：0～15mg/L；亚硝酸盐：0～10mg/L；CODMn：0～100mg/L</w:t>
            </w:r>
          </w:p>
          <w:p w14:paraId="2CF7EBB2">
            <w:pPr>
              <w:spacing w:line="240" w:lineRule="auto"/>
              <w:ind w:firstLine="0" w:firstLineChars="0"/>
              <w:jc w:val="left"/>
              <w:rPr>
                <w:rFonts w:hint="eastAsia"/>
                <w:sz w:val="21"/>
                <w:szCs w:val="21"/>
              </w:rPr>
            </w:pPr>
            <w:r>
              <w:rPr>
                <w:sz w:val="21"/>
                <w:szCs w:val="21"/>
              </w:rPr>
              <w:t>精度</w:t>
            </w:r>
            <w:r>
              <w:rPr>
                <w:rFonts w:hint="eastAsia"/>
                <w:sz w:val="21"/>
                <w:szCs w:val="21"/>
              </w:rPr>
              <w:t>：±5%F.S.</w:t>
            </w:r>
          </w:p>
        </w:tc>
        <w:tc>
          <w:tcPr>
            <w:tcW w:w="1616" w:type="pct"/>
            <w:vAlign w:val="center"/>
          </w:tcPr>
          <w:p w14:paraId="0F043343">
            <w:pPr>
              <w:autoSpaceDE w:val="0"/>
              <w:spacing w:beforeAutospacing="1" w:afterAutospacing="1"/>
              <w:ind w:firstLine="0" w:firstLineChars="0"/>
              <w:jc w:val="center"/>
              <w:rPr>
                <w:rFonts w:hint="eastAsia"/>
                <w:sz w:val="28"/>
                <w:szCs w:val="28"/>
                <w:lang w:bidi="ar"/>
              </w:rPr>
            </w:pPr>
            <w:r>
              <w:rPr>
                <w:rFonts w:hint="default" w:ascii="Times New Roman" w:hAnsi="Times New Roman" w:eastAsia="宋体" w:cs="Times New Roman"/>
                <w:lang w:val="en-US" w:eastAsia="zh-CN"/>
              </w:rPr>
              <w:drawing>
                <wp:inline distT="0" distB="0" distL="114300" distR="114300">
                  <wp:extent cx="426085" cy="1622425"/>
                  <wp:effectExtent l="0" t="0" r="0" b="0"/>
                  <wp:docPr id="51" name="图片 7" descr="C:/Users/lina/Desktop/FUV-408-.pngFUV-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descr="C:/Users/lina/Desktop/FUV-408-.pngFUV-408-"/>
                          <pic:cNvPicPr>
                            <a:picLocks noChangeAspect="1"/>
                          </pic:cNvPicPr>
                        </pic:nvPicPr>
                        <pic:blipFill>
                          <a:blip r:embed="rId37"/>
                          <a:srcRect l="29555" r="30036"/>
                          <a:stretch>
                            <a:fillRect/>
                          </a:stretch>
                        </pic:blipFill>
                        <pic:spPr>
                          <a:xfrm>
                            <a:off x="0" y="0"/>
                            <a:ext cx="426085" cy="1622425"/>
                          </a:xfrm>
                          <a:prstGeom prst="rect">
                            <a:avLst/>
                          </a:prstGeom>
                          <a:noFill/>
                          <a:ln>
                            <a:noFill/>
                          </a:ln>
                        </pic:spPr>
                      </pic:pic>
                    </a:graphicData>
                  </a:graphic>
                </wp:inline>
              </w:drawing>
            </w:r>
          </w:p>
        </w:tc>
      </w:tr>
      <w:tr w14:paraId="62FE04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2" w:hRule="atLeast"/>
        </w:trPr>
        <w:tc>
          <w:tcPr>
            <w:tcW w:w="927" w:type="pct"/>
            <w:vAlign w:val="center"/>
          </w:tcPr>
          <w:p w14:paraId="5F9F8717">
            <w:pPr>
              <w:spacing w:line="240" w:lineRule="auto"/>
              <w:ind w:firstLine="0" w:firstLineChars="0"/>
              <w:jc w:val="center"/>
              <w:rPr>
                <w:rFonts w:hint="eastAsia"/>
                <w:sz w:val="21"/>
                <w:szCs w:val="21"/>
              </w:rPr>
            </w:pPr>
            <w:r>
              <w:rPr>
                <w:rFonts w:hint="eastAsia"/>
                <w:sz w:val="21"/>
                <w:szCs w:val="21"/>
              </w:rPr>
              <w:t>便携式多参数分析仪</w:t>
            </w:r>
          </w:p>
        </w:tc>
        <w:tc>
          <w:tcPr>
            <w:tcW w:w="2456" w:type="pct"/>
            <w:vAlign w:val="center"/>
          </w:tcPr>
          <w:p w14:paraId="060E7120">
            <w:pPr>
              <w:spacing w:line="240" w:lineRule="auto"/>
              <w:ind w:firstLine="0" w:firstLineChars="0"/>
              <w:rPr>
                <w:rFonts w:hint="eastAsia"/>
                <w:sz w:val="21"/>
                <w:szCs w:val="21"/>
              </w:rPr>
            </w:pPr>
            <w:r>
              <w:rPr>
                <w:rFonts w:hint="eastAsia"/>
                <w:sz w:val="21"/>
                <w:szCs w:val="21"/>
              </w:rPr>
              <w:t>检测参数：COD、 高锰酸盐指数、氨氮、总磷、总氮、硝酸盐氮、亚硝酸盐氮、磷酸盐、硫酸盐、亚硫酸盐、硫化物、余氯、重金属（铜镍锌锰）等</w:t>
            </w:r>
          </w:p>
          <w:p w14:paraId="73167E16">
            <w:pPr>
              <w:spacing w:line="240" w:lineRule="auto"/>
              <w:ind w:firstLine="0" w:firstLineChars="0"/>
              <w:jc w:val="left"/>
              <w:rPr>
                <w:rFonts w:hint="eastAsia"/>
                <w:sz w:val="21"/>
                <w:szCs w:val="21"/>
              </w:rPr>
            </w:pPr>
            <w:r>
              <w:rPr>
                <w:rFonts w:hint="eastAsia"/>
                <w:sz w:val="21"/>
                <w:szCs w:val="21"/>
              </w:rPr>
              <w:t>工作波长范围：420nm 520nm，580nm，610nm；波长半宽度：5±2（nm）；</w:t>
            </w:r>
          </w:p>
          <w:p w14:paraId="40F00B4D">
            <w:pPr>
              <w:spacing w:line="240" w:lineRule="auto"/>
              <w:ind w:firstLine="0" w:firstLineChars="0"/>
              <w:jc w:val="left"/>
              <w:rPr>
                <w:rFonts w:hint="eastAsia"/>
                <w:sz w:val="21"/>
                <w:szCs w:val="21"/>
              </w:rPr>
            </w:pPr>
            <w:r>
              <w:rPr>
                <w:rFonts w:hint="eastAsia"/>
                <w:sz w:val="21"/>
                <w:szCs w:val="21"/>
              </w:rPr>
              <w:t>仪器的检测范围：吸光度值0.000-3.000；</w:t>
            </w:r>
          </w:p>
          <w:p w14:paraId="53EE65CF">
            <w:pPr>
              <w:spacing w:line="240" w:lineRule="auto"/>
              <w:ind w:firstLine="0" w:firstLineChars="0"/>
              <w:jc w:val="left"/>
              <w:rPr>
                <w:rFonts w:hint="eastAsia"/>
                <w:sz w:val="21"/>
                <w:szCs w:val="21"/>
              </w:rPr>
            </w:pPr>
            <w:r>
              <w:rPr>
                <w:rFonts w:hint="eastAsia"/>
                <w:sz w:val="21"/>
                <w:szCs w:val="21"/>
              </w:rPr>
              <w:t>光源灯：冷光源；</w:t>
            </w:r>
          </w:p>
          <w:p w14:paraId="7BC4920F">
            <w:pPr>
              <w:spacing w:line="240" w:lineRule="auto"/>
              <w:ind w:firstLine="0" w:firstLineChars="0"/>
              <w:jc w:val="left"/>
              <w:rPr>
                <w:rFonts w:hint="eastAsia"/>
                <w:sz w:val="21"/>
                <w:szCs w:val="21"/>
              </w:rPr>
            </w:pPr>
            <w:r>
              <w:rPr>
                <w:rFonts w:hint="eastAsia"/>
                <w:sz w:val="21"/>
                <w:szCs w:val="21"/>
              </w:rPr>
              <w:t>分辨率：0.001；</w:t>
            </w:r>
          </w:p>
        </w:tc>
        <w:tc>
          <w:tcPr>
            <w:tcW w:w="1616" w:type="pct"/>
            <w:vAlign w:val="center"/>
          </w:tcPr>
          <w:p w14:paraId="593F0DB7">
            <w:pPr>
              <w:autoSpaceDE w:val="0"/>
              <w:spacing w:beforeAutospacing="1" w:afterAutospacing="1"/>
              <w:ind w:firstLine="0" w:firstLineChars="0"/>
              <w:jc w:val="center"/>
              <w:rPr>
                <w:rFonts w:hint="eastAsia"/>
              </w:rPr>
            </w:pPr>
            <w:r>
              <w:rPr>
                <w:rFonts w:hint="eastAsia"/>
                <w:sz w:val="28"/>
                <w:szCs w:val="28"/>
                <w:lang w:bidi="ar"/>
              </w:rPr>
              <w:drawing>
                <wp:inline distT="0" distB="0" distL="114300" distR="114300">
                  <wp:extent cx="828675" cy="1152525"/>
                  <wp:effectExtent l="0" t="0" r="9525" b="5715"/>
                  <wp:docPr id="1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6"/>
                          <pic:cNvPicPr>
                            <a:picLocks noChangeAspect="1"/>
                          </pic:cNvPicPr>
                        </pic:nvPicPr>
                        <pic:blipFill>
                          <a:blip r:embed="rId38"/>
                          <a:stretch>
                            <a:fillRect/>
                          </a:stretch>
                        </pic:blipFill>
                        <pic:spPr>
                          <a:xfrm>
                            <a:off x="0" y="0"/>
                            <a:ext cx="828675" cy="1152525"/>
                          </a:xfrm>
                          <a:prstGeom prst="rect">
                            <a:avLst/>
                          </a:prstGeom>
                          <a:noFill/>
                          <a:ln w="9525">
                            <a:noFill/>
                          </a:ln>
                        </pic:spPr>
                      </pic:pic>
                    </a:graphicData>
                  </a:graphic>
                </wp:inline>
              </w:drawing>
            </w:r>
          </w:p>
        </w:tc>
      </w:tr>
      <w:tr w14:paraId="5C2EB1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2" w:hRule="atLeast"/>
        </w:trPr>
        <w:tc>
          <w:tcPr>
            <w:tcW w:w="927" w:type="pct"/>
            <w:vAlign w:val="center"/>
          </w:tcPr>
          <w:p w14:paraId="461054C3">
            <w:pPr>
              <w:spacing w:line="240" w:lineRule="auto"/>
              <w:ind w:firstLine="0" w:firstLineChars="0"/>
              <w:jc w:val="center"/>
              <w:rPr>
                <w:rFonts w:hint="eastAsia"/>
                <w:sz w:val="21"/>
                <w:szCs w:val="21"/>
              </w:rPr>
            </w:pPr>
            <w:r>
              <w:rPr>
                <w:rFonts w:hint="eastAsia"/>
                <w:sz w:val="21"/>
                <w:szCs w:val="21"/>
                <w:lang w:val="en-US" w:eastAsia="zh-CN"/>
              </w:rPr>
              <w:t>手持</w:t>
            </w:r>
            <w:r>
              <w:rPr>
                <w:rFonts w:hint="eastAsia"/>
                <w:sz w:val="21"/>
                <w:szCs w:val="21"/>
              </w:rPr>
              <w:t>式多参数检测仪</w:t>
            </w:r>
          </w:p>
        </w:tc>
        <w:tc>
          <w:tcPr>
            <w:tcW w:w="2456" w:type="pct"/>
            <w:vAlign w:val="center"/>
          </w:tcPr>
          <w:p w14:paraId="7B90940E">
            <w:pPr>
              <w:spacing w:line="240" w:lineRule="auto"/>
              <w:ind w:firstLine="0" w:firstLineChars="0"/>
              <w:jc w:val="left"/>
              <w:rPr>
                <w:rFonts w:hint="eastAsia"/>
                <w:sz w:val="21"/>
                <w:szCs w:val="21"/>
              </w:rPr>
            </w:pPr>
            <w:r>
              <w:rPr>
                <w:rFonts w:hint="eastAsia"/>
                <w:sz w:val="21"/>
                <w:szCs w:val="21"/>
              </w:rPr>
              <w:t>显示：3.3 英寸单色液晶显示屏</w:t>
            </w:r>
          </w:p>
          <w:p w14:paraId="748CC768">
            <w:pPr>
              <w:spacing w:line="240" w:lineRule="auto"/>
              <w:ind w:firstLine="0" w:firstLineChars="0"/>
              <w:jc w:val="left"/>
              <w:rPr>
                <w:rFonts w:hint="eastAsia"/>
                <w:sz w:val="21"/>
                <w:szCs w:val="21"/>
              </w:rPr>
            </w:pPr>
            <w:r>
              <w:rPr>
                <w:rFonts w:hint="eastAsia"/>
                <w:sz w:val="21"/>
                <w:szCs w:val="21"/>
              </w:rPr>
              <w:t>外形尺寸：200mm*101mm*36mm</w:t>
            </w:r>
          </w:p>
          <w:p w14:paraId="57CAD764">
            <w:pPr>
              <w:spacing w:line="240" w:lineRule="auto"/>
              <w:ind w:firstLine="0" w:firstLineChars="0"/>
              <w:jc w:val="left"/>
              <w:rPr>
                <w:rFonts w:hint="eastAsia"/>
                <w:sz w:val="21"/>
                <w:szCs w:val="21"/>
              </w:rPr>
            </w:pPr>
            <w:r>
              <w:rPr>
                <w:rFonts w:hint="eastAsia"/>
                <w:sz w:val="21"/>
                <w:szCs w:val="21"/>
              </w:rPr>
              <w:t>防护等级：IP67</w:t>
            </w:r>
          </w:p>
        </w:tc>
        <w:tc>
          <w:tcPr>
            <w:tcW w:w="1616" w:type="pct"/>
            <w:vAlign w:val="center"/>
          </w:tcPr>
          <w:p w14:paraId="5DDC0167">
            <w:pPr>
              <w:autoSpaceDE w:val="0"/>
              <w:spacing w:beforeAutospacing="1" w:afterAutospacing="1"/>
              <w:ind w:firstLine="0" w:firstLineChars="0"/>
              <w:jc w:val="center"/>
              <w:rPr>
                <w:rFonts w:ascii="Times New Roman" w:hAnsi="Times New Roman"/>
              </w:rPr>
            </w:pPr>
            <w:r>
              <w:rPr>
                <w:rFonts w:hint="eastAsia"/>
                <w:sz w:val="28"/>
                <w:szCs w:val="28"/>
                <w:lang w:bidi="ar"/>
              </w:rPr>
              <w:drawing>
                <wp:inline distT="0" distB="0" distL="114300" distR="114300">
                  <wp:extent cx="733425" cy="1333500"/>
                  <wp:effectExtent l="0" t="0" r="13335" b="7620"/>
                  <wp:docPr id="20"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IMG_257"/>
                          <pic:cNvPicPr>
                            <a:picLocks noChangeAspect="1"/>
                          </pic:cNvPicPr>
                        </pic:nvPicPr>
                        <pic:blipFill>
                          <a:blip r:embed="rId39"/>
                          <a:stretch>
                            <a:fillRect/>
                          </a:stretch>
                        </pic:blipFill>
                        <pic:spPr>
                          <a:xfrm>
                            <a:off x="0" y="0"/>
                            <a:ext cx="733425" cy="1333500"/>
                          </a:xfrm>
                          <a:prstGeom prst="rect">
                            <a:avLst/>
                          </a:prstGeom>
                          <a:noFill/>
                          <a:ln w="9525">
                            <a:noFill/>
                          </a:ln>
                        </pic:spPr>
                      </pic:pic>
                    </a:graphicData>
                  </a:graphic>
                </wp:inline>
              </w:drawing>
            </w:r>
          </w:p>
        </w:tc>
      </w:tr>
      <w:tr w14:paraId="05C375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2" w:hRule="atLeast"/>
        </w:trPr>
        <w:tc>
          <w:tcPr>
            <w:tcW w:w="927" w:type="pct"/>
            <w:shd w:val="clear" w:color="auto" w:fill="auto"/>
            <w:vAlign w:val="center"/>
          </w:tcPr>
          <w:p w14:paraId="0661EFFF">
            <w:pPr>
              <w:spacing w:line="240" w:lineRule="auto"/>
              <w:ind w:firstLine="0" w:firstLineChars="0"/>
              <w:jc w:val="center"/>
              <w:rPr>
                <w:rFonts w:hint="eastAsia"/>
                <w:sz w:val="21"/>
                <w:szCs w:val="21"/>
              </w:rPr>
            </w:pPr>
            <w:r>
              <w:rPr>
                <w:rFonts w:hint="eastAsia"/>
                <w:sz w:val="21"/>
                <w:szCs w:val="21"/>
              </w:rPr>
              <w:t>电磁流量计</w:t>
            </w:r>
          </w:p>
        </w:tc>
        <w:tc>
          <w:tcPr>
            <w:tcW w:w="2456" w:type="pct"/>
            <w:shd w:val="clear" w:color="auto" w:fill="auto"/>
            <w:vAlign w:val="center"/>
          </w:tcPr>
          <w:p w14:paraId="7640B012">
            <w:pPr>
              <w:spacing w:line="240" w:lineRule="auto"/>
              <w:ind w:firstLine="0" w:firstLineChars="0"/>
              <w:rPr>
                <w:rFonts w:hint="eastAsia"/>
                <w:sz w:val="21"/>
                <w:szCs w:val="21"/>
              </w:rPr>
            </w:pPr>
            <w:r>
              <w:rPr>
                <w:sz w:val="21"/>
                <w:szCs w:val="21"/>
              </w:rPr>
              <w:t>口径：DN15-DN300</w:t>
            </w:r>
          </w:p>
          <w:p w14:paraId="2AAFA9B6">
            <w:pPr>
              <w:spacing w:line="240" w:lineRule="auto"/>
              <w:ind w:firstLine="0" w:firstLineChars="0"/>
              <w:rPr>
                <w:rFonts w:hint="eastAsia"/>
                <w:sz w:val="21"/>
                <w:szCs w:val="21"/>
              </w:rPr>
            </w:pPr>
            <w:r>
              <w:rPr>
                <w:sz w:val="21"/>
                <w:szCs w:val="21"/>
              </w:rPr>
              <w:t>内衬：四氟</w:t>
            </w:r>
          </w:p>
          <w:p w14:paraId="300E78AB">
            <w:pPr>
              <w:spacing w:line="240" w:lineRule="auto"/>
              <w:ind w:firstLine="0" w:firstLineChars="0"/>
              <w:rPr>
                <w:rFonts w:hint="eastAsia"/>
                <w:sz w:val="21"/>
                <w:szCs w:val="21"/>
              </w:rPr>
            </w:pPr>
            <w:r>
              <w:rPr>
                <w:sz w:val="21"/>
                <w:szCs w:val="21"/>
              </w:rPr>
              <w:t>压力：1.6Mpa</w:t>
            </w:r>
          </w:p>
          <w:p w14:paraId="363811E3">
            <w:pPr>
              <w:spacing w:line="240" w:lineRule="auto"/>
              <w:ind w:firstLine="0" w:firstLineChars="0"/>
              <w:rPr>
                <w:rFonts w:hint="eastAsia"/>
                <w:sz w:val="21"/>
                <w:szCs w:val="21"/>
              </w:rPr>
            </w:pPr>
            <w:r>
              <w:rPr>
                <w:sz w:val="21"/>
                <w:szCs w:val="21"/>
              </w:rPr>
              <w:t>电极：316L</w:t>
            </w:r>
          </w:p>
        </w:tc>
        <w:tc>
          <w:tcPr>
            <w:tcW w:w="1616" w:type="pct"/>
            <w:shd w:val="clear" w:color="auto" w:fill="auto"/>
            <w:vAlign w:val="center"/>
          </w:tcPr>
          <w:p w14:paraId="1360DB22">
            <w:pPr>
              <w:spacing w:line="240" w:lineRule="auto"/>
              <w:ind w:firstLine="0" w:firstLineChars="0"/>
              <w:jc w:val="center"/>
              <w:rPr>
                <w:rFonts w:hint="eastAsia"/>
              </w:rPr>
            </w:pPr>
            <w:r>
              <w:rPr>
                <w:rFonts w:hint="eastAsia" w:ascii="Times New Roman" w:hAnsi="Times New Roman"/>
              </w:rPr>
              <w:drawing>
                <wp:inline distT="0" distB="0" distL="114300" distR="114300">
                  <wp:extent cx="726440" cy="846455"/>
                  <wp:effectExtent l="0" t="0" r="5080" b="6985"/>
                  <wp:docPr id="16" name="图片 1" descr="172405708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1724057082577"/>
                          <pic:cNvPicPr>
                            <a:picLocks noChangeAspect="1"/>
                          </pic:cNvPicPr>
                        </pic:nvPicPr>
                        <pic:blipFill>
                          <a:blip r:embed="rId40"/>
                          <a:stretch>
                            <a:fillRect/>
                          </a:stretch>
                        </pic:blipFill>
                        <pic:spPr>
                          <a:xfrm>
                            <a:off x="0" y="0"/>
                            <a:ext cx="726440" cy="846455"/>
                          </a:xfrm>
                          <a:prstGeom prst="rect">
                            <a:avLst/>
                          </a:prstGeom>
                          <a:noFill/>
                          <a:ln>
                            <a:noFill/>
                          </a:ln>
                        </pic:spPr>
                      </pic:pic>
                    </a:graphicData>
                  </a:graphic>
                </wp:inline>
              </w:drawing>
            </w:r>
          </w:p>
        </w:tc>
      </w:tr>
      <w:tr w14:paraId="04C4B5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7" w:hRule="atLeast"/>
        </w:trPr>
        <w:tc>
          <w:tcPr>
            <w:tcW w:w="927" w:type="pct"/>
            <w:vAlign w:val="center"/>
          </w:tcPr>
          <w:p w14:paraId="36741B2A">
            <w:pPr>
              <w:spacing w:line="240" w:lineRule="auto"/>
              <w:ind w:firstLine="0" w:firstLineChars="0"/>
              <w:jc w:val="center"/>
              <w:rPr>
                <w:rFonts w:hint="eastAsia"/>
                <w:sz w:val="21"/>
                <w:szCs w:val="21"/>
              </w:rPr>
            </w:pPr>
            <w:r>
              <w:rPr>
                <w:rFonts w:hint="eastAsia"/>
                <w:sz w:val="21"/>
                <w:szCs w:val="21"/>
              </w:rPr>
              <w:t>液体颗粒计数器</w:t>
            </w:r>
          </w:p>
        </w:tc>
        <w:tc>
          <w:tcPr>
            <w:tcW w:w="2456" w:type="pct"/>
            <w:vAlign w:val="center"/>
          </w:tcPr>
          <w:p w14:paraId="1F42FAD8">
            <w:pPr>
              <w:spacing w:line="240" w:lineRule="auto"/>
              <w:ind w:firstLine="0" w:firstLineChars="0"/>
              <w:jc w:val="left"/>
              <w:rPr>
                <w:rFonts w:hint="eastAsia"/>
                <w:sz w:val="21"/>
                <w:szCs w:val="21"/>
              </w:rPr>
            </w:pPr>
            <w:r>
              <w:rPr>
                <w:sz w:val="21"/>
                <w:szCs w:val="21"/>
              </w:rPr>
              <w:t xml:space="preserve">粒径范围：2-600µm </w:t>
            </w:r>
          </w:p>
          <w:p w14:paraId="679DE91D">
            <w:pPr>
              <w:spacing w:line="240" w:lineRule="auto"/>
              <w:ind w:firstLine="0" w:firstLineChars="0"/>
              <w:jc w:val="left"/>
              <w:rPr>
                <w:rFonts w:hint="eastAsia"/>
                <w:sz w:val="21"/>
                <w:szCs w:val="21"/>
              </w:rPr>
            </w:pPr>
            <w:r>
              <w:rPr>
                <w:sz w:val="21"/>
                <w:szCs w:val="21"/>
              </w:rPr>
              <w:t>检测通道：8 通道（2-100µm 任意设置）</w:t>
            </w:r>
          </w:p>
          <w:p w14:paraId="3004E3AA">
            <w:pPr>
              <w:spacing w:line="240" w:lineRule="auto"/>
              <w:ind w:firstLine="0" w:firstLineChars="0"/>
              <w:jc w:val="left"/>
              <w:rPr>
                <w:rFonts w:hint="eastAsia"/>
                <w:sz w:val="21"/>
                <w:szCs w:val="21"/>
              </w:rPr>
            </w:pPr>
            <w:r>
              <w:rPr>
                <w:sz w:val="21"/>
                <w:szCs w:val="21"/>
              </w:rPr>
              <w:t>最大检测浓度：10000 particle/ml</w:t>
            </w:r>
          </w:p>
        </w:tc>
        <w:tc>
          <w:tcPr>
            <w:tcW w:w="1616" w:type="pct"/>
            <w:vAlign w:val="center"/>
          </w:tcPr>
          <w:p w14:paraId="21F9BC97">
            <w:pPr>
              <w:spacing w:line="240" w:lineRule="auto"/>
              <w:ind w:firstLine="0" w:firstLineChars="0"/>
              <w:jc w:val="center"/>
              <w:rPr>
                <w:rFonts w:hint="eastAsia"/>
              </w:rPr>
            </w:pPr>
            <w:r>
              <w:rPr>
                <w:rFonts w:hint="eastAsia" w:ascii="Times New Roman" w:hAnsi="Times New Roman"/>
                <w:b/>
                <w:sz w:val="28"/>
                <w:szCs w:val="28"/>
              </w:rPr>
              <w:drawing>
                <wp:inline distT="0" distB="0" distL="114300" distR="114300">
                  <wp:extent cx="1083945" cy="721995"/>
                  <wp:effectExtent l="0" t="0" r="13335" b="9525"/>
                  <wp:docPr id="21" name="图片 21" descr="区域擦除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区域擦除操作"/>
                          <pic:cNvPicPr>
                            <a:picLocks noChangeAspect="1"/>
                          </pic:cNvPicPr>
                        </pic:nvPicPr>
                        <pic:blipFill>
                          <a:blip r:embed="rId41"/>
                          <a:stretch>
                            <a:fillRect/>
                          </a:stretch>
                        </pic:blipFill>
                        <pic:spPr>
                          <a:xfrm>
                            <a:off x="0" y="0"/>
                            <a:ext cx="1083945" cy="721995"/>
                          </a:xfrm>
                          <a:prstGeom prst="rect">
                            <a:avLst/>
                          </a:prstGeom>
                        </pic:spPr>
                      </pic:pic>
                    </a:graphicData>
                  </a:graphic>
                </wp:inline>
              </w:drawing>
            </w:r>
          </w:p>
        </w:tc>
      </w:tr>
      <w:tr w14:paraId="3E1B63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3" w:hRule="atLeast"/>
        </w:trPr>
        <w:tc>
          <w:tcPr>
            <w:tcW w:w="927" w:type="pct"/>
            <w:vAlign w:val="center"/>
          </w:tcPr>
          <w:p w14:paraId="097529F5">
            <w:pPr>
              <w:spacing w:line="240" w:lineRule="auto"/>
              <w:ind w:firstLine="0" w:firstLineChars="0"/>
              <w:jc w:val="center"/>
              <w:rPr>
                <w:rFonts w:hint="eastAsia"/>
                <w:sz w:val="21"/>
                <w:szCs w:val="21"/>
              </w:rPr>
            </w:pPr>
            <w:r>
              <w:rPr>
                <w:rFonts w:hint="eastAsia"/>
                <w:sz w:val="21"/>
                <w:szCs w:val="21"/>
              </w:rPr>
              <w:t>管道噪声检测仪</w:t>
            </w:r>
          </w:p>
        </w:tc>
        <w:tc>
          <w:tcPr>
            <w:tcW w:w="2456" w:type="pct"/>
            <w:vAlign w:val="center"/>
          </w:tcPr>
          <w:p w14:paraId="6ED73FAB">
            <w:pPr>
              <w:spacing w:line="240" w:lineRule="auto"/>
              <w:ind w:firstLine="0" w:firstLineChars="0"/>
              <w:jc w:val="left"/>
              <w:rPr>
                <w:rFonts w:hint="eastAsia"/>
                <w:sz w:val="21"/>
                <w:szCs w:val="21"/>
              </w:rPr>
            </w:pPr>
            <w:r>
              <w:rPr>
                <w:sz w:val="21"/>
                <w:szCs w:val="21"/>
              </w:rPr>
              <w:t>监测距离&gt;=300 米(金属直线管道)</w:t>
            </w:r>
          </w:p>
          <w:p w14:paraId="224B7C98">
            <w:pPr>
              <w:spacing w:line="240" w:lineRule="auto"/>
              <w:ind w:firstLine="0" w:firstLineChars="0"/>
              <w:jc w:val="left"/>
              <w:rPr>
                <w:rFonts w:hint="eastAsia"/>
                <w:sz w:val="21"/>
                <w:szCs w:val="21"/>
              </w:rPr>
            </w:pPr>
            <w:r>
              <w:rPr>
                <w:sz w:val="21"/>
                <w:szCs w:val="21"/>
              </w:rPr>
              <w:t>运行功耗每次充电后运行时间&gt;2 年@每天上报一次监测信号声波与振动</w:t>
            </w:r>
          </w:p>
        </w:tc>
        <w:tc>
          <w:tcPr>
            <w:tcW w:w="1616" w:type="pct"/>
            <w:vAlign w:val="center"/>
          </w:tcPr>
          <w:p w14:paraId="52DB3209">
            <w:pPr>
              <w:spacing w:line="240" w:lineRule="auto"/>
              <w:ind w:firstLine="0" w:firstLineChars="0"/>
              <w:jc w:val="center"/>
              <w:rPr>
                <w:rFonts w:ascii="Times New Roman" w:hAnsi="Times New Roman"/>
                <w:b/>
                <w:sz w:val="28"/>
                <w:szCs w:val="28"/>
              </w:rPr>
            </w:pPr>
            <w:r>
              <w:rPr>
                <w:position w:val="-143"/>
              </w:rPr>
              <w:drawing>
                <wp:inline distT="0" distB="0" distL="0" distR="0">
                  <wp:extent cx="332105" cy="1014730"/>
                  <wp:effectExtent l="212090" t="20320" r="217805" b="31750"/>
                  <wp:docPr id="22" name="IM 2"/>
                  <wp:cNvGraphicFramePr/>
                  <a:graphic xmlns:a="http://schemas.openxmlformats.org/drawingml/2006/main">
                    <a:graphicData uri="http://schemas.openxmlformats.org/drawingml/2006/picture">
                      <pic:pic xmlns:pic="http://schemas.openxmlformats.org/drawingml/2006/picture">
                        <pic:nvPicPr>
                          <pic:cNvPr id="22" name="IM 2"/>
                          <pic:cNvPicPr/>
                        </pic:nvPicPr>
                        <pic:blipFill>
                          <a:blip r:embed="rId42"/>
                          <a:stretch>
                            <a:fillRect/>
                          </a:stretch>
                        </pic:blipFill>
                        <pic:spPr>
                          <a:xfrm rot="1620000">
                            <a:off x="0" y="0"/>
                            <a:ext cx="332105" cy="1014730"/>
                          </a:xfrm>
                          <a:prstGeom prst="rect">
                            <a:avLst/>
                          </a:prstGeom>
                        </pic:spPr>
                      </pic:pic>
                    </a:graphicData>
                  </a:graphic>
                </wp:inline>
              </w:drawing>
            </w:r>
          </w:p>
        </w:tc>
      </w:tr>
    </w:tbl>
    <w:p w14:paraId="1D3983AD">
      <w:pPr>
        <w:ind w:firstLine="480"/>
        <w:rPr>
          <w:rFonts w:hint="eastAsia"/>
        </w:rPr>
      </w:pPr>
    </w:p>
    <w:p w14:paraId="4AE05058">
      <w:pPr>
        <w:pStyle w:val="3"/>
        <w:rPr>
          <w:rFonts w:hint="eastAsia"/>
        </w:rPr>
      </w:pPr>
      <w:bookmarkStart w:id="14" w:name="_Toc10654"/>
      <w:r>
        <w:rPr>
          <w:rFonts w:hint="eastAsia"/>
        </w:rPr>
        <w:t>场景适配性</w:t>
      </w:r>
      <w:bookmarkEnd w:id="14"/>
    </w:p>
    <w:p w14:paraId="1A772ECA">
      <w:pPr>
        <w:pStyle w:val="4"/>
        <w:rPr>
          <w:rFonts w:hint="eastAsia"/>
        </w:rPr>
      </w:pPr>
      <w:bookmarkStart w:id="15" w:name="_Toc6591"/>
      <w:r>
        <w:rPr>
          <w:rFonts w:hint="eastAsia"/>
        </w:rPr>
        <w:t>水箱/储水设施</w:t>
      </w:r>
      <w:bookmarkEnd w:id="15"/>
    </w:p>
    <w:p w14:paraId="694AC7A8">
      <w:pPr>
        <w:ind w:firstLine="480"/>
        <w:rPr>
          <w:rFonts w:hint="eastAsia"/>
        </w:rPr>
      </w:pPr>
      <w:r>
        <w:rPr>
          <w:rFonts w:hint="eastAsia"/>
        </w:rPr>
        <w:t>水箱是二次供水的核心设施，用于储存市政管网来水并调节供水压力，保障高峰用水需求。由于水体停留时间长、环境封闭，易成为二次污染的源头。长期静置导致细菌、藻类滋生（如军团菌、大肠杆菌）。泥沙、铁锈等杂质沉淀，可能引发浊度升高。水箱材质老化导致重金属（如铅、锌）析出，或余氯衰减造成消毒失效。外界异物（昆虫、灰尘）进入导致有机物分解，产生异味或亚硝酸盐。</w:t>
      </w:r>
    </w:p>
    <w:p w14:paraId="74DA74C9">
      <w:pPr>
        <w:ind w:firstLine="480"/>
        <w:rPr>
          <w:rFonts w:hint="eastAsia"/>
        </w:rPr>
      </w:pPr>
      <w:r>
        <w:drawing>
          <wp:inline distT="0" distB="0" distL="114300" distR="114300">
            <wp:extent cx="2286635" cy="1679575"/>
            <wp:effectExtent l="0" t="0" r="14605" b="1206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43"/>
                    <a:stretch>
                      <a:fillRect/>
                    </a:stretch>
                  </pic:blipFill>
                  <pic:spPr>
                    <a:xfrm>
                      <a:off x="0" y="0"/>
                      <a:ext cx="2286635" cy="1679575"/>
                    </a:xfrm>
                    <a:prstGeom prst="rect">
                      <a:avLst/>
                    </a:prstGeom>
                    <a:noFill/>
                    <a:ln>
                      <a:noFill/>
                    </a:ln>
                  </pic:spPr>
                </pic:pic>
              </a:graphicData>
            </a:graphic>
          </wp:inline>
        </w:drawing>
      </w:r>
      <w:r>
        <w:drawing>
          <wp:inline distT="0" distB="0" distL="114300" distR="114300">
            <wp:extent cx="2378710" cy="1684655"/>
            <wp:effectExtent l="0" t="0" r="13970" b="6985"/>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44"/>
                    <a:stretch>
                      <a:fillRect/>
                    </a:stretch>
                  </pic:blipFill>
                  <pic:spPr>
                    <a:xfrm>
                      <a:off x="0" y="0"/>
                      <a:ext cx="2378710" cy="1684655"/>
                    </a:xfrm>
                    <a:prstGeom prst="rect">
                      <a:avLst/>
                    </a:prstGeom>
                    <a:noFill/>
                    <a:ln>
                      <a:noFill/>
                    </a:ln>
                  </pic:spPr>
                </pic:pic>
              </a:graphicData>
            </a:graphic>
          </wp:inline>
        </w:drawing>
      </w:r>
    </w:p>
    <w:p w14:paraId="7BBF2D6A">
      <w:pPr>
        <w:ind w:firstLine="482"/>
        <w:rPr>
          <w:rFonts w:hint="eastAsia"/>
        </w:rPr>
      </w:pPr>
      <w:r>
        <w:rPr>
          <w:rFonts w:hint="eastAsia"/>
          <w:b/>
          <w:bCs/>
        </w:rPr>
        <w:t>监测参数：</w:t>
      </w:r>
      <w:r>
        <w:rPr>
          <w:rFonts w:hint="eastAsia"/>
        </w:rPr>
        <w:t>pH值、浊度、余氯、溶解氧、电导率</w:t>
      </w:r>
    </w:p>
    <w:p w14:paraId="703E3903">
      <w:pPr>
        <w:ind w:firstLine="482"/>
        <w:rPr>
          <w:rFonts w:hint="eastAsia"/>
          <w:b/>
          <w:bCs/>
        </w:rPr>
      </w:pPr>
      <w:bookmarkStart w:id="27" w:name="_GoBack"/>
      <w:bookmarkEnd w:id="27"/>
      <w:r>
        <w:rPr>
          <w:rFonts w:hint="eastAsia"/>
          <w:b/>
          <w:bCs/>
        </w:rPr>
        <w:t>监测意义：</w:t>
      </w:r>
    </w:p>
    <w:p w14:paraId="1E1E0B86">
      <w:pPr>
        <w:ind w:firstLine="480"/>
        <w:rPr>
          <w:rFonts w:hint="eastAsia"/>
        </w:rPr>
      </w:pPr>
      <w:r>
        <w:rPr>
          <w:rFonts w:hint="eastAsia"/>
        </w:rPr>
        <w:t>pH值：实时判断原水酸碱性，防止酸性水腐蚀管道或碱性水导致结垢，保障后续处理工艺稳定性（如混凝剂投加效率）；</w:t>
      </w:r>
    </w:p>
    <w:p w14:paraId="01ACC8A8">
      <w:pPr>
        <w:ind w:firstLine="480"/>
        <w:rPr>
          <w:rFonts w:hint="eastAsia"/>
        </w:rPr>
      </w:pPr>
      <w:r>
        <w:rPr>
          <w:rFonts w:hint="eastAsia"/>
        </w:rPr>
        <w:t>浊度：检测原水中悬浮物含量，预警高浊度水源堵塞过滤器或损坏泵体，为预处理提供数据支持。</w:t>
      </w:r>
    </w:p>
    <w:p w14:paraId="5C9A989D">
      <w:pPr>
        <w:ind w:firstLine="480"/>
        <w:rPr>
          <w:rFonts w:hint="eastAsia"/>
        </w:rPr>
      </w:pPr>
      <w:r>
        <w:rPr>
          <w:rFonts w:hint="eastAsia"/>
        </w:rPr>
        <w:t>余氯值：反映消毒效果，过低时需补氯，防止微生物滋生。</w:t>
      </w:r>
    </w:p>
    <w:p w14:paraId="31DDB919">
      <w:pPr>
        <w:ind w:firstLine="480"/>
        <w:rPr>
          <w:rFonts w:hint="eastAsia"/>
        </w:rPr>
      </w:pPr>
      <w:r>
        <w:rPr>
          <w:rFonts w:hint="eastAsia"/>
        </w:rPr>
        <w:t>溶解氧（DO）值：高溶解氧加速金属腐蚀，低溶解氧可能滋生厌氧菌。</w:t>
      </w:r>
    </w:p>
    <w:p w14:paraId="2212BA71">
      <w:pPr>
        <w:ind w:firstLine="480"/>
        <w:rPr>
          <w:rFonts w:hint="eastAsia"/>
        </w:rPr>
      </w:pPr>
      <w:r>
        <w:rPr>
          <w:rFonts w:hint="eastAsia"/>
        </w:rPr>
        <w:t>电导率值：反映水中离子总量，异常升高提示金属析出或盐类污染。</w:t>
      </w:r>
    </w:p>
    <w:p w14:paraId="43874A08">
      <w:pPr>
        <w:pStyle w:val="4"/>
        <w:rPr>
          <w:rFonts w:hint="eastAsia"/>
        </w:rPr>
      </w:pPr>
      <w:bookmarkStart w:id="16" w:name="_Toc24737"/>
      <w:r>
        <w:rPr>
          <w:rFonts w:hint="eastAsia"/>
        </w:rPr>
        <w:t>输配管道</w:t>
      </w:r>
      <w:bookmarkEnd w:id="16"/>
    </w:p>
    <w:p w14:paraId="382FEB99">
      <w:pPr>
        <w:ind w:firstLine="480"/>
        <w:rPr>
          <w:rFonts w:hint="eastAsia"/>
        </w:rPr>
      </w:pPr>
      <w:r>
        <w:rPr>
          <w:rFonts w:hint="eastAsia"/>
        </w:rPr>
        <w:t>连接水箱与用户的输水通道，易因物理或化学因素影响水质。管道破损导致泥沙、微生物入侵。管壁长期附着菌群，脱落时造成瞬时污染。</w:t>
      </w:r>
    </w:p>
    <w:p w14:paraId="216E2C7E">
      <w:pPr>
        <w:ind w:firstLine="480"/>
        <w:jc w:val="center"/>
        <w:rPr>
          <w:rFonts w:hint="eastAsia"/>
        </w:rPr>
      </w:pPr>
      <w:r>
        <w:drawing>
          <wp:inline distT="0" distB="0" distL="114300" distR="114300">
            <wp:extent cx="1453515" cy="1824990"/>
            <wp:effectExtent l="0" t="0" r="9525" b="381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45"/>
                    <a:stretch>
                      <a:fillRect/>
                    </a:stretch>
                  </pic:blipFill>
                  <pic:spPr>
                    <a:xfrm>
                      <a:off x="0" y="0"/>
                      <a:ext cx="1453515" cy="1824990"/>
                    </a:xfrm>
                    <a:prstGeom prst="rect">
                      <a:avLst/>
                    </a:prstGeom>
                    <a:noFill/>
                    <a:ln>
                      <a:noFill/>
                    </a:ln>
                  </pic:spPr>
                </pic:pic>
              </a:graphicData>
            </a:graphic>
          </wp:inline>
        </w:drawing>
      </w:r>
      <w:r>
        <w:drawing>
          <wp:inline distT="0" distB="0" distL="114300" distR="114300">
            <wp:extent cx="2802255" cy="1826260"/>
            <wp:effectExtent l="0" t="0" r="1905" b="254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46"/>
                    <a:stretch>
                      <a:fillRect/>
                    </a:stretch>
                  </pic:blipFill>
                  <pic:spPr>
                    <a:xfrm>
                      <a:off x="0" y="0"/>
                      <a:ext cx="2802255" cy="1826260"/>
                    </a:xfrm>
                    <a:prstGeom prst="rect">
                      <a:avLst/>
                    </a:prstGeom>
                    <a:noFill/>
                    <a:ln>
                      <a:noFill/>
                    </a:ln>
                  </pic:spPr>
                </pic:pic>
              </a:graphicData>
            </a:graphic>
          </wp:inline>
        </w:drawing>
      </w:r>
    </w:p>
    <w:p w14:paraId="1AADA46F">
      <w:pPr>
        <w:ind w:firstLine="482"/>
        <w:rPr>
          <w:rFonts w:hint="eastAsia"/>
        </w:rPr>
      </w:pPr>
      <w:r>
        <w:rPr>
          <w:rFonts w:hint="eastAsia"/>
          <w:b/>
          <w:bCs/>
        </w:rPr>
        <w:t>监测参数：</w:t>
      </w:r>
      <w:r>
        <w:rPr>
          <w:rFonts w:hint="eastAsia"/>
        </w:rPr>
        <w:t>噪声、流量、颗粒物数量</w:t>
      </w:r>
    </w:p>
    <w:p w14:paraId="1289F4D1">
      <w:pPr>
        <w:ind w:firstLine="482"/>
        <w:rPr>
          <w:rFonts w:hint="eastAsia"/>
          <w:b/>
          <w:bCs/>
        </w:rPr>
      </w:pPr>
      <w:r>
        <w:rPr>
          <w:rFonts w:hint="eastAsia"/>
          <w:b/>
          <w:bCs/>
        </w:rPr>
        <w:t>监测意义：</w:t>
      </w:r>
    </w:p>
    <w:p w14:paraId="5181BC22">
      <w:pPr>
        <w:ind w:firstLine="480"/>
        <w:rPr>
          <w:rFonts w:hint="eastAsia"/>
        </w:rPr>
      </w:pPr>
      <w:r>
        <w:rPr>
          <w:rFonts w:hint="eastAsia"/>
        </w:rPr>
        <w:t>电磁流量计：实时监测流量异常（如泄漏导致流量突增）。</w:t>
      </w:r>
    </w:p>
    <w:p w14:paraId="791B45C1">
      <w:pPr>
        <w:ind w:firstLine="480"/>
        <w:rPr>
          <w:rFonts w:hint="eastAsia"/>
        </w:rPr>
      </w:pPr>
      <w:r>
        <w:rPr>
          <w:rFonts w:hint="eastAsia"/>
        </w:rPr>
        <w:t>管道噪声检测仪：通过声波分析定位微小渗漏点。</w:t>
      </w:r>
    </w:p>
    <w:p w14:paraId="2650026A">
      <w:pPr>
        <w:ind w:firstLine="480"/>
        <w:rPr>
          <w:rFonts w:hint="eastAsia"/>
        </w:rPr>
      </w:pPr>
      <w:r>
        <w:rPr>
          <w:rFonts w:hint="eastAsia"/>
        </w:rPr>
        <w:t>在线颗粒计数器：捕捉生物膜或颗粒物脱落事件。</w:t>
      </w:r>
    </w:p>
    <w:p w14:paraId="66795560">
      <w:pPr>
        <w:pStyle w:val="4"/>
        <w:rPr>
          <w:rFonts w:hint="eastAsia"/>
        </w:rPr>
      </w:pPr>
      <w:bookmarkStart w:id="17" w:name="_Toc26079"/>
      <w:r>
        <w:rPr>
          <w:rFonts w:hint="eastAsia"/>
        </w:rPr>
        <w:t>公共场所（医院、学校、酒店）</w:t>
      </w:r>
      <w:bookmarkEnd w:id="17"/>
    </w:p>
    <w:p w14:paraId="57CD3EE8">
      <w:pPr>
        <w:ind w:firstLine="480"/>
        <w:rPr>
          <w:rFonts w:hint="eastAsia"/>
        </w:rPr>
      </w:pPr>
      <w:r>
        <w:rPr>
          <w:rFonts w:hint="eastAsia"/>
        </w:rPr>
        <w:t>保障特殊人群健康，医院患者免疫力低，学校儿童易受感染，实时监测可预防水源性传染病爆发。</w:t>
      </w:r>
    </w:p>
    <w:p w14:paraId="77F32DDC">
      <w:pPr>
        <w:ind w:firstLine="480"/>
        <w:rPr>
          <w:rFonts w:hint="eastAsia"/>
        </w:rPr>
      </w:pPr>
      <w:r>
        <w:rPr>
          <w:rFonts w:hint="eastAsia"/>
        </w:rPr>
        <w:t>预防突发污染事件，酒店储水箱易受异物侵入（如动物尸体），在线监测能快速触发报警并切断供水。</w:t>
      </w:r>
    </w:p>
    <w:p w14:paraId="47333A1F">
      <w:pPr>
        <w:ind w:firstLine="480"/>
        <w:jc w:val="center"/>
        <w:rPr>
          <w:rFonts w:hint="eastAsia"/>
        </w:rPr>
      </w:pPr>
      <w:r>
        <w:rPr>
          <w:rFonts w:hint="eastAsia"/>
        </w:rPr>
        <w:drawing>
          <wp:inline distT="0" distB="0" distL="114300" distR="114300">
            <wp:extent cx="4036695" cy="2350135"/>
            <wp:effectExtent l="0" t="0" r="1905" b="12065"/>
            <wp:docPr id="41" name="图片 4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1"/>
                    <pic:cNvPicPr>
                      <a:picLocks noChangeAspect="1"/>
                    </pic:cNvPicPr>
                  </pic:nvPicPr>
                  <pic:blipFill>
                    <a:blip r:embed="rId47"/>
                    <a:srcRect t="9717" b="12661"/>
                    <a:stretch>
                      <a:fillRect/>
                    </a:stretch>
                  </pic:blipFill>
                  <pic:spPr>
                    <a:xfrm>
                      <a:off x="0" y="0"/>
                      <a:ext cx="4036695" cy="2350135"/>
                    </a:xfrm>
                    <a:prstGeom prst="rect">
                      <a:avLst/>
                    </a:prstGeom>
                  </pic:spPr>
                </pic:pic>
              </a:graphicData>
            </a:graphic>
          </wp:inline>
        </w:drawing>
      </w:r>
    </w:p>
    <w:p w14:paraId="13499201">
      <w:pPr>
        <w:ind w:firstLine="482"/>
        <w:rPr>
          <w:rFonts w:hint="eastAsia"/>
        </w:rPr>
      </w:pPr>
      <w:r>
        <w:rPr>
          <w:rFonts w:hint="eastAsia"/>
          <w:b/>
          <w:bCs/>
        </w:rPr>
        <w:t>监测参数：</w:t>
      </w:r>
      <w:r>
        <w:rPr>
          <w:rFonts w:hint="eastAsia"/>
        </w:rPr>
        <w:t>余氯、浊度、PH、电导率、溶解氧、菌落总数/总大肠菌群</w:t>
      </w:r>
    </w:p>
    <w:p w14:paraId="0872E292">
      <w:pPr>
        <w:ind w:firstLine="482"/>
        <w:rPr>
          <w:rFonts w:hint="eastAsia"/>
          <w:b/>
          <w:bCs/>
        </w:rPr>
      </w:pPr>
      <w:r>
        <w:rPr>
          <w:rFonts w:hint="eastAsia"/>
          <w:b/>
          <w:bCs/>
        </w:rPr>
        <w:t>监测意义：</w:t>
      </w:r>
    </w:p>
    <w:p w14:paraId="3A6AA2FA">
      <w:pPr>
        <w:ind w:firstLine="480"/>
        <w:rPr>
          <w:rFonts w:hint="eastAsia"/>
        </w:rPr>
      </w:pPr>
      <w:r>
        <w:rPr>
          <w:rFonts w:hint="eastAsia"/>
        </w:rPr>
        <w:t>余氯：反映消毒剂残留量，抑制微生物繁殖。余氯浓度需维持在0.05-4mg/L（国标范围），过低易滋生细菌，过高则产生异味。</w:t>
      </w:r>
    </w:p>
    <w:p w14:paraId="27FB238B">
      <w:pPr>
        <w:ind w:firstLine="480"/>
        <w:rPr>
          <w:rFonts w:hint="eastAsia"/>
        </w:rPr>
      </w:pPr>
      <w:r>
        <w:rPr>
          <w:rFonts w:hint="eastAsia"/>
        </w:rPr>
        <w:t>浊度：表征水中悬浮颗粒物含量，反映过滤效果和管道污染情况。浊度异常升高可能预示水箱污染或管道泄漏。</w:t>
      </w:r>
    </w:p>
    <w:p w14:paraId="688F535A">
      <w:pPr>
        <w:ind w:firstLine="480"/>
        <w:rPr>
          <w:rFonts w:hint="eastAsia"/>
        </w:rPr>
      </w:pPr>
      <w:r>
        <w:rPr>
          <w:rFonts w:hint="eastAsia"/>
        </w:rPr>
        <w:t>pH值：影响消毒剂活性和管道腐蚀风险。理想范围为6.5-8.5，偏离可能导致金属管道溶出重金属。</w:t>
      </w:r>
    </w:p>
    <w:p w14:paraId="5D7D84F3">
      <w:pPr>
        <w:ind w:firstLine="480"/>
        <w:rPr>
          <w:rFonts w:hint="eastAsia"/>
        </w:rPr>
      </w:pPr>
      <w:r>
        <w:rPr>
          <w:rFonts w:hint="eastAsia"/>
        </w:rPr>
        <w:t>电导率：反映水中溶解性离子总量，辅助判断水质异常（如盐水倒灌或工业污染）。</w:t>
      </w:r>
    </w:p>
    <w:p w14:paraId="336255A4">
      <w:pPr>
        <w:ind w:firstLine="480"/>
        <w:rPr>
          <w:rFonts w:hint="eastAsia"/>
        </w:rPr>
      </w:pPr>
      <w:r>
        <w:rPr>
          <w:rFonts w:hint="eastAsia"/>
        </w:rPr>
        <w:t>溶解氧：评估水体氧化还原状态，缺氧环境易滋生厌氧微生物。</w:t>
      </w:r>
    </w:p>
    <w:p w14:paraId="5E7C359D">
      <w:pPr>
        <w:ind w:firstLine="480"/>
        <w:rPr>
          <w:rFonts w:hint="eastAsia"/>
        </w:rPr>
      </w:pPr>
      <w:r>
        <w:rPr>
          <w:rFonts w:hint="eastAsia"/>
        </w:rPr>
        <w:t>菌落总数/总大肠菌群：通过生物传感器或定期采样分析，判断微生物污染风险。</w:t>
      </w:r>
    </w:p>
    <w:p w14:paraId="5E21BB59">
      <w:pPr>
        <w:pStyle w:val="2"/>
        <w:rPr>
          <w:rFonts w:hint="eastAsia"/>
        </w:rPr>
      </w:pPr>
      <w:bookmarkStart w:id="18" w:name="_Toc27010"/>
      <w:bookmarkStart w:id="19" w:name="_Toc10602"/>
      <w:r>
        <w:rPr>
          <w:rFonts w:hint="eastAsia"/>
        </w:rPr>
        <w:t>设备寿命及维护</w:t>
      </w:r>
      <w:bookmarkEnd w:id="18"/>
      <w:bookmarkEnd w:id="19"/>
    </w:p>
    <w:p w14:paraId="4F1D3413">
      <w:pPr>
        <w:pStyle w:val="3"/>
        <w:rPr>
          <w:rFonts w:hint="eastAsia"/>
        </w:rPr>
      </w:pPr>
      <w:bookmarkStart w:id="20" w:name="_Toc552"/>
      <w:r>
        <w:rPr>
          <w:rFonts w:hint="eastAsia"/>
        </w:rPr>
        <w:t>设备寿命周期与维护周期表</w:t>
      </w:r>
      <w:bookmarkEnd w:id="20"/>
    </w:p>
    <w:tbl>
      <w:tblPr>
        <w:tblStyle w:val="20"/>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39"/>
        <w:gridCol w:w="2839"/>
        <w:gridCol w:w="2841"/>
      </w:tblGrid>
      <w:tr w14:paraId="43702D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2E63A8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b/>
                <w:bCs/>
              </w:rPr>
            </w:pPr>
            <w:r>
              <w:rPr>
                <w:rFonts w:hint="eastAsia"/>
                <w:b/>
                <w:bCs/>
              </w:rPr>
              <w:t>设备名称</w:t>
            </w:r>
          </w:p>
        </w:tc>
        <w:tc>
          <w:tcPr>
            <w:tcW w:w="1666" w:type="pct"/>
            <w:vAlign w:val="center"/>
          </w:tcPr>
          <w:p w14:paraId="4046E9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b/>
                <w:bCs/>
              </w:rPr>
            </w:pPr>
            <w:r>
              <w:rPr>
                <w:rFonts w:hint="eastAsia"/>
                <w:b/>
                <w:bCs/>
              </w:rPr>
              <w:t>维护周期</w:t>
            </w:r>
          </w:p>
        </w:tc>
        <w:tc>
          <w:tcPr>
            <w:tcW w:w="1667" w:type="pct"/>
            <w:vAlign w:val="center"/>
          </w:tcPr>
          <w:p w14:paraId="7B88A0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b/>
                <w:bCs/>
              </w:rPr>
            </w:pPr>
            <w:r>
              <w:rPr>
                <w:rFonts w:hint="eastAsia"/>
                <w:b/>
                <w:bCs/>
              </w:rPr>
              <w:t>使用寿命</w:t>
            </w:r>
          </w:p>
        </w:tc>
      </w:tr>
      <w:tr w14:paraId="7FCB91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41910B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大肠杆菌在线分析仪</w:t>
            </w:r>
          </w:p>
        </w:tc>
        <w:tc>
          <w:tcPr>
            <w:tcW w:w="1666" w:type="pct"/>
            <w:vAlign w:val="center"/>
          </w:tcPr>
          <w:p w14:paraId="747DFE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1个月/次</w:t>
            </w:r>
          </w:p>
        </w:tc>
        <w:tc>
          <w:tcPr>
            <w:tcW w:w="1667" w:type="pct"/>
            <w:vAlign w:val="center"/>
          </w:tcPr>
          <w:p w14:paraId="209499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3-5年</w:t>
            </w:r>
          </w:p>
        </w:tc>
      </w:tr>
      <w:tr w14:paraId="557D21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3F8D14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生物毒性在线分析仪</w:t>
            </w:r>
          </w:p>
        </w:tc>
        <w:tc>
          <w:tcPr>
            <w:tcW w:w="1666" w:type="pct"/>
            <w:vAlign w:val="center"/>
          </w:tcPr>
          <w:p w14:paraId="2254C8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1个月/次</w:t>
            </w:r>
          </w:p>
        </w:tc>
        <w:tc>
          <w:tcPr>
            <w:tcW w:w="1667" w:type="pct"/>
            <w:vAlign w:val="center"/>
          </w:tcPr>
          <w:p w14:paraId="299508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3-5年</w:t>
            </w:r>
          </w:p>
        </w:tc>
      </w:tr>
      <w:tr w14:paraId="1003ED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3C7C6D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在线色度传感器</w:t>
            </w:r>
          </w:p>
        </w:tc>
        <w:tc>
          <w:tcPr>
            <w:tcW w:w="1666" w:type="pct"/>
            <w:vAlign w:val="center"/>
          </w:tcPr>
          <w:p w14:paraId="0C881E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vAlign w:val="center"/>
          </w:tcPr>
          <w:p w14:paraId="5D0125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2-3年</w:t>
            </w:r>
          </w:p>
        </w:tc>
      </w:tr>
      <w:tr w14:paraId="6AA4F0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01B769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在线浊度传感器</w:t>
            </w:r>
          </w:p>
        </w:tc>
        <w:tc>
          <w:tcPr>
            <w:tcW w:w="1666" w:type="pct"/>
            <w:vAlign w:val="center"/>
          </w:tcPr>
          <w:p w14:paraId="744CA3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vAlign w:val="center"/>
          </w:tcPr>
          <w:p w14:paraId="3B2DE4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2-3年</w:t>
            </w:r>
          </w:p>
        </w:tc>
      </w:tr>
      <w:tr w14:paraId="224784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37889A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在线PH传感器</w:t>
            </w:r>
          </w:p>
        </w:tc>
        <w:tc>
          <w:tcPr>
            <w:tcW w:w="1666" w:type="pct"/>
            <w:vAlign w:val="center"/>
          </w:tcPr>
          <w:p w14:paraId="4D345B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vAlign w:val="center"/>
          </w:tcPr>
          <w:p w14:paraId="60097D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1年</w:t>
            </w:r>
          </w:p>
        </w:tc>
      </w:tr>
      <w:tr w14:paraId="0BBFDF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28F555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在线电导率传感器</w:t>
            </w:r>
          </w:p>
        </w:tc>
        <w:tc>
          <w:tcPr>
            <w:tcW w:w="1666" w:type="pct"/>
            <w:vAlign w:val="center"/>
          </w:tcPr>
          <w:p w14:paraId="3BD2E6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vAlign w:val="center"/>
          </w:tcPr>
          <w:p w14:paraId="71CC26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2-3年</w:t>
            </w:r>
          </w:p>
        </w:tc>
      </w:tr>
      <w:tr w14:paraId="6E7F6A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1C4E09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在线硬度传感器</w:t>
            </w:r>
          </w:p>
        </w:tc>
        <w:tc>
          <w:tcPr>
            <w:tcW w:w="1666" w:type="pct"/>
            <w:vAlign w:val="center"/>
          </w:tcPr>
          <w:p w14:paraId="6B23CA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vAlign w:val="center"/>
          </w:tcPr>
          <w:p w14:paraId="353072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半年</w:t>
            </w:r>
          </w:p>
        </w:tc>
      </w:tr>
      <w:tr w14:paraId="1CB9FE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073A70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在线硬度分析仪</w:t>
            </w:r>
          </w:p>
        </w:tc>
        <w:tc>
          <w:tcPr>
            <w:tcW w:w="1666" w:type="pct"/>
            <w:vAlign w:val="center"/>
          </w:tcPr>
          <w:p w14:paraId="49B6F4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1个月/次</w:t>
            </w:r>
          </w:p>
        </w:tc>
        <w:tc>
          <w:tcPr>
            <w:tcW w:w="1667" w:type="pct"/>
            <w:vAlign w:val="center"/>
          </w:tcPr>
          <w:p w14:paraId="256404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3-5年</w:t>
            </w:r>
          </w:p>
        </w:tc>
      </w:tr>
      <w:tr w14:paraId="6D25AD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11439F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在线氨氮传感器</w:t>
            </w:r>
          </w:p>
        </w:tc>
        <w:tc>
          <w:tcPr>
            <w:tcW w:w="1666" w:type="pct"/>
            <w:vAlign w:val="center"/>
          </w:tcPr>
          <w:p w14:paraId="75E3E3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vAlign w:val="center"/>
          </w:tcPr>
          <w:p w14:paraId="7A2C11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半年</w:t>
            </w:r>
          </w:p>
        </w:tc>
      </w:tr>
      <w:tr w14:paraId="30E711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46AE5C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在线氨氮分析仪</w:t>
            </w:r>
          </w:p>
        </w:tc>
        <w:tc>
          <w:tcPr>
            <w:tcW w:w="1666" w:type="pct"/>
            <w:vAlign w:val="center"/>
          </w:tcPr>
          <w:p w14:paraId="2FBD48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1个月/次</w:t>
            </w:r>
          </w:p>
        </w:tc>
        <w:tc>
          <w:tcPr>
            <w:tcW w:w="1667" w:type="pct"/>
            <w:vAlign w:val="center"/>
          </w:tcPr>
          <w:p w14:paraId="60CDE6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3-5年</w:t>
            </w:r>
          </w:p>
        </w:tc>
      </w:tr>
      <w:tr w14:paraId="2B55BC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6" w:type="pct"/>
            <w:vAlign w:val="center"/>
          </w:tcPr>
          <w:p w14:paraId="7E7CC0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在线光学硝氮传感器</w:t>
            </w:r>
          </w:p>
        </w:tc>
        <w:tc>
          <w:tcPr>
            <w:tcW w:w="2839" w:type="dxa"/>
            <w:vAlign w:val="center"/>
          </w:tcPr>
          <w:p w14:paraId="6E5912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3-4个月/次</w:t>
            </w:r>
          </w:p>
        </w:tc>
        <w:tc>
          <w:tcPr>
            <w:tcW w:w="2841" w:type="dxa"/>
            <w:vAlign w:val="center"/>
          </w:tcPr>
          <w:p w14:paraId="7A77A9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2-3年</w:t>
            </w:r>
          </w:p>
        </w:tc>
      </w:tr>
      <w:tr w14:paraId="4B913F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504119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在线高锰酸盐指数分析仪</w:t>
            </w:r>
          </w:p>
        </w:tc>
        <w:tc>
          <w:tcPr>
            <w:tcW w:w="1666" w:type="pct"/>
            <w:vAlign w:val="center"/>
          </w:tcPr>
          <w:p w14:paraId="51A90D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1个月/次</w:t>
            </w:r>
          </w:p>
        </w:tc>
        <w:tc>
          <w:tcPr>
            <w:tcW w:w="1667" w:type="pct"/>
            <w:vAlign w:val="center"/>
          </w:tcPr>
          <w:p w14:paraId="721117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3-5年</w:t>
            </w:r>
          </w:p>
        </w:tc>
      </w:tr>
      <w:tr w14:paraId="7859D5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77DA4C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在线余氯传感器</w:t>
            </w:r>
          </w:p>
        </w:tc>
        <w:tc>
          <w:tcPr>
            <w:tcW w:w="1666" w:type="pct"/>
            <w:vAlign w:val="center"/>
          </w:tcPr>
          <w:p w14:paraId="26900C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vAlign w:val="center"/>
          </w:tcPr>
          <w:p w14:paraId="3771D1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1年</w:t>
            </w:r>
          </w:p>
        </w:tc>
      </w:tr>
      <w:tr w14:paraId="4F4B01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3FC263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在线余氯分析仪</w:t>
            </w:r>
          </w:p>
        </w:tc>
        <w:tc>
          <w:tcPr>
            <w:tcW w:w="1666" w:type="pct"/>
            <w:vAlign w:val="center"/>
          </w:tcPr>
          <w:p w14:paraId="174D4F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1个月/次</w:t>
            </w:r>
          </w:p>
        </w:tc>
        <w:tc>
          <w:tcPr>
            <w:tcW w:w="1667" w:type="pct"/>
            <w:vAlign w:val="center"/>
          </w:tcPr>
          <w:p w14:paraId="110E0D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2-3年</w:t>
            </w:r>
          </w:p>
        </w:tc>
      </w:tr>
      <w:tr w14:paraId="5641F9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3FC1E3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在线二氧化氯传感器</w:t>
            </w:r>
          </w:p>
        </w:tc>
        <w:tc>
          <w:tcPr>
            <w:tcW w:w="1666" w:type="pct"/>
            <w:vAlign w:val="center"/>
          </w:tcPr>
          <w:p w14:paraId="193DF7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vAlign w:val="center"/>
          </w:tcPr>
          <w:p w14:paraId="11BF0B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1年</w:t>
            </w:r>
          </w:p>
        </w:tc>
      </w:tr>
      <w:tr w14:paraId="5E7CDE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404C7B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在线臭氧传感器</w:t>
            </w:r>
          </w:p>
        </w:tc>
        <w:tc>
          <w:tcPr>
            <w:tcW w:w="1666" w:type="pct"/>
            <w:vAlign w:val="center"/>
          </w:tcPr>
          <w:p w14:paraId="091CE5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vAlign w:val="center"/>
          </w:tcPr>
          <w:p w14:paraId="21490B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1年</w:t>
            </w:r>
          </w:p>
        </w:tc>
      </w:tr>
      <w:tr w14:paraId="02FD79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3BD3C7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sz w:val="21"/>
                <w:szCs w:val="21"/>
              </w:rPr>
              <w:t>在线全光谱多参数传感器</w:t>
            </w:r>
          </w:p>
        </w:tc>
        <w:tc>
          <w:tcPr>
            <w:tcW w:w="1666" w:type="pct"/>
            <w:shd w:val="clear" w:color="auto" w:fill="auto"/>
            <w:vAlign w:val="center"/>
          </w:tcPr>
          <w:p w14:paraId="3F22B5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shd w:val="clear" w:color="auto" w:fill="auto"/>
            <w:vAlign w:val="center"/>
          </w:tcPr>
          <w:p w14:paraId="56DC65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2-3年</w:t>
            </w:r>
          </w:p>
        </w:tc>
      </w:tr>
      <w:tr w14:paraId="61D47E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5455A4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sz w:val="21"/>
                <w:szCs w:val="21"/>
              </w:rPr>
              <w:t>便携式多参数分析仪</w:t>
            </w:r>
          </w:p>
        </w:tc>
        <w:tc>
          <w:tcPr>
            <w:tcW w:w="1666" w:type="pct"/>
            <w:shd w:val="clear" w:color="auto" w:fill="auto"/>
            <w:vAlign w:val="center"/>
          </w:tcPr>
          <w:p w14:paraId="494D52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shd w:val="clear" w:color="auto" w:fill="auto"/>
            <w:vAlign w:val="center"/>
          </w:tcPr>
          <w:p w14:paraId="09F154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2-3年</w:t>
            </w:r>
          </w:p>
        </w:tc>
      </w:tr>
      <w:tr w14:paraId="25952D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4C0971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电磁流量计</w:t>
            </w:r>
          </w:p>
        </w:tc>
        <w:tc>
          <w:tcPr>
            <w:tcW w:w="1666" w:type="pct"/>
            <w:vAlign w:val="center"/>
          </w:tcPr>
          <w:p w14:paraId="61DDA9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vAlign w:val="center"/>
          </w:tcPr>
          <w:p w14:paraId="53CADE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3-5年</w:t>
            </w:r>
          </w:p>
        </w:tc>
      </w:tr>
      <w:tr w14:paraId="7ABF33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66" w:type="pct"/>
            <w:vAlign w:val="center"/>
          </w:tcPr>
          <w:p w14:paraId="2879C6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液体颗粒计数器</w:t>
            </w:r>
          </w:p>
        </w:tc>
        <w:tc>
          <w:tcPr>
            <w:tcW w:w="1666" w:type="pct"/>
            <w:vAlign w:val="center"/>
          </w:tcPr>
          <w:p w14:paraId="24EFF5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vAlign w:val="center"/>
          </w:tcPr>
          <w:p w14:paraId="33F639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3-5年</w:t>
            </w:r>
          </w:p>
        </w:tc>
      </w:tr>
      <w:tr w14:paraId="38D62E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5D58AF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管道噪声检测仪</w:t>
            </w:r>
          </w:p>
        </w:tc>
        <w:tc>
          <w:tcPr>
            <w:tcW w:w="1666" w:type="pct"/>
            <w:vAlign w:val="center"/>
          </w:tcPr>
          <w:p w14:paraId="3FA00B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vAlign w:val="center"/>
          </w:tcPr>
          <w:p w14:paraId="72E393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2-3年</w:t>
            </w:r>
          </w:p>
        </w:tc>
      </w:tr>
    </w:tbl>
    <w:p w14:paraId="54B7AA10">
      <w:pPr>
        <w:pStyle w:val="3"/>
        <w:rPr>
          <w:rFonts w:hint="eastAsia"/>
        </w:rPr>
      </w:pPr>
      <w:bookmarkStart w:id="21" w:name="_Toc30272"/>
      <w:r>
        <w:rPr>
          <w:rFonts w:hint="eastAsia"/>
          <w:lang w:val="en-US" w:eastAsia="zh-CN"/>
        </w:rPr>
        <w:t>设备</w:t>
      </w:r>
      <w:r>
        <w:rPr>
          <w:rFonts w:hint="eastAsia"/>
        </w:rPr>
        <w:t>日常维护</w:t>
      </w:r>
      <w:bookmarkEnd w:id="21"/>
    </w:p>
    <w:p w14:paraId="52C67ED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大肠杆菌在线分析仪</w:t>
      </w:r>
      <w:r>
        <w:rPr>
          <w:rFonts w:hint="eastAsia"/>
          <w:b/>
          <w:bCs/>
          <w:lang w:eastAsia="zh-CN"/>
        </w:rPr>
        <w:t>：</w:t>
      </w:r>
    </w:p>
    <w:p w14:paraId="78F33E20">
      <w:pPr>
        <w:rPr>
          <w:rFonts w:hint="eastAsia"/>
          <w:b w:val="0"/>
          <w:bCs w:val="0"/>
          <w:lang w:eastAsia="zh-CN"/>
        </w:rPr>
      </w:pPr>
      <w:r>
        <w:rPr>
          <w:rFonts w:hint="eastAsia"/>
          <w:b w:val="0"/>
          <w:bCs w:val="0"/>
          <w:lang w:eastAsia="zh-CN"/>
        </w:rPr>
        <w:t>（</w:t>
      </w:r>
      <w:r>
        <w:rPr>
          <w:rFonts w:hint="eastAsia"/>
          <w:b w:val="0"/>
          <w:bCs w:val="0"/>
          <w:lang w:val="en-US" w:eastAsia="zh-CN"/>
        </w:rPr>
        <w:t>1</w:t>
      </w:r>
      <w:r>
        <w:rPr>
          <w:rFonts w:hint="eastAsia"/>
          <w:b w:val="0"/>
          <w:bCs w:val="0"/>
          <w:lang w:eastAsia="zh-CN"/>
        </w:rPr>
        <w:t xml:space="preserve">）检查酶底物试剂余量及有效期，避免试剂结块或污染。  </w:t>
      </w:r>
    </w:p>
    <w:p w14:paraId="566820BC">
      <w:pPr>
        <w:rPr>
          <w:rFonts w:hint="eastAsia"/>
          <w:b w:val="0"/>
          <w:bCs w:val="0"/>
          <w:lang w:eastAsia="zh-CN"/>
        </w:rPr>
      </w:pPr>
      <w:r>
        <w:rPr>
          <w:rFonts w:hint="eastAsia"/>
          <w:b w:val="0"/>
          <w:bCs w:val="0"/>
          <w:lang w:eastAsia="zh-CN"/>
        </w:rPr>
        <w:t>（</w:t>
      </w:r>
      <w:r>
        <w:rPr>
          <w:rFonts w:hint="eastAsia"/>
          <w:b w:val="0"/>
          <w:bCs w:val="0"/>
          <w:lang w:val="en-US" w:eastAsia="zh-CN"/>
        </w:rPr>
        <w:t>2</w:t>
      </w:r>
      <w:r>
        <w:rPr>
          <w:rFonts w:hint="eastAsia"/>
          <w:b w:val="0"/>
          <w:bCs w:val="0"/>
          <w:lang w:eastAsia="zh-CN"/>
        </w:rPr>
        <w:t xml:space="preserve">）监测培养仓温度（通常37℃±1℃），确保恒温条件。  </w:t>
      </w:r>
    </w:p>
    <w:p w14:paraId="0F72F730">
      <w:pPr>
        <w:rPr>
          <w:rFonts w:hint="eastAsia"/>
          <w:b w:val="0"/>
          <w:bCs w:val="0"/>
          <w:lang w:eastAsia="zh-CN"/>
        </w:rPr>
      </w:pPr>
      <w:r>
        <w:rPr>
          <w:rFonts w:hint="eastAsia"/>
          <w:b w:val="0"/>
          <w:bCs w:val="0"/>
          <w:lang w:eastAsia="zh-CN"/>
        </w:rPr>
        <w:t>（</w:t>
      </w:r>
      <w:r>
        <w:rPr>
          <w:rFonts w:hint="eastAsia"/>
          <w:b w:val="0"/>
          <w:bCs w:val="0"/>
          <w:lang w:val="en-US" w:eastAsia="zh-CN"/>
        </w:rPr>
        <w:t>3</w:t>
      </w:r>
      <w:r>
        <w:rPr>
          <w:rFonts w:hint="eastAsia"/>
          <w:b w:val="0"/>
          <w:bCs w:val="0"/>
          <w:lang w:eastAsia="zh-CN"/>
        </w:rPr>
        <w:t xml:space="preserve">）用无菌水冲洗进样管路，防止生物膜堵塞。  </w:t>
      </w:r>
    </w:p>
    <w:p w14:paraId="2596D9E0">
      <w:pPr>
        <w:rPr>
          <w:rFonts w:hint="eastAsia"/>
          <w:b w:val="0"/>
          <w:bCs w:val="0"/>
          <w:lang w:eastAsia="zh-CN"/>
        </w:rPr>
      </w:pPr>
      <w:r>
        <w:rPr>
          <w:rFonts w:hint="eastAsia"/>
          <w:b w:val="0"/>
          <w:bCs w:val="0"/>
          <w:lang w:eastAsia="zh-CN"/>
        </w:rPr>
        <w:t>（</w:t>
      </w:r>
      <w:r>
        <w:rPr>
          <w:rFonts w:hint="eastAsia"/>
          <w:b w:val="0"/>
          <w:bCs w:val="0"/>
          <w:lang w:val="en-US" w:eastAsia="zh-CN"/>
        </w:rPr>
        <w:t>4</w:t>
      </w:r>
      <w:r>
        <w:rPr>
          <w:rFonts w:hint="eastAsia"/>
          <w:b w:val="0"/>
          <w:bCs w:val="0"/>
          <w:lang w:eastAsia="zh-CN"/>
        </w:rPr>
        <w:t xml:space="preserve">）用阴性/阳性标准样验证检测结果准确性。  </w:t>
      </w:r>
    </w:p>
    <w:p w14:paraId="708B2B0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生物毒性在线分析仪</w:t>
      </w:r>
      <w:r>
        <w:rPr>
          <w:rFonts w:hint="eastAsia"/>
          <w:b/>
          <w:bCs/>
          <w:lang w:eastAsia="zh-CN"/>
        </w:rPr>
        <w:t>：</w:t>
      </w:r>
    </w:p>
    <w:p w14:paraId="01FC35CA">
      <w:pPr>
        <w:rPr>
          <w:rFonts w:hint="eastAsia"/>
          <w:b w:val="0"/>
          <w:bCs w:val="0"/>
          <w:lang w:eastAsia="zh-CN"/>
        </w:rPr>
      </w:pPr>
      <w:r>
        <w:rPr>
          <w:rFonts w:hint="eastAsia"/>
          <w:b w:val="0"/>
          <w:bCs w:val="0"/>
          <w:lang w:eastAsia="zh-CN"/>
        </w:rPr>
        <w:t xml:space="preserve">（1）补充发光细菌冻干粉，保存于-20℃冰箱备用。  </w:t>
      </w:r>
    </w:p>
    <w:p w14:paraId="5AF29EF2">
      <w:pPr>
        <w:rPr>
          <w:rFonts w:hint="eastAsia"/>
          <w:b w:val="0"/>
          <w:bCs w:val="0"/>
          <w:lang w:eastAsia="zh-CN"/>
        </w:rPr>
      </w:pPr>
      <w:r>
        <w:rPr>
          <w:rFonts w:hint="eastAsia"/>
          <w:b w:val="0"/>
          <w:bCs w:val="0"/>
          <w:lang w:eastAsia="zh-CN"/>
        </w:rPr>
        <w:t xml:space="preserve">（2）纯水清洗反应池，避免残留抑制发光。  </w:t>
      </w:r>
    </w:p>
    <w:p w14:paraId="04DAA663">
      <w:pPr>
        <w:rPr>
          <w:rFonts w:hint="eastAsia"/>
          <w:b w:val="0"/>
          <w:bCs w:val="0"/>
          <w:lang w:eastAsia="zh-CN"/>
        </w:rPr>
      </w:pPr>
      <w:r>
        <w:rPr>
          <w:rFonts w:hint="eastAsia"/>
          <w:b w:val="0"/>
          <w:bCs w:val="0"/>
          <w:lang w:eastAsia="zh-CN"/>
        </w:rPr>
        <w:t xml:space="preserve">（3）开机后执行基线校准，确保发光值稳定。  </w:t>
      </w:r>
    </w:p>
    <w:p w14:paraId="54F434F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在线色度传感器</w:t>
      </w:r>
      <w:r>
        <w:rPr>
          <w:rFonts w:hint="eastAsia"/>
          <w:b/>
          <w:bCs/>
          <w:lang w:eastAsia="zh-CN"/>
        </w:rPr>
        <w:t>：</w:t>
      </w:r>
    </w:p>
    <w:p w14:paraId="2BD08F65">
      <w:pPr>
        <w:rPr>
          <w:rFonts w:hint="eastAsia"/>
          <w:b w:val="0"/>
          <w:bCs w:val="0"/>
          <w:lang w:eastAsia="zh-CN"/>
        </w:rPr>
      </w:pPr>
      <w:r>
        <w:rPr>
          <w:rFonts w:hint="eastAsia"/>
          <w:b w:val="0"/>
          <w:bCs w:val="0"/>
          <w:lang w:eastAsia="zh-CN"/>
        </w:rPr>
        <w:t>（1）外表面清洁用自来水清洗传感器外表面，有碎屑用湿润软布擦拭，顽固污垢可用加家用洗涤液的自来水清洗。</w:t>
      </w:r>
    </w:p>
    <w:p w14:paraId="10DB57CF">
      <w:pPr>
        <w:rPr>
          <w:rFonts w:hint="eastAsia"/>
          <w:b w:val="0"/>
          <w:bCs w:val="0"/>
          <w:lang w:eastAsia="zh-CN"/>
        </w:rPr>
      </w:pPr>
      <w:r>
        <w:rPr>
          <w:rFonts w:hint="eastAsia"/>
          <w:b w:val="0"/>
          <w:bCs w:val="0"/>
          <w:lang w:eastAsia="zh-CN"/>
        </w:rPr>
        <w:t>（2）检查线缆是否绷紧，防止内部电线断裂影响传感器工作。</w:t>
      </w:r>
    </w:p>
    <w:p w14:paraId="5BDC6513">
      <w:pPr>
        <w:rPr>
          <w:rFonts w:hint="eastAsia"/>
          <w:b w:val="0"/>
          <w:bCs w:val="0"/>
          <w:lang w:eastAsia="zh-CN"/>
        </w:rPr>
      </w:pPr>
      <w:r>
        <w:rPr>
          <w:rFonts w:hint="eastAsia"/>
          <w:b w:val="0"/>
          <w:bCs w:val="0"/>
          <w:lang w:eastAsia="zh-CN"/>
        </w:rPr>
        <w:t>（3）查看测量窗口是否脏污，清洁刷是否正常及有无损坏。</w:t>
      </w:r>
    </w:p>
    <w:p w14:paraId="71011D5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在线浊度传感器</w:t>
      </w:r>
      <w:r>
        <w:rPr>
          <w:rFonts w:hint="eastAsia"/>
          <w:b/>
          <w:bCs/>
          <w:lang w:eastAsia="zh-CN"/>
        </w:rPr>
        <w:t>：</w:t>
      </w:r>
    </w:p>
    <w:p w14:paraId="6E542AFA">
      <w:pPr>
        <w:rPr>
          <w:rFonts w:hint="eastAsia"/>
          <w:b w:val="0"/>
          <w:bCs w:val="0"/>
          <w:lang w:eastAsia="zh-CN"/>
        </w:rPr>
      </w:pPr>
      <w:r>
        <w:rPr>
          <w:rFonts w:hint="eastAsia"/>
          <w:b w:val="0"/>
          <w:bCs w:val="0"/>
          <w:lang w:eastAsia="zh-CN"/>
        </w:rPr>
        <w:t xml:space="preserve">（1）外表面清洁自来水冲洗表面，软布擦拭残留碎屑，顽固污垢可用稀释家用洗涤液清洗。  </w:t>
      </w:r>
    </w:p>
    <w:p w14:paraId="398D667A">
      <w:pPr>
        <w:rPr>
          <w:rFonts w:hint="eastAsia"/>
          <w:b w:val="0"/>
          <w:bCs w:val="0"/>
          <w:lang w:eastAsia="zh-CN"/>
        </w:rPr>
      </w:pPr>
      <w:r>
        <w:rPr>
          <w:rFonts w:hint="eastAsia"/>
          <w:b w:val="0"/>
          <w:bCs w:val="0"/>
          <w:lang w:eastAsia="zh-CN"/>
        </w:rPr>
        <w:t xml:space="preserve">（2）线缆检查确保线缆松弛无绷紧，避免内部断裂导致故障。  </w:t>
      </w:r>
    </w:p>
    <w:p w14:paraId="087CDDC9">
      <w:pPr>
        <w:rPr>
          <w:rFonts w:hint="eastAsia"/>
          <w:b w:val="0"/>
          <w:bCs w:val="0"/>
          <w:lang w:eastAsia="zh-CN"/>
        </w:rPr>
      </w:pPr>
      <w:r>
        <w:rPr>
          <w:rFonts w:hint="eastAsia"/>
          <w:b w:val="0"/>
          <w:bCs w:val="0"/>
          <w:lang w:eastAsia="zh-CN"/>
        </w:rPr>
        <w:t xml:space="preserve">（3）测量窗口维护检查测量窗口是否脏污，清洁刷是否正常工作。  </w:t>
      </w:r>
    </w:p>
    <w:p w14:paraId="03F2985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在线PH传感器</w:t>
      </w:r>
      <w:r>
        <w:rPr>
          <w:rFonts w:hint="eastAsia"/>
          <w:b/>
          <w:bCs/>
          <w:lang w:eastAsia="zh-CN"/>
        </w:rPr>
        <w:t>：</w:t>
      </w:r>
    </w:p>
    <w:p w14:paraId="2516CE02">
      <w:pPr>
        <w:rPr>
          <w:rFonts w:hint="eastAsia"/>
          <w:b w:val="0"/>
          <w:bCs w:val="0"/>
          <w:lang w:eastAsia="zh-CN"/>
        </w:rPr>
      </w:pPr>
      <w:r>
        <w:rPr>
          <w:rFonts w:hint="eastAsia"/>
          <w:b w:val="0"/>
          <w:bCs w:val="0"/>
          <w:lang w:eastAsia="zh-CN"/>
        </w:rPr>
        <w:t>（1）测量前用蒸馏水洗净并擦干传感器，插入被测液1/3深度，防杂质污染。</w:t>
      </w:r>
    </w:p>
    <w:p w14:paraId="28A20722">
      <w:pPr>
        <w:rPr>
          <w:rFonts w:hint="eastAsia"/>
          <w:b w:val="0"/>
          <w:bCs w:val="0"/>
          <w:lang w:eastAsia="zh-CN"/>
        </w:rPr>
      </w:pPr>
      <w:r>
        <w:rPr>
          <w:rFonts w:hint="eastAsia"/>
          <w:b w:val="0"/>
          <w:bCs w:val="0"/>
          <w:lang w:eastAsia="zh-CN"/>
        </w:rPr>
        <w:t>（2）闲置保养，洗净后浸泡于3mol/L氯化钾溶液中（保护套或容器），维持电极性能。</w:t>
      </w:r>
    </w:p>
    <w:p w14:paraId="60C0071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在线电导率传感器</w:t>
      </w:r>
      <w:r>
        <w:rPr>
          <w:rFonts w:hint="eastAsia"/>
          <w:b/>
          <w:bCs/>
          <w:lang w:eastAsia="zh-CN"/>
        </w:rPr>
        <w:t>：</w:t>
      </w:r>
    </w:p>
    <w:p w14:paraId="123065FD">
      <w:pPr>
        <w:rPr>
          <w:rFonts w:hint="eastAsia"/>
          <w:b w:val="0"/>
          <w:bCs w:val="0"/>
          <w:lang w:eastAsia="zh-CN"/>
        </w:rPr>
      </w:pPr>
      <w:r>
        <w:rPr>
          <w:rFonts w:hint="eastAsia"/>
          <w:b w:val="0"/>
          <w:bCs w:val="0"/>
          <w:lang w:eastAsia="zh-CN"/>
        </w:rPr>
        <w:t xml:space="preserve">（1）用软毛刷清除附着物（防划伤），蒸馏水洗净后校准。  </w:t>
      </w:r>
    </w:p>
    <w:p w14:paraId="12EF5C8D">
      <w:pPr>
        <w:rPr>
          <w:rFonts w:hint="eastAsia"/>
          <w:b w:val="0"/>
          <w:bCs w:val="0"/>
          <w:lang w:eastAsia="zh-CN"/>
        </w:rPr>
      </w:pPr>
      <w:r>
        <w:rPr>
          <w:rFonts w:hint="eastAsia"/>
          <w:b w:val="0"/>
          <w:bCs w:val="0"/>
          <w:lang w:eastAsia="zh-CN"/>
        </w:rPr>
        <w:t>（2）根据工况调整校准频率，确保测量准确性。</w:t>
      </w:r>
    </w:p>
    <w:p w14:paraId="34A12A2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在线硬度传感器</w:t>
      </w:r>
      <w:r>
        <w:rPr>
          <w:rFonts w:hint="eastAsia"/>
          <w:b/>
          <w:bCs/>
          <w:lang w:eastAsia="zh-CN"/>
        </w:rPr>
        <w:t>：</w:t>
      </w:r>
    </w:p>
    <w:p w14:paraId="5A23EDD1">
      <w:pPr>
        <w:rPr>
          <w:rFonts w:hint="eastAsia"/>
          <w:b w:val="0"/>
          <w:bCs w:val="0"/>
          <w:lang w:eastAsia="zh-CN"/>
        </w:rPr>
      </w:pPr>
      <w:r>
        <w:rPr>
          <w:rFonts w:hint="eastAsia"/>
          <w:b w:val="0"/>
          <w:bCs w:val="0"/>
          <w:lang w:eastAsia="zh-CN"/>
        </w:rPr>
        <w:t>（1）测试前，电极在自来水中通电浸泡48小时，活化后在去离子水中洗净。</w:t>
      </w:r>
    </w:p>
    <w:p w14:paraId="131887FE">
      <w:pPr>
        <w:rPr>
          <w:rFonts w:hint="eastAsia"/>
          <w:b w:val="0"/>
          <w:bCs w:val="0"/>
          <w:lang w:eastAsia="zh-CN"/>
        </w:rPr>
      </w:pPr>
      <w:r>
        <w:rPr>
          <w:rFonts w:hint="eastAsia"/>
          <w:b w:val="0"/>
          <w:bCs w:val="0"/>
          <w:lang w:eastAsia="zh-CN"/>
        </w:rPr>
        <w:t>（2）电极若长期（两周以上）不使用，需干燥储存，感应元件套入保护帽。</w:t>
      </w:r>
    </w:p>
    <w:p w14:paraId="62D8B767">
      <w:pPr>
        <w:rPr>
          <w:rFonts w:hint="eastAsia"/>
          <w:b w:val="0"/>
          <w:bCs w:val="0"/>
          <w:lang w:eastAsia="zh-CN"/>
        </w:rPr>
      </w:pPr>
      <w:r>
        <w:rPr>
          <w:rFonts w:hint="eastAsia"/>
          <w:b w:val="0"/>
          <w:bCs w:val="0"/>
          <w:lang w:eastAsia="zh-CN"/>
        </w:rPr>
        <w:t>（3）检查接线端子的干燥情况，有沾污时用无水酒精擦拭并吹干。</w:t>
      </w:r>
    </w:p>
    <w:p w14:paraId="04A1FEE2">
      <w:pPr>
        <w:rPr>
          <w:rFonts w:hint="eastAsia"/>
          <w:b w:val="0"/>
          <w:bCs w:val="0"/>
          <w:lang w:eastAsia="zh-CN"/>
        </w:rPr>
      </w:pPr>
      <w:r>
        <w:rPr>
          <w:rFonts w:hint="eastAsia"/>
          <w:b w:val="0"/>
          <w:bCs w:val="0"/>
          <w:lang w:eastAsia="zh-CN"/>
        </w:rPr>
        <w:t>（3）使用久的电极，若PVC膜半透明或有沉积物，用蒸馏水（或去离子水）冲洗。</w:t>
      </w:r>
    </w:p>
    <w:p w14:paraId="6E41A767">
      <w:pPr>
        <w:rPr>
          <w:rFonts w:hint="eastAsia"/>
          <w:b w:val="0"/>
          <w:bCs w:val="0"/>
          <w:lang w:eastAsia="zh-CN"/>
        </w:rPr>
      </w:pPr>
      <w:r>
        <w:rPr>
          <w:rFonts w:hint="eastAsia"/>
          <w:b w:val="0"/>
          <w:bCs w:val="0"/>
          <w:lang w:eastAsia="zh-CN"/>
        </w:rPr>
        <w:t>（4）电极使用久出现测量误差，须进行校正操作。</w:t>
      </w:r>
    </w:p>
    <w:p w14:paraId="03EE5C3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在线硬度分析仪</w:t>
      </w:r>
      <w:r>
        <w:rPr>
          <w:rFonts w:hint="eastAsia"/>
          <w:b/>
          <w:bCs/>
          <w:lang w:eastAsia="zh-CN"/>
        </w:rPr>
        <w:t>：</w:t>
      </w:r>
    </w:p>
    <w:p w14:paraId="1E5F006B">
      <w:pPr>
        <w:rPr>
          <w:rFonts w:hint="eastAsia"/>
          <w:b w:val="0"/>
          <w:bCs w:val="0"/>
          <w:lang w:eastAsia="zh-CN"/>
        </w:rPr>
      </w:pPr>
      <w:r>
        <w:rPr>
          <w:rFonts w:hint="eastAsia"/>
          <w:b w:val="0"/>
          <w:bCs w:val="0"/>
          <w:lang w:eastAsia="zh-CN"/>
        </w:rPr>
        <w:t xml:space="preserve">（1）检查蠕动泵管是否老化，每3个月更换一次。  </w:t>
      </w:r>
    </w:p>
    <w:p w14:paraId="1D2B8434">
      <w:pPr>
        <w:rPr>
          <w:rFonts w:hint="eastAsia"/>
          <w:b w:val="0"/>
          <w:bCs w:val="0"/>
          <w:lang w:eastAsia="zh-CN"/>
        </w:rPr>
      </w:pPr>
      <w:r>
        <w:rPr>
          <w:rFonts w:hint="eastAsia"/>
          <w:b w:val="0"/>
          <w:bCs w:val="0"/>
          <w:lang w:eastAsia="zh-CN"/>
        </w:rPr>
        <w:t xml:space="preserve">（2）用软布擦拭比色皿，避免划痕或污渍影响吸光度。  </w:t>
      </w:r>
    </w:p>
    <w:p w14:paraId="4A0DEF38">
      <w:pPr>
        <w:rPr>
          <w:rFonts w:hint="eastAsia"/>
          <w:b w:val="0"/>
          <w:bCs w:val="0"/>
          <w:lang w:eastAsia="zh-CN"/>
        </w:rPr>
      </w:pPr>
      <w:r>
        <w:rPr>
          <w:rFonts w:hint="eastAsia"/>
          <w:b w:val="0"/>
          <w:bCs w:val="0"/>
          <w:lang w:eastAsia="zh-CN"/>
        </w:rPr>
        <w:t xml:space="preserve">（3）更换EDTA滴定液和缓冲溶液，防止失效。  </w:t>
      </w:r>
    </w:p>
    <w:p w14:paraId="52FD994E">
      <w:pPr>
        <w:rPr>
          <w:rFonts w:hint="eastAsia"/>
          <w:b w:val="0"/>
          <w:bCs w:val="0"/>
          <w:lang w:eastAsia="zh-CN"/>
        </w:rPr>
      </w:pPr>
      <w:r>
        <w:rPr>
          <w:rFonts w:hint="eastAsia"/>
          <w:b w:val="0"/>
          <w:bCs w:val="0"/>
          <w:lang w:eastAsia="zh-CN"/>
        </w:rPr>
        <w:t>（4）用已知硬度标准液校准，误差＞5%时重新标定。</w:t>
      </w:r>
    </w:p>
    <w:p w14:paraId="538A043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在线氨氮传感器</w:t>
      </w:r>
      <w:r>
        <w:rPr>
          <w:rFonts w:hint="eastAsia"/>
          <w:b/>
          <w:bCs/>
          <w:lang w:eastAsia="zh-CN"/>
        </w:rPr>
        <w:t>：</w:t>
      </w:r>
    </w:p>
    <w:p w14:paraId="4C957267">
      <w:pPr>
        <w:rPr>
          <w:rFonts w:hint="eastAsia"/>
          <w:b w:val="0"/>
          <w:bCs w:val="0"/>
          <w:lang w:eastAsia="zh-CN"/>
        </w:rPr>
      </w:pPr>
      <w:r>
        <w:rPr>
          <w:rFonts w:hint="eastAsia"/>
          <w:b w:val="0"/>
          <w:bCs w:val="0"/>
          <w:lang w:eastAsia="zh-CN"/>
        </w:rPr>
        <w:t>（1）摘掉电极保护套，在清水中浸泡2小时活化，去离子水洗净后测试，初次用需在清水中泡30分钟以上、12小时以内。</w:t>
      </w:r>
    </w:p>
    <w:p w14:paraId="72236911">
      <w:pPr>
        <w:rPr>
          <w:rFonts w:hint="eastAsia"/>
          <w:b w:val="0"/>
          <w:bCs w:val="0"/>
          <w:lang w:eastAsia="zh-CN"/>
        </w:rPr>
      </w:pPr>
      <w:r>
        <w:rPr>
          <w:rFonts w:hint="eastAsia"/>
          <w:b w:val="0"/>
          <w:bCs w:val="0"/>
          <w:lang w:eastAsia="zh-CN"/>
        </w:rPr>
        <w:t>（2）长期（超两周）不用干燥储存，套上保护帽；短期不用放清水中浸泡；几天不用用含保护液外壳保存，下次用前清水泡30分钟以上。</w:t>
      </w:r>
    </w:p>
    <w:p w14:paraId="705A9D48">
      <w:pPr>
        <w:rPr>
          <w:rFonts w:hint="eastAsia"/>
          <w:b w:val="0"/>
          <w:bCs w:val="0"/>
          <w:lang w:eastAsia="zh-CN"/>
        </w:rPr>
      </w:pPr>
      <w:r>
        <w:rPr>
          <w:rFonts w:hint="eastAsia"/>
          <w:b w:val="0"/>
          <w:bCs w:val="0"/>
          <w:lang w:eastAsia="zh-CN"/>
        </w:rPr>
        <w:t>（3）检查接线端子干燥情况，沾污时用无水酒精擦拭吹干。</w:t>
      </w:r>
    </w:p>
    <w:p w14:paraId="5E3C8F29">
      <w:pPr>
        <w:rPr>
          <w:rFonts w:hint="eastAsia"/>
          <w:b w:val="0"/>
          <w:bCs w:val="0"/>
          <w:lang w:eastAsia="zh-CN"/>
        </w:rPr>
      </w:pPr>
      <w:r>
        <w:rPr>
          <w:rFonts w:hint="eastAsia"/>
          <w:b w:val="0"/>
          <w:bCs w:val="0"/>
          <w:lang w:eastAsia="zh-CN"/>
        </w:rPr>
        <w:t>（4）PVC膜半透明或有沉积物，用蒸馏水（或去离子水）冲洗。</w:t>
      </w:r>
    </w:p>
    <w:p w14:paraId="7CD3206B">
      <w:pPr>
        <w:rPr>
          <w:rFonts w:hint="eastAsia"/>
          <w:b w:val="0"/>
          <w:bCs w:val="0"/>
          <w:lang w:eastAsia="zh-CN"/>
        </w:rPr>
      </w:pPr>
      <w:r>
        <w:rPr>
          <w:rFonts w:hint="eastAsia"/>
          <w:b w:val="0"/>
          <w:bCs w:val="0"/>
          <w:lang w:eastAsia="zh-CN"/>
        </w:rPr>
        <w:t>（5）电极使用久出现测量误差，须进行校正。</w:t>
      </w:r>
    </w:p>
    <w:p w14:paraId="7C68B262">
      <w:pPr>
        <w:rPr>
          <w:rFonts w:hint="eastAsia"/>
          <w:b w:val="0"/>
          <w:bCs w:val="0"/>
          <w:lang w:eastAsia="zh-CN"/>
        </w:rPr>
      </w:pPr>
      <w:r>
        <w:rPr>
          <w:rFonts w:hint="eastAsia"/>
          <w:b w:val="0"/>
          <w:bCs w:val="0"/>
          <w:lang w:eastAsia="zh-CN"/>
        </w:rPr>
        <w:t>（6）校准时放校准液中轻晃、静置，待读数稳定（约5分钟）再校准。</w:t>
      </w:r>
    </w:p>
    <w:p w14:paraId="5163B91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在线氨氮分析仪</w:t>
      </w:r>
      <w:r>
        <w:rPr>
          <w:rFonts w:hint="eastAsia"/>
          <w:b/>
          <w:bCs/>
          <w:lang w:eastAsia="zh-CN"/>
        </w:rPr>
        <w:t>：</w:t>
      </w:r>
    </w:p>
    <w:p w14:paraId="3D920A1F">
      <w:pPr>
        <w:rPr>
          <w:rFonts w:hint="eastAsia"/>
          <w:b w:val="0"/>
          <w:bCs w:val="0"/>
          <w:lang w:eastAsia="zh-CN"/>
        </w:rPr>
      </w:pPr>
      <w:r>
        <w:rPr>
          <w:rFonts w:hint="eastAsia"/>
          <w:b w:val="0"/>
          <w:bCs w:val="0"/>
          <w:lang w:eastAsia="zh-CN"/>
        </w:rPr>
        <w:t xml:space="preserve">（1）检查水杨酸钠、次氯酸盐等试剂是否变色或沉淀。  </w:t>
      </w:r>
    </w:p>
    <w:p w14:paraId="3CB3C8C9">
      <w:pPr>
        <w:rPr>
          <w:rFonts w:hint="eastAsia"/>
          <w:b w:val="0"/>
          <w:bCs w:val="0"/>
          <w:lang w:eastAsia="zh-CN"/>
        </w:rPr>
      </w:pPr>
      <w:r>
        <w:rPr>
          <w:rFonts w:hint="eastAsia"/>
          <w:b w:val="0"/>
          <w:bCs w:val="0"/>
          <w:lang w:eastAsia="zh-CN"/>
        </w:rPr>
        <w:t xml:space="preserve">（2）清洁比色皿及光源窗口，确保透光率。  </w:t>
      </w:r>
    </w:p>
    <w:p w14:paraId="1B22124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在线光学硝氮传感器</w:t>
      </w:r>
      <w:r>
        <w:rPr>
          <w:rFonts w:hint="eastAsia"/>
          <w:b/>
          <w:bCs/>
          <w:lang w:eastAsia="zh-CN"/>
        </w:rPr>
        <w:t>：</w:t>
      </w:r>
    </w:p>
    <w:p w14:paraId="460A004D">
      <w:pPr>
        <w:rPr>
          <w:rFonts w:hint="eastAsia"/>
          <w:b w:val="0"/>
          <w:bCs w:val="0"/>
          <w:lang w:eastAsia="zh-CN"/>
        </w:rPr>
      </w:pPr>
      <w:r>
        <w:rPr>
          <w:rFonts w:hint="eastAsia"/>
          <w:b w:val="0"/>
          <w:bCs w:val="0"/>
          <w:lang w:eastAsia="zh-CN"/>
        </w:rPr>
        <w:t>（1）定期用自来水清洗传感器外表面，若有碎屑用湿润软布擦拭，顽固污垢可加家用洗涤液清洗；每18个月返厂检测保养自清洁刷；检查测量窗口和清洁刷是否脏污、损坏。</w:t>
      </w:r>
    </w:p>
    <w:p w14:paraId="416BE4CF">
      <w:pPr>
        <w:rPr>
          <w:rFonts w:hint="eastAsia"/>
          <w:b w:val="0"/>
          <w:bCs w:val="0"/>
          <w:lang w:eastAsia="zh-CN"/>
        </w:rPr>
      </w:pPr>
      <w:r>
        <w:rPr>
          <w:rFonts w:hint="eastAsia"/>
          <w:b w:val="0"/>
          <w:bCs w:val="0"/>
          <w:lang w:eastAsia="zh-CN"/>
        </w:rPr>
        <w:t>（2）查看线缆是否绷紧，防止内部电线断裂影响传感器正常工作。</w:t>
      </w:r>
    </w:p>
    <w:p w14:paraId="077B92B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在线高锰酸盐指数分析仪</w:t>
      </w:r>
      <w:r>
        <w:rPr>
          <w:rFonts w:hint="eastAsia"/>
          <w:b/>
          <w:bCs/>
          <w:lang w:eastAsia="zh-CN"/>
        </w:rPr>
        <w:t>：</w:t>
      </w:r>
    </w:p>
    <w:p w14:paraId="53B0113C">
      <w:pPr>
        <w:rPr>
          <w:rFonts w:hint="eastAsia"/>
          <w:b w:val="0"/>
          <w:bCs w:val="0"/>
          <w:lang w:eastAsia="zh-CN"/>
        </w:rPr>
      </w:pPr>
      <w:r>
        <w:rPr>
          <w:rFonts w:hint="eastAsia"/>
          <w:b w:val="0"/>
          <w:bCs w:val="0"/>
          <w:lang w:eastAsia="zh-CN"/>
        </w:rPr>
        <w:t xml:space="preserve">（1）检查高锰酸钾溶液浓度，出现沉淀立即更换。  </w:t>
      </w:r>
    </w:p>
    <w:p w14:paraId="0674B6AE">
      <w:pPr>
        <w:rPr>
          <w:rFonts w:hint="eastAsia"/>
          <w:b w:val="0"/>
          <w:bCs w:val="0"/>
          <w:lang w:eastAsia="zh-CN"/>
        </w:rPr>
      </w:pPr>
      <w:r>
        <w:rPr>
          <w:rFonts w:hint="eastAsia"/>
          <w:b w:val="0"/>
          <w:bCs w:val="0"/>
          <w:lang w:eastAsia="zh-CN"/>
        </w:rPr>
        <w:t xml:space="preserve">（2）清洁消解池，清除积碳或残留物。  </w:t>
      </w:r>
    </w:p>
    <w:p w14:paraId="44075496">
      <w:pPr>
        <w:rPr>
          <w:rFonts w:hint="eastAsia"/>
          <w:b w:val="0"/>
          <w:bCs w:val="0"/>
          <w:lang w:eastAsia="zh-CN"/>
        </w:rPr>
      </w:pPr>
      <w:r>
        <w:rPr>
          <w:rFonts w:hint="eastAsia"/>
          <w:b w:val="0"/>
          <w:bCs w:val="0"/>
          <w:lang w:eastAsia="zh-CN"/>
        </w:rPr>
        <w:t xml:space="preserve">（3）观察草酸钠滴定液消耗速度，防止漏液。  </w:t>
      </w:r>
    </w:p>
    <w:p w14:paraId="7D6B96ED">
      <w:pPr>
        <w:rPr>
          <w:rFonts w:hint="eastAsia"/>
          <w:b w:val="0"/>
          <w:bCs w:val="0"/>
          <w:lang w:eastAsia="zh-CN"/>
        </w:rPr>
      </w:pPr>
      <w:r>
        <w:rPr>
          <w:rFonts w:hint="eastAsia"/>
          <w:b w:val="0"/>
          <w:bCs w:val="0"/>
          <w:lang w:eastAsia="zh-CN"/>
        </w:rPr>
        <w:t xml:space="preserve">（4）用COD标准样（邻苯二甲酸氢钾）进行交叉验证。 </w:t>
      </w:r>
    </w:p>
    <w:p w14:paraId="6821D88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在线余氯</w:t>
      </w:r>
      <w:r>
        <w:rPr>
          <w:rFonts w:hint="eastAsia"/>
          <w:b/>
          <w:bCs/>
          <w:lang w:val="en-US" w:eastAsia="zh-CN"/>
        </w:rPr>
        <w:t>/二氧化氯/臭氧</w:t>
      </w:r>
      <w:r>
        <w:rPr>
          <w:rFonts w:hint="eastAsia"/>
          <w:b/>
          <w:bCs/>
        </w:rPr>
        <w:t>传感器</w:t>
      </w:r>
      <w:r>
        <w:rPr>
          <w:rFonts w:hint="eastAsia"/>
          <w:b/>
          <w:bCs/>
          <w:lang w:eastAsia="zh-CN"/>
        </w:rPr>
        <w:t>：</w:t>
      </w:r>
    </w:p>
    <w:p w14:paraId="14E0F3B9">
      <w:pPr>
        <w:rPr>
          <w:rFonts w:hint="eastAsia"/>
          <w:b w:val="0"/>
          <w:bCs w:val="0"/>
          <w:lang w:eastAsia="zh-CN"/>
        </w:rPr>
      </w:pPr>
      <w:r>
        <w:rPr>
          <w:rFonts w:hint="eastAsia"/>
          <w:b w:val="0"/>
          <w:bCs w:val="0"/>
          <w:lang w:eastAsia="zh-CN"/>
        </w:rPr>
        <w:t>（1）新电极和长期放置的电极使用前，放自来水中静置24小时活化；初次或长期干燥放置（超半月），不通电在3mol/L KCL溶液浸泡2h以上活化，再在含氯流通溶液中极化2h以上（可至24h，先通水后通电）。</w:t>
      </w:r>
    </w:p>
    <w:p w14:paraId="6D8C1FB9">
      <w:pPr>
        <w:rPr>
          <w:rFonts w:hint="eastAsia"/>
          <w:b w:val="0"/>
          <w:bCs w:val="0"/>
          <w:lang w:eastAsia="zh-CN"/>
        </w:rPr>
      </w:pPr>
      <w:r>
        <w:rPr>
          <w:rFonts w:hint="eastAsia"/>
          <w:b w:val="0"/>
          <w:bCs w:val="0"/>
          <w:lang w:eastAsia="zh-CN"/>
        </w:rPr>
        <w:t>（2）校准操作若返回数值不准确，对传感器进行零点和斜率校准。</w:t>
      </w:r>
    </w:p>
    <w:p w14:paraId="6D0D7123">
      <w:pPr>
        <w:rPr>
          <w:rFonts w:hint="eastAsia"/>
          <w:b w:val="0"/>
          <w:bCs w:val="0"/>
          <w:lang w:eastAsia="zh-CN"/>
        </w:rPr>
      </w:pPr>
      <w:r>
        <w:rPr>
          <w:rFonts w:hint="eastAsia"/>
          <w:b w:val="0"/>
          <w:bCs w:val="0"/>
          <w:lang w:eastAsia="zh-CN"/>
        </w:rPr>
        <w:t>（3）传感器长期不用时，用纯净水清洗探头，放于含3mol/L KCL溶液的保护罩内储存。</w:t>
      </w:r>
    </w:p>
    <w:p w14:paraId="06C37CC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在线余氯分析仪</w:t>
      </w:r>
      <w:r>
        <w:rPr>
          <w:rFonts w:hint="eastAsia"/>
          <w:b/>
          <w:bCs/>
          <w:lang w:eastAsia="zh-CN"/>
        </w:rPr>
        <w:t>：</w:t>
      </w:r>
    </w:p>
    <w:p w14:paraId="02F5DBAF">
      <w:pPr>
        <w:rPr>
          <w:rFonts w:hint="eastAsia"/>
          <w:b w:val="0"/>
          <w:bCs w:val="0"/>
          <w:lang w:eastAsia="zh-CN"/>
        </w:rPr>
      </w:pPr>
      <w:r>
        <w:rPr>
          <w:rFonts w:hint="eastAsia"/>
          <w:b w:val="0"/>
          <w:bCs w:val="0"/>
          <w:lang w:eastAsia="zh-CN"/>
        </w:rPr>
        <w:t xml:space="preserve">（1）检查DPD试剂粉末是否潮解，每月更换缓冲液。  </w:t>
      </w:r>
    </w:p>
    <w:p w14:paraId="70F208F6">
      <w:pPr>
        <w:rPr>
          <w:rFonts w:hint="eastAsia"/>
          <w:b w:val="0"/>
          <w:bCs w:val="0"/>
          <w:lang w:eastAsia="zh-CN"/>
        </w:rPr>
      </w:pPr>
      <w:r>
        <w:rPr>
          <w:rFonts w:hint="eastAsia"/>
          <w:b w:val="0"/>
          <w:bCs w:val="0"/>
          <w:lang w:eastAsia="zh-CN"/>
        </w:rPr>
        <w:t xml:space="preserve">（2）用无尘布擦拭比色皿，防止指纹或水渍。  </w:t>
      </w:r>
    </w:p>
    <w:p w14:paraId="400CF8D3">
      <w:pPr>
        <w:rPr>
          <w:rFonts w:hint="eastAsia"/>
          <w:b w:val="0"/>
          <w:bCs w:val="0"/>
          <w:lang w:eastAsia="zh-CN"/>
        </w:rPr>
      </w:pPr>
      <w:r>
        <w:rPr>
          <w:rFonts w:hint="eastAsia"/>
          <w:b w:val="0"/>
          <w:bCs w:val="0"/>
          <w:lang w:eastAsia="zh-CN"/>
        </w:rPr>
        <w:t xml:space="preserve">（3）用1.0mg/L氯标准液校准，误差＞5%时调整。  </w:t>
      </w:r>
    </w:p>
    <w:p w14:paraId="1A0B7D68">
      <w:pPr>
        <w:rPr>
          <w:rFonts w:hint="eastAsia"/>
          <w:b w:val="0"/>
          <w:bCs w:val="0"/>
          <w:lang w:eastAsia="zh-CN"/>
        </w:rPr>
      </w:pPr>
      <w:r>
        <w:rPr>
          <w:rFonts w:hint="eastAsia"/>
          <w:b w:val="0"/>
          <w:bCs w:val="0"/>
          <w:lang w:eastAsia="zh-CN"/>
        </w:rPr>
        <w:t xml:space="preserve">（4）检查前置过滤器，及时更换堵塞滤芯（0.45μm）。  </w:t>
      </w:r>
    </w:p>
    <w:p w14:paraId="5601E09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lang w:eastAsia="zh-CN"/>
        </w:rPr>
        <w:t>在线全光谱多参数传感器：</w:t>
      </w:r>
    </w:p>
    <w:p w14:paraId="410A3761">
      <w:pPr>
        <w:rPr>
          <w:rFonts w:hint="eastAsia"/>
          <w:b w:val="0"/>
          <w:bCs w:val="0"/>
          <w:lang w:eastAsia="zh-CN"/>
        </w:rPr>
      </w:pPr>
      <w:r>
        <w:rPr>
          <w:rFonts w:hint="eastAsia"/>
          <w:b w:val="0"/>
          <w:bCs w:val="0"/>
          <w:lang w:eastAsia="zh-CN"/>
        </w:rPr>
        <w:t>（1）定期用自来水清洗外表面，若有碎屑残留，用湿润软布擦拭；顽固污垢可加家用洗涤液清洗。</w:t>
      </w:r>
    </w:p>
    <w:p w14:paraId="46AD25D5">
      <w:pPr>
        <w:rPr>
          <w:rFonts w:hint="eastAsia"/>
          <w:b w:val="0"/>
          <w:bCs w:val="0"/>
          <w:lang w:eastAsia="zh-CN"/>
        </w:rPr>
      </w:pPr>
      <w:r>
        <w:rPr>
          <w:rFonts w:hint="eastAsia"/>
          <w:b w:val="0"/>
          <w:bCs w:val="0"/>
          <w:lang w:eastAsia="zh-CN"/>
        </w:rPr>
        <w:t>（2）查看线缆是否绷紧、测量窗口有无脏污、清洁刷是否正常及有无损坏。</w:t>
      </w:r>
    </w:p>
    <w:p w14:paraId="07BCEEDC">
      <w:pPr>
        <w:rPr>
          <w:rFonts w:hint="eastAsia"/>
          <w:b w:val="0"/>
          <w:bCs w:val="0"/>
          <w:lang w:eastAsia="zh-CN"/>
        </w:rPr>
      </w:pPr>
      <w:r>
        <w:rPr>
          <w:rFonts w:hint="eastAsia"/>
          <w:b w:val="0"/>
          <w:bCs w:val="0"/>
          <w:lang w:eastAsia="zh-CN"/>
        </w:rPr>
        <w:t>（3）校准传感器，在使用前将传感器置入去离子水，保证光路浸没且无气泡，发送光谱校准指令完成校准。</w:t>
      </w:r>
    </w:p>
    <w:p w14:paraId="069607A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lang w:eastAsia="zh-CN"/>
        </w:rPr>
        <w:t>便携式多参数分析仪：</w:t>
      </w:r>
    </w:p>
    <w:p w14:paraId="580D7483">
      <w:pPr>
        <w:rPr>
          <w:rFonts w:hint="eastAsia"/>
          <w:b w:val="0"/>
          <w:bCs w:val="0"/>
          <w:lang w:eastAsia="zh-CN"/>
        </w:rPr>
      </w:pPr>
      <w:r>
        <w:rPr>
          <w:rFonts w:hint="eastAsia"/>
          <w:b w:val="0"/>
          <w:bCs w:val="0"/>
          <w:lang w:eastAsia="zh-CN"/>
        </w:rPr>
        <w:t>（1）平常不用时拔掉电源插头。若有反应液体溅到载物台或仪器外壁，及时用湿抹布擦去，必要时消毒。每次使用完毕用湿抹布擦拭保持洁净。</w:t>
      </w:r>
    </w:p>
    <w:p w14:paraId="15DC1935">
      <w:pPr>
        <w:rPr>
          <w:rFonts w:hint="eastAsia"/>
          <w:b w:val="0"/>
          <w:bCs w:val="0"/>
          <w:lang w:eastAsia="zh-CN"/>
        </w:rPr>
      </w:pPr>
      <w:r>
        <w:rPr>
          <w:rFonts w:hint="eastAsia"/>
          <w:b w:val="0"/>
          <w:bCs w:val="0"/>
          <w:lang w:eastAsia="zh-CN"/>
        </w:rPr>
        <w:t>（2）仪器有开机自检功能，出现故障时，依据故障提示或常见故障排查方法处理。如水质检测仪不能启动，检查电源；自检不正常，查看光源灯、重新设置波长值或更换滤光片；检测结果不正确，根据具体原因更换光源灯、滤光片、试剂，排除干扰源，重新校准标定或处理样本；</w:t>
      </w:r>
    </w:p>
    <w:p w14:paraId="49E3E056">
      <w:pPr>
        <w:rPr>
          <w:rFonts w:hint="eastAsia"/>
          <w:b w:val="0"/>
          <w:bCs w:val="0"/>
          <w:lang w:eastAsia="zh-CN"/>
        </w:rPr>
      </w:pPr>
      <w:r>
        <w:rPr>
          <w:rFonts w:hint="eastAsia"/>
          <w:b w:val="0"/>
          <w:bCs w:val="0"/>
          <w:lang w:eastAsia="zh-CN"/>
        </w:rPr>
        <w:t>（3）本仪器属于计量类仪器，出现检测结果超出规定范围、实验条件改变、用标准溶液检验出现误差等情形时，需使用标准溶液重新进行校准和标定，标液可选用国家标物中心发行的质控品、从厂家购买或用户自行配置（配置应严格按照对应检测项目最新版本的环境标准），以保证测定结果的准确性。</w:t>
      </w:r>
    </w:p>
    <w:p w14:paraId="03E678E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电磁流量计</w:t>
      </w:r>
      <w:r>
        <w:rPr>
          <w:rFonts w:hint="eastAsia"/>
          <w:b/>
          <w:bCs/>
          <w:lang w:eastAsia="zh-CN"/>
        </w:rPr>
        <w:t>：</w:t>
      </w:r>
    </w:p>
    <w:p w14:paraId="2A58B2CD">
      <w:pPr>
        <w:rPr>
          <w:rFonts w:hint="eastAsia"/>
          <w:b w:val="0"/>
          <w:bCs w:val="0"/>
          <w:lang w:eastAsia="zh-CN"/>
        </w:rPr>
      </w:pPr>
      <w:r>
        <w:rPr>
          <w:rFonts w:hint="eastAsia"/>
          <w:b w:val="0"/>
          <w:bCs w:val="0"/>
          <w:lang w:eastAsia="zh-CN"/>
        </w:rPr>
        <w:t>（1）定期清理电磁流量计转换器和传感器表面，去除灰尘、污垢和杂物，避免其进入设备内部影响正常运行。清理时应使用干净、柔软的布，避免刮伤设备外壳。</w:t>
      </w:r>
    </w:p>
    <w:p w14:paraId="4743DB7B">
      <w:pPr>
        <w:rPr>
          <w:rFonts w:hint="eastAsia"/>
          <w:b w:val="0"/>
          <w:bCs w:val="0"/>
          <w:lang w:eastAsia="zh-CN"/>
        </w:rPr>
      </w:pPr>
      <w:r>
        <w:rPr>
          <w:rFonts w:hint="eastAsia"/>
          <w:b w:val="0"/>
          <w:bCs w:val="0"/>
          <w:lang w:eastAsia="zh-CN"/>
        </w:rPr>
        <w:t>（2）经常检查连接电线电缆，查看是否有破损、老化、松动等情况。对于信号线、励磁电流线、输出与电源线等，若发现问题及时更换或修复，确保线路连接可靠，减少信号传输干扰和电气故障风险。如流量信号传输电缆若有破损，可能导致测量数据不准确 。</w:t>
      </w:r>
    </w:p>
    <w:p w14:paraId="3530DDAE">
      <w:pPr>
        <w:rPr>
          <w:rFonts w:hint="eastAsia"/>
          <w:b w:val="0"/>
          <w:bCs w:val="0"/>
          <w:lang w:eastAsia="zh-CN"/>
        </w:rPr>
      </w:pPr>
      <w:r>
        <w:rPr>
          <w:rFonts w:hint="eastAsia"/>
          <w:b w:val="0"/>
          <w:bCs w:val="0"/>
          <w:lang w:eastAsia="zh-CN"/>
        </w:rPr>
        <w:t>（3）定期查看仪表参数设置，确保其与实际测量需求相符。根据使用情况和相关标准，对仪表进行校准，如模拟量输出校准，包括电流“0”点修正、满度修正和线性度检查等，保证测量精度。若测量环境或工艺发生变化，及时调整测量管道口径、流量单位、仪表量程等参数 。</w:t>
      </w:r>
    </w:p>
    <w:p w14:paraId="1D744683">
      <w:pPr>
        <w:rPr>
          <w:rFonts w:hint="eastAsia"/>
          <w:b w:val="0"/>
          <w:bCs w:val="0"/>
          <w:lang w:eastAsia="zh-CN"/>
        </w:rPr>
      </w:pPr>
      <w:r>
        <w:rPr>
          <w:rFonts w:hint="eastAsia"/>
          <w:b w:val="0"/>
          <w:bCs w:val="0"/>
          <w:lang w:eastAsia="zh-CN"/>
        </w:rPr>
        <w:t>（4）定期进行仪表功能测试，如检查数字量输出（频率输出和脉冲输出）、模拟量输出、报警输出等功能是否正常。测试时可通过连接相应设备，观察输出信号是否符合预期。例如，模拟量输出可使用电流表或电压表进行测量，检查输出电流是否在规定范围内 。</w:t>
      </w:r>
    </w:p>
    <w:p w14:paraId="14670C8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液体颗粒计数器</w:t>
      </w:r>
      <w:r>
        <w:rPr>
          <w:rFonts w:hint="eastAsia"/>
          <w:b/>
          <w:bCs/>
          <w:lang w:eastAsia="zh-CN"/>
        </w:rPr>
        <w:t>：</w:t>
      </w:r>
    </w:p>
    <w:p w14:paraId="0FFA4E7D">
      <w:pPr>
        <w:rPr>
          <w:rFonts w:hint="eastAsia"/>
          <w:b w:val="0"/>
          <w:bCs w:val="0"/>
          <w:lang w:eastAsia="zh-CN"/>
        </w:rPr>
      </w:pPr>
      <w:r>
        <w:rPr>
          <w:rFonts w:hint="eastAsia"/>
          <w:b w:val="0"/>
          <w:bCs w:val="0"/>
          <w:lang w:eastAsia="zh-CN"/>
        </w:rPr>
        <w:t>（1）定期使用干净柔软的布擦拭触摸显示屏、主机外壳，清除表面的灰尘、污渍，避免影响显示效果和设备正常运行。擦拭时需注意力度，防止刮花屏幕。</w:t>
      </w:r>
    </w:p>
    <w:p w14:paraId="15CC8532">
      <w:pPr>
        <w:rPr>
          <w:rFonts w:hint="eastAsia"/>
          <w:b w:val="0"/>
          <w:bCs w:val="0"/>
          <w:lang w:eastAsia="zh-CN"/>
        </w:rPr>
      </w:pPr>
      <w:r>
        <w:rPr>
          <w:rFonts w:hint="eastAsia"/>
          <w:b w:val="0"/>
          <w:bCs w:val="0"/>
          <w:lang w:eastAsia="zh-CN"/>
        </w:rPr>
        <w:t>（2）仪器出厂时内部放置了干燥剂包，在长期库存后启用或连续使用3 - 6个月（视工作环境湿度而定），打开仪器上机盖检查干燥剂包。若内部干燥剂由浅蓝色变为无色，需及时更换；若无新干燥剂包，可将已吸水的干燥剂包在80度烘箱烘烤4 - 5小时，待其恢复浅蓝色后再次使用 ，以保证仪器在潮湿环境下能稳定工作。</w:t>
      </w:r>
    </w:p>
    <w:p w14:paraId="41B8466C">
      <w:pPr>
        <w:rPr>
          <w:rFonts w:hint="eastAsia"/>
          <w:b w:val="0"/>
          <w:bCs w:val="0"/>
          <w:lang w:eastAsia="zh-CN"/>
        </w:rPr>
      </w:pPr>
      <w:r>
        <w:rPr>
          <w:rFonts w:hint="eastAsia"/>
          <w:b w:val="0"/>
          <w:bCs w:val="0"/>
          <w:lang w:eastAsia="zh-CN"/>
        </w:rPr>
        <w:t>（3）定期用量筒和秒表从出液口测量流速，通过调节仪器侧面的流量调节阀，使实际测得的流速与仪器设置值一致，确保检测过程中流量稳定，保证检测结果的准确性。</w:t>
      </w:r>
    </w:p>
    <w:p w14:paraId="4FA17AF8">
      <w:pPr>
        <w:rPr>
          <w:rFonts w:hint="eastAsia"/>
          <w:b w:val="0"/>
          <w:bCs w:val="0"/>
          <w:lang w:eastAsia="zh-CN"/>
        </w:rPr>
      </w:pPr>
      <w:r>
        <w:rPr>
          <w:rFonts w:hint="eastAsia"/>
          <w:b w:val="0"/>
          <w:bCs w:val="0"/>
          <w:lang w:eastAsia="zh-CN"/>
        </w:rPr>
        <w:t>（4）定期查看检测数据，及时清理无用数据，如在查询界面点击【删除】删除当前数据，或点击【清空】清除全部数据，避免数据过多影响仪器运行速度。同时，将重要数据存储到档案中，方便后续查询和分析，在查询界面点击【存储】可将检测结果存储到【档案】 。</w:t>
      </w:r>
    </w:p>
    <w:p w14:paraId="1DD701D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管道噪声检测仪</w:t>
      </w:r>
      <w:r>
        <w:rPr>
          <w:rFonts w:hint="eastAsia"/>
          <w:b/>
          <w:bCs/>
          <w:lang w:eastAsia="zh-CN"/>
        </w:rPr>
        <w:t>：</w:t>
      </w:r>
    </w:p>
    <w:p w14:paraId="5B1B6600">
      <w:pPr>
        <w:rPr>
          <w:rFonts w:hint="eastAsia"/>
          <w:b w:val="0"/>
          <w:bCs w:val="0"/>
          <w:lang w:eastAsia="zh-CN"/>
        </w:rPr>
      </w:pPr>
      <w:r>
        <w:rPr>
          <w:rFonts w:hint="eastAsia"/>
          <w:b w:val="0"/>
          <w:bCs w:val="0"/>
          <w:lang w:eastAsia="zh-CN"/>
        </w:rPr>
        <w:t>（1）检查探头安装，确保垂直吸附在清洁管件上，按规定间距（钢管和铁管不超200米、塑料管不超50米）布置，定期查看是否松动或移位。</w:t>
      </w:r>
    </w:p>
    <w:p w14:paraId="13818616">
      <w:pPr>
        <w:rPr>
          <w:rFonts w:hint="eastAsia"/>
          <w:b w:val="0"/>
          <w:bCs w:val="0"/>
          <w:lang w:eastAsia="zh-CN"/>
        </w:rPr>
      </w:pPr>
      <w:r>
        <w:rPr>
          <w:rFonts w:hint="eastAsia"/>
          <w:b w:val="0"/>
          <w:bCs w:val="0"/>
          <w:lang w:eastAsia="zh-CN"/>
        </w:rPr>
        <w:t>（2）设置定时采集（0:00 - 4:00为宜）、校准时间、更新设备位置信息，保证数据采集和分析的准确性。</w:t>
      </w:r>
    </w:p>
    <w:p w14:paraId="43C8325C">
      <w:pPr>
        <w:rPr>
          <w:rFonts w:hint="eastAsia"/>
          <w:b w:val="0"/>
          <w:bCs w:val="0"/>
          <w:lang w:eastAsia="zh-CN"/>
        </w:rPr>
      </w:pPr>
      <w:r>
        <w:rPr>
          <w:rFonts w:hint="eastAsia"/>
          <w:b w:val="0"/>
          <w:bCs w:val="0"/>
          <w:lang w:eastAsia="zh-CN"/>
        </w:rPr>
        <w:t xml:space="preserve">（3）登录在线监测系统，查看设备状态（区分在线、离线），运用直方图、曲线、音频分析数据，排查异常情况。 </w:t>
      </w:r>
    </w:p>
    <w:p w14:paraId="1D5696E8">
      <w:pPr>
        <w:pStyle w:val="3"/>
        <w:rPr>
          <w:rFonts w:hint="eastAsia"/>
        </w:rPr>
      </w:pPr>
      <w:bookmarkStart w:id="22" w:name="_Toc9648"/>
      <w:r>
        <w:rPr>
          <w:rFonts w:hint="eastAsia"/>
          <w:lang w:val="en-US" w:eastAsia="zh-CN"/>
        </w:rPr>
        <w:t>设备</w:t>
      </w:r>
      <w:r>
        <w:rPr>
          <w:rFonts w:hint="eastAsia"/>
        </w:rPr>
        <w:t>维护注意事项</w:t>
      </w:r>
      <w:bookmarkEnd w:id="22"/>
    </w:p>
    <w:p w14:paraId="2D7A770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大肠杆菌在线分析仪</w:t>
      </w:r>
      <w:r>
        <w:rPr>
          <w:rFonts w:hint="eastAsia"/>
          <w:b/>
          <w:bCs/>
          <w:lang w:eastAsia="zh-CN"/>
        </w:rPr>
        <w:t>：</w:t>
      </w:r>
    </w:p>
    <w:p w14:paraId="0317D396">
      <w:pPr>
        <w:rPr>
          <w:rFonts w:hint="eastAsia"/>
          <w:b w:val="0"/>
          <w:bCs w:val="0"/>
          <w:lang w:eastAsia="zh-CN"/>
        </w:rPr>
      </w:pPr>
      <w:r>
        <w:rPr>
          <w:rFonts w:hint="eastAsia"/>
          <w:b w:val="0"/>
          <w:bCs w:val="0"/>
          <w:lang w:eastAsia="zh-CN"/>
        </w:rPr>
        <w:t>（</w:t>
      </w:r>
      <w:r>
        <w:rPr>
          <w:rFonts w:hint="eastAsia"/>
          <w:b w:val="0"/>
          <w:bCs w:val="0"/>
          <w:lang w:val="en-US" w:eastAsia="zh-CN"/>
        </w:rPr>
        <w:t>1</w:t>
      </w:r>
      <w:r>
        <w:rPr>
          <w:rFonts w:hint="eastAsia"/>
          <w:b w:val="0"/>
          <w:bCs w:val="0"/>
          <w:lang w:eastAsia="zh-CN"/>
        </w:rPr>
        <w:t xml:space="preserve">）操作时佩戴手套，避免试剂接触皮肤或交叉污染。  </w:t>
      </w:r>
    </w:p>
    <w:p w14:paraId="09AE75ED">
      <w:pPr>
        <w:rPr>
          <w:rFonts w:hint="eastAsia"/>
          <w:b w:val="0"/>
          <w:bCs w:val="0"/>
          <w:lang w:eastAsia="zh-CN"/>
        </w:rPr>
      </w:pPr>
      <w:r>
        <w:rPr>
          <w:rFonts w:hint="eastAsia"/>
          <w:b w:val="0"/>
          <w:bCs w:val="0"/>
          <w:lang w:eastAsia="zh-CN"/>
        </w:rPr>
        <w:t>（</w:t>
      </w:r>
      <w:r>
        <w:rPr>
          <w:rFonts w:hint="eastAsia"/>
          <w:b w:val="0"/>
          <w:bCs w:val="0"/>
          <w:lang w:val="en-US" w:eastAsia="zh-CN"/>
        </w:rPr>
        <w:t>2</w:t>
      </w:r>
      <w:r>
        <w:rPr>
          <w:rFonts w:hint="eastAsia"/>
          <w:b w:val="0"/>
          <w:bCs w:val="0"/>
          <w:lang w:eastAsia="zh-CN"/>
        </w:rPr>
        <w:t xml:space="preserve">）废液（含培养液）需高温灭菌后再按生物危害废物处理。  </w:t>
      </w:r>
    </w:p>
    <w:p w14:paraId="7424661E">
      <w:pPr>
        <w:rPr>
          <w:rFonts w:hint="eastAsia"/>
          <w:b w:val="0"/>
          <w:bCs w:val="0"/>
          <w:lang w:eastAsia="zh-CN"/>
        </w:rPr>
      </w:pPr>
      <w:r>
        <w:rPr>
          <w:rFonts w:hint="eastAsia"/>
          <w:b w:val="0"/>
          <w:bCs w:val="0"/>
          <w:lang w:eastAsia="zh-CN"/>
        </w:rPr>
        <w:t>（</w:t>
      </w:r>
      <w:r>
        <w:rPr>
          <w:rFonts w:hint="eastAsia"/>
          <w:b w:val="0"/>
          <w:bCs w:val="0"/>
          <w:lang w:val="en-US" w:eastAsia="zh-CN"/>
        </w:rPr>
        <w:t>3</w:t>
      </w:r>
      <w:r>
        <w:rPr>
          <w:rFonts w:hint="eastAsia"/>
          <w:b w:val="0"/>
          <w:bCs w:val="0"/>
          <w:lang w:eastAsia="zh-CN"/>
        </w:rPr>
        <w:t xml:space="preserve">）长期停用前需彻底清洗管路并排空试剂，防止残留物变质。  </w:t>
      </w:r>
    </w:p>
    <w:p w14:paraId="5D8A0EA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生物毒性在线分析仪</w:t>
      </w:r>
      <w:r>
        <w:rPr>
          <w:rFonts w:hint="eastAsia"/>
          <w:b/>
          <w:bCs/>
          <w:lang w:eastAsia="zh-CN"/>
        </w:rPr>
        <w:t>：</w:t>
      </w:r>
    </w:p>
    <w:p w14:paraId="34E8C00B">
      <w:pPr>
        <w:rPr>
          <w:rFonts w:hint="eastAsia"/>
          <w:b w:val="0"/>
          <w:bCs w:val="0"/>
          <w:lang w:eastAsia="zh-CN"/>
        </w:rPr>
      </w:pPr>
      <w:r>
        <w:rPr>
          <w:rFonts w:hint="eastAsia"/>
          <w:b w:val="0"/>
          <w:bCs w:val="0"/>
          <w:lang w:eastAsia="zh-CN"/>
        </w:rPr>
        <w:t xml:space="preserve">（1）菌种冻干粉需严格避光、防潮保存，开封后立即使用。  </w:t>
      </w:r>
    </w:p>
    <w:p w14:paraId="4F352A35">
      <w:pPr>
        <w:rPr>
          <w:rFonts w:hint="eastAsia"/>
          <w:b w:val="0"/>
          <w:bCs w:val="0"/>
          <w:lang w:eastAsia="zh-CN"/>
        </w:rPr>
      </w:pPr>
      <w:r>
        <w:rPr>
          <w:rFonts w:hint="eastAsia"/>
          <w:b w:val="0"/>
          <w:bCs w:val="0"/>
          <w:lang w:eastAsia="zh-CN"/>
        </w:rPr>
        <w:t xml:space="preserve">（2）避免测试高浊度或强酸/碱性水样，防止干扰发光信号。  </w:t>
      </w:r>
    </w:p>
    <w:p w14:paraId="3803C63A">
      <w:pPr>
        <w:rPr>
          <w:rFonts w:hint="eastAsia"/>
          <w:b w:val="0"/>
          <w:bCs w:val="0"/>
          <w:lang w:eastAsia="zh-CN"/>
        </w:rPr>
      </w:pPr>
      <w:r>
        <w:rPr>
          <w:rFonts w:hint="eastAsia"/>
          <w:b w:val="0"/>
          <w:bCs w:val="0"/>
          <w:lang w:eastAsia="zh-CN"/>
        </w:rPr>
        <w:t xml:space="preserve">（3）定期备份发光强度-毒性关系曲线数据，防止校准丢失。  </w:t>
      </w:r>
    </w:p>
    <w:p w14:paraId="68DA920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在线色度传感器</w:t>
      </w:r>
      <w:r>
        <w:rPr>
          <w:rFonts w:hint="eastAsia"/>
          <w:b/>
          <w:bCs/>
          <w:lang w:eastAsia="zh-CN"/>
        </w:rPr>
        <w:t>：</w:t>
      </w:r>
    </w:p>
    <w:p w14:paraId="76E2CBCD">
      <w:pPr>
        <w:rPr>
          <w:rFonts w:hint="eastAsia"/>
          <w:b w:val="0"/>
          <w:bCs w:val="0"/>
          <w:lang w:eastAsia="zh-CN"/>
        </w:rPr>
      </w:pPr>
      <w:r>
        <w:rPr>
          <w:rFonts w:hint="eastAsia"/>
          <w:b w:val="0"/>
          <w:bCs w:val="0"/>
          <w:lang w:eastAsia="zh-CN"/>
        </w:rPr>
        <w:t>（1）避免传感器及探头受到剧烈机械撞击，因其含敏感光学和电子部件，且内部无用户需维护部件。</w:t>
      </w:r>
    </w:p>
    <w:p w14:paraId="301808A9">
      <w:pPr>
        <w:rPr>
          <w:rFonts w:hint="eastAsia"/>
          <w:b w:val="0"/>
          <w:bCs w:val="0"/>
          <w:lang w:eastAsia="zh-CN"/>
        </w:rPr>
      </w:pPr>
      <w:r>
        <w:rPr>
          <w:rFonts w:hint="eastAsia"/>
          <w:b w:val="0"/>
          <w:bCs w:val="0"/>
          <w:lang w:eastAsia="zh-CN"/>
        </w:rPr>
        <w:t>（2）测量时保证石英片干净，无异物、气泡。</w:t>
      </w:r>
    </w:p>
    <w:p w14:paraId="587B3FDD">
      <w:pPr>
        <w:rPr>
          <w:rFonts w:hint="eastAsia"/>
          <w:b w:val="0"/>
          <w:bCs w:val="0"/>
          <w:lang w:eastAsia="zh-CN"/>
        </w:rPr>
      </w:pPr>
      <w:r>
        <w:rPr>
          <w:rFonts w:hint="eastAsia"/>
          <w:b w:val="0"/>
          <w:bCs w:val="0"/>
          <w:lang w:eastAsia="zh-CN"/>
        </w:rPr>
        <w:t>（3）水流较急时固定传感器，防止损坏。</w:t>
      </w:r>
    </w:p>
    <w:p w14:paraId="3A0FED05">
      <w:pPr>
        <w:rPr>
          <w:rFonts w:hint="eastAsia"/>
          <w:b w:val="0"/>
          <w:bCs w:val="0"/>
          <w:lang w:eastAsia="zh-CN"/>
        </w:rPr>
      </w:pPr>
      <w:r>
        <w:rPr>
          <w:rFonts w:hint="eastAsia"/>
          <w:b w:val="0"/>
          <w:bCs w:val="0"/>
          <w:lang w:eastAsia="zh-CN"/>
        </w:rPr>
        <w:t>（4）禁止用传感器电缆吊装，确保线缆接头紧固；12VDC电源供电时，尾线线缆超150M需适当增压。</w:t>
      </w:r>
    </w:p>
    <w:p w14:paraId="0009D6F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在线浊度传感器</w:t>
      </w:r>
      <w:r>
        <w:rPr>
          <w:rFonts w:hint="eastAsia"/>
          <w:b/>
          <w:bCs/>
          <w:lang w:eastAsia="zh-CN"/>
        </w:rPr>
        <w:t>：</w:t>
      </w:r>
    </w:p>
    <w:p w14:paraId="6E081AD4">
      <w:pPr>
        <w:rPr>
          <w:rFonts w:hint="eastAsia"/>
          <w:b w:val="0"/>
          <w:bCs w:val="0"/>
          <w:lang w:eastAsia="zh-CN"/>
        </w:rPr>
      </w:pPr>
      <w:r>
        <w:rPr>
          <w:rFonts w:hint="eastAsia"/>
          <w:b w:val="0"/>
          <w:bCs w:val="0"/>
          <w:lang w:eastAsia="zh-CN"/>
        </w:rPr>
        <w:t xml:space="preserve">（1）使用时取下保护套，闲置时及时安装，防止探头划伤。  </w:t>
      </w:r>
    </w:p>
    <w:p w14:paraId="355968EA">
      <w:pPr>
        <w:rPr>
          <w:rFonts w:hint="eastAsia"/>
          <w:b w:val="0"/>
          <w:bCs w:val="0"/>
          <w:lang w:eastAsia="zh-CN"/>
        </w:rPr>
      </w:pPr>
      <w:r>
        <w:rPr>
          <w:rFonts w:hint="eastAsia"/>
          <w:b w:val="0"/>
          <w:bCs w:val="0"/>
          <w:lang w:eastAsia="zh-CN"/>
        </w:rPr>
        <w:t xml:space="preserve">（2）避免探头附着气泡，保持探头离容器底/壁≥100mm。  </w:t>
      </w:r>
    </w:p>
    <w:p w14:paraId="6E0EAC9E">
      <w:pPr>
        <w:rPr>
          <w:rFonts w:hint="eastAsia"/>
          <w:b w:val="0"/>
          <w:bCs w:val="0"/>
          <w:lang w:eastAsia="zh-CN"/>
        </w:rPr>
      </w:pPr>
      <w:r>
        <w:rPr>
          <w:rFonts w:hint="eastAsia"/>
          <w:b w:val="0"/>
          <w:bCs w:val="0"/>
          <w:lang w:eastAsia="zh-CN"/>
        </w:rPr>
        <w:t xml:space="preserve">（3）避免剧烈撞击，防止光学/电子部件损坏。  </w:t>
      </w:r>
    </w:p>
    <w:p w14:paraId="3904AC81">
      <w:pPr>
        <w:rPr>
          <w:rFonts w:hint="eastAsia"/>
          <w:b w:val="0"/>
          <w:bCs w:val="0"/>
          <w:lang w:eastAsia="zh-CN"/>
        </w:rPr>
      </w:pPr>
      <w:r>
        <w:rPr>
          <w:rFonts w:hint="eastAsia"/>
          <w:b w:val="0"/>
          <w:bCs w:val="0"/>
          <w:lang w:eastAsia="zh-CN"/>
        </w:rPr>
        <w:t xml:space="preserve">（4）禁止在含荧光物质的容器中测试，防止干扰。  </w:t>
      </w:r>
    </w:p>
    <w:p w14:paraId="55C105C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在线PH传感器</w:t>
      </w:r>
      <w:r>
        <w:rPr>
          <w:rFonts w:hint="eastAsia"/>
          <w:b/>
          <w:bCs/>
          <w:lang w:eastAsia="zh-CN"/>
        </w:rPr>
        <w:t>：</w:t>
      </w:r>
    </w:p>
    <w:p w14:paraId="5D04BD84">
      <w:pPr>
        <w:rPr>
          <w:rFonts w:hint="eastAsia"/>
          <w:b w:val="0"/>
          <w:bCs w:val="0"/>
          <w:lang w:eastAsia="zh-CN"/>
        </w:rPr>
      </w:pPr>
      <w:r>
        <w:rPr>
          <w:rFonts w:hint="eastAsia"/>
          <w:b w:val="0"/>
          <w:bCs w:val="0"/>
          <w:lang w:eastAsia="zh-CN"/>
        </w:rPr>
        <w:t>（1）用无水酒精擦拭接线端子上的沾污，确保干燥后使用。</w:t>
      </w:r>
    </w:p>
    <w:p w14:paraId="68B481C0">
      <w:pPr>
        <w:rPr>
          <w:rFonts w:hint="eastAsia"/>
          <w:b w:val="0"/>
          <w:bCs w:val="0"/>
          <w:lang w:eastAsia="zh-CN"/>
        </w:rPr>
      </w:pPr>
      <w:r>
        <w:rPr>
          <w:rFonts w:hint="eastAsia"/>
          <w:b w:val="0"/>
          <w:bCs w:val="0"/>
          <w:lang w:eastAsia="zh-CN"/>
        </w:rPr>
        <w:t>（2）勿长期浸泡蒸馏水/蛋白质溶液，远离有机硅油脂。</w:t>
      </w:r>
    </w:p>
    <w:p w14:paraId="59F94A84">
      <w:pPr>
        <w:rPr>
          <w:rFonts w:hint="eastAsia"/>
          <w:b w:val="0"/>
          <w:bCs w:val="0"/>
          <w:lang w:eastAsia="zh-CN"/>
        </w:rPr>
      </w:pPr>
      <w:r>
        <w:rPr>
          <w:rFonts w:hint="eastAsia"/>
          <w:b w:val="0"/>
          <w:bCs w:val="0"/>
          <w:lang w:eastAsia="zh-CN"/>
        </w:rPr>
        <w:t>（3）玻璃膜老化/沉积时，用稀盐酸清洗后水洗，必要时重新标定。</w:t>
      </w:r>
    </w:p>
    <w:p w14:paraId="2531457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在线电导率传感器</w:t>
      </w:r>
      <w:r>
        <w:rPr>
          <w:rFonts w:hint="eastAsia"/>
          <w:b/>
          <w:bCs/>
          <w:lang w:eastAsia="zh-CN"/>
        </w:rPr>
        <w:t>：</w:t>
      </w:r>
    </w:p>
    <w:p w14:paraId="19016FED">
      <w:pPr>
        <w:rPr>
          <w:rFonts w:hint="eastAsia"/>
          <w:b w:val="0"/>
          <w:bCs w:val="0"/>
          <w:lang w:eastAsia="zh-CN"/>
        </w:rPr>
      </w:pPr>
      <w:r>
        <w:rPr>
          <w:rFonts w:hint="eastAsia"/>
          <w:b w:val="0"/>
          <w:bCs w:val="0"/>
          <w:lang w:eastAsia="zh-CN"/>
        </w:rPr>
        <w:t xml:space="preserve">（1）校准与测试时电极需完全浸入标准液（无气泡），距容器底/壁≥2cm。  </w:t>
      </w:r>
    </w:p>
    <w:p w14:paraId="23A8AEAD">
      <w:pPr>
        <w:rPr>
          <w:rFonts w:hint="eastAsia"/>
          <w:b w:val="0"/>
          <w:bCs w:val="0"/>
          <w:lang w:eastAsia="zh-CN"/>
        </w:rPr>
      </w:pPr>
      <w:r>
        <w:rPr>
          <w:rFonts w:hint="eastAsia"/>
          <w:b w:val="0"/>
          <w:bCs w:val="0"/>
          <w:lang w:eastAsia="zh-CN"/>
        </w:rPr>
        <w:t xml:space="preserve">（2）石墨电极使用前需用自来水浸泡1小时，闲置时保持湿润。  </w:t>
      </w:r>
    </w:p>
    <w:p w14:paraId="3C7EECC7">
      <w:pPr>
        <w:rPr>
          <w:rFonts w:hint="eastAsia"/>
          <w:b w:val="0"/>
          <w:bCs w:val="0"/>
          <w:lang w:eastAsia="zh-CN"/>
        </w:rPr>
      </w:pPr>
      <w:r>
        <w:rPr>
          <w:rFonts w:hint="eastAsia"/>
          <w:b w:val="0"/>
          <w:bCs w:val="0"/>
          <w:lang w:eastAsia="zh-CN"/>
        </w:rPr>
        <w:t xml:space="preserve">（3） 非防水端子避免浸水，线缆需松弛固定，防止摩擦或断裂。  </w:t>
      </w:r>
    </w:p>
    <w:p w14:paraId="2FA90198">
      <w:pPr>
        <w:rPr>
          <w:rFonts w:hint="eastAsia"/>
          <w:b w:val="0"/>
          <w:bCs w:val="0"/>
          <w:lang w:eastAsia="zh-CN"/>
        </w:rPr>
      </w:pPr>
      <w:r>
        <w:rPr>
          <w:rFonts w:hint="eastAsia"/>
          <w:b w:val="0"/>
          <w:bCs w:val="0"/>
          <w:lang w:eastAsia="zh-CN"/>
        </w:rPr>
        <w:t xml:space="preserve">（4）避免与有机硅油脂接触。  </w:t>
      </w:r>
    </w:p>
    <w:p w14:paraId="051D2A3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在线硬度传感器</w:t>
      </w:r>
      <w:r>
        <w:rPr>
          <w:rFonts w:hint="eastAsia"/>
          <w:b/>
          <w:bCs/>
          <w:lang w:eastAsia="zh-CN"/>
        </w:rPr>
        <w:t>：</w:t>
      </w:r>
    </w:p>
    <w:p w14:paraId="59CB241F">
      <w:pPr>
        <w:rPr>
          <w:rFonts w:hint="eastAsia"/>
          <w:b w:val="0"/>
          <w:bCs w:val="0"/>
          <w:lang w:eastAsia="zh-CN"/>
        </w:rPr>
      </w:pPr>
      <w:r>
        <w:rPr>
          <w:rFonts w:hint="eastAsia"/>
          <w:b w:val="0"/>
          <w:bCs w:val="0"/>
          <w:lang w:eastAsia="zh-CN"/>
        </w:rPr>
        <w:t>（1）防止电极长期浸泡在蒸馏水或蛋白质溶液中，避免与有机硅油脂接触。</w:t>
      </w:r>
    </w:p>
    <w:p w14:paraId="37FFDA4A">
      <w:pPr>
        <w:rPr>
          <w:rFonts w:hint="eastAsia"/>
          <w:b w:val="0"/>
          <w:bCs w:val="0"/>
          <w:lang w:eastAsia="zh-CN"/>
        </w:rPr>
      </w:pPr>
      <w:r>
        <w:rPr>
          <w:rFonts w:hint="eastAsia"/>
          <w:b w:val="0"/>
          <w:bCs w:val="0"/>
          <w:lang w:eastAsia="zh-CN"/>
        </w:rPr>
        <w:t xml:space="preserve">（2）按上述维护保养后仍无法标定和测量，说明电极失效，需更换电极。 </w:t>
      </w:r>
    </w:p>
    <w:p w14:paraId="3B2D022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在线硬度分析仪</w:t>
      </w:r>
      <w:r>
        <w:rPr>
          <w:rFonts w:hint="eastAsia"/>
          <w:b/>
          <w:bCs/>
          <w:lang w:eastAsia="zh-CN"/>
        </w:rPr>
        <w:t>：</w:t>
      </w:r>
    </w:p>
    <w:p w14:paraId="7494E44F">
      <w:pPr>
        <w:rPr>
          <w:rFonts w:hint="eastAsia"/>
          <w:b w:val="0"/>
          <w:bCs w:val="0"/>
          <w:lang w:eastAsia="zh-CN"/>
        </w:rPr>
      </w:pPr>
      <w:r>
        <w:rPr>
          <w:rFonts w:hint="eastAsia"/>
          <w:b w:val="0"/>
          <w:bCs w:val="0"/>
          <w:lang w:eastAsia="zh-CN"/>
        </w:rPr>
        <w:t xml:space="preserve">（1）避免水样含高浓度重金属或悬浮物，需预处理后进样。  </w:t>
      </w:r>
    </w:p>
    <w:p w14:paraId="225CABB0">
      <w:pPr>
        <w:rPr>
          <w:rFonts w:hint="eastAsia"/>
          <w:b w:val="0"/>
          <w:bCs w:val="0"/>
          <w:lang w:eastAsia="zh-CN"/>
        </w:rPr>
      </w:pPr>
      <w:r>
        <w:rPr>
          <w:rFonts w:hint="eastAsia"/>
          <w:b w:val="0"/>
          <w:bCs w:val="0"/>
          <w:lang w:eastAsia="zh-CN"/>
        </w:rPr>
        <w:t xml:space="preserve">（2）废液（含EDTA）需单独收集，按络合剂危废处理。  </w:t>
      </w:r>
    </w:p>
    <w:p w14:paraId="6A6B5249">
      <w:pPr>
        <w:rPr>
          <w:rFonts w:hint="eastAsia"/>
          <w:b w:val="0"/>
          <w:bCs w:val="0"/>
          <w:lang w:eastAsia="zh-CN"/>
        </w:rPr>
      </w:pPr>
      <w:r>
        <w:rPr>
          <w:rFonts w:hint="eastAsia"/>
          <w:b w:val="0"/>
          <w:bCs w:val="0"/>
          <w:lang w:eastAsia="zh-CN"/>
        </w:rPr>
        <w:t xml:space="preserve">（3） 冬季需加装恒温装置，防止试剂结晶堵塞管路。  </w:t>
      </w:r>
    </w:p>
    <w:p w14:paraId="7B505CD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在线氨氮传感器</w:t>
      </w:r>
      <w:r>
        <w:rPr>
          <w:rFonts w:hint="eastAsia"/>
          <w:b/>
          <w:bCs/>
          <w:lang w:eastAsia="zh-CN"/>
        </w:rPr>
        <w:t>：</w:t>
      </w:r>
    </w:p>
    <w:p w14:paraId="507BC0D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lang w:eastAsia="zh-CN"/>
        </w:rPr>
      </w:pPr>
      <w:r>
        <w:rPr>
          <w:rFonts w:hint="eastAsia"/>
          <w:b w:val="0"/>
          <w:bCs w:val="0"/>
          <w:lang w:eastAsia="zh-CN"/>
        </w:rPr>
        <w:t>（1）膜头用去离子水清洗，勿碰伤，测量时距底部至少2cm，敏感膜内无气泡，可轻敲除泡。</w:t>
      </w:r>
    </w:p>
    <w:p w14:paraId="4A92684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lang w:eastAsia="zh-CN"/>
        </w:rPr>
      </w:pPr>
      <w:r>
        <w:rPr>
          <w:rFonts w:hint="eastAsia"/>
          <w:b w:val="0"/>
          <w:bCs w:val="0"/>
          <w:lang w:eastAsia="zh-CN"/>
        </w:rPr>
        <w:t>（2）避免放腐蚀性、能腐蚀PVC溶液（如强酸），酮类及饱和有机物溶液（如四氢呋喃、蛋白质溶液），强电磁和核辐射环境；不建议在成分复杂液体（如海水、电镀废水）长期放置。</w:t>
      </w:r>
    </w:p>
    <w:p w14:paraId="3BB1A89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lang w:eastAsia="zh-CN"/>
        </w:rPr>
      </w:pPr>
      <w:r>
        <w:rPr>
          <w:rFonts w:hint="eastAsia"/>
          <w:b w:val="0"/>
          <w:bCs w:val="0"/>
          <w:lang w:eastAsia="zh-CN"/>
        </w:rPr>
        <w:t>（3）检查通讯时，两电极须浸泡在溶液中。</w:t>
      </w:r>
    </w:p>
    <w:p w14:paraId="0777BD1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lang w:eastAsia="zh-CN"/>
        </w:rPr>
      </w:pPr>
      <w:r>
        <w:rPr>
          <w:rFonts w:hint="eastAsia"/>
          <w:b w:val="0"/>
          <w:bCs w:val="0"/>
          <w:lang w:eastAsia="zh-CN"/>
        </w:rPr>
        <w:t>（4）标液有使用次数限制，1mg/L的2次/瓶、10mg/L的4次/瓶、100mg/L的6次/瓶。</w:t>
      </w:r>
    </w:p>
    <w:p w14:paraId="73B0436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lang w:eastAsia="zh-CN"/>
        </w:rPr>
      </w:pPr>
      <w:r>
        <w:rPr>
          <w:rFonts w:hint="eastAsia"/>
          <w:b w:val="0"/>
          <w:bCs w:val="0"/>
          <w:lang w:eastAsia="zh-CN"/>
        </w:rPr>
        <w:t xml:space="preserve">（5）注意保护参比电极外漏白色布条，勿揪出损坏。 </w:t>
      </w:r>
    </w:p>
    <w:p w14:paraId="6A76248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lang w:eastAsia="zh-CN"/>
        </w:rPr>
      </w:pPr>
      <w:r>
        <w:rPr>
          <w:rFonts w:hint="eastAsia"/>
          <w:b w:val="0"/>
          <w:bCs w:val="0"/>
          <w:lang w:eastAsia="zh-CN"/>
        </w:rPr>
        <w:t>（6）防止电极长期浸泡在蒸馏水或蛋白质溶液中，避免与有机硅油脂接触。</w:t>
      </w:r>
    </w:p>
    <w:p w14:paraId="44124A5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在线氨氮分析仪</w:t>
      </w:r>
      <w:r>
        <w:rPr>
          <w:rFonts w:hint="eastAsia"/>
          <w:b/>
          <w:bCs/>
          <w:lang w:eastAsia="zh-CN"/>
        </w:rPr>
        <w:t>：</w:t>
      </w:r>
    </w:p>
    <w:p w14:paraId="1C156966">
      <w:pPr>
        <w:rPr>
          <w:rFonts w:hint="eastAsia"/>
          <w:b w:val="0"/>
          <w:bCs w:val="0"/>
          <w:lang w:eastAsia="zh-CN"/>
        </w:rPr>
      </w:pPr>
      <w:r>
        <w:rPr>
          <w:rFonts w:hint="eastAsia"/>
          <w:b w:val="0"/>
          <w:bCs w:val="0"/>
          <w:lang w:eastAsia="zh-CN"/>
        </w:rPr>
        <w:t xml:space="preserve">（1）高浓度余氯或硫化物水样需预处理，防止干扰显色反应。  </w:t>
      </w:r>
    </w:p>
    <w:p w14:paraId="62B78AFC">
      <w:pPr>
        <w:rPr>
          <w:rFonts w:hint="eastAsia"/>
          <w:b w:val="0"/>
          <w:bCs w:val="0"/>
          <w:lang w:eastAsia="zh-CN"/>
        </w:rPr>
      </w:pPr>
      <w:r>
        <w:rPr>
          <w:rFonts w:hint="eastAsia"/>
          <w:b w:val="0"/>
          <w:bCs w:val="0"/>
          <w:lang w:eastAsia="zh-CN"/>
        </w:rPr>
        <w:t xml:space="preserve">（2）试剂避光保存，显色反应后废液含重金属需单独处理。  </w:t>
      </w:r>
    </w:p>
    <w:p w14:paraId="58D93CD0">
      <w:pPr>
        <w:rPr>
          <w:rFonts w:hint="eastAsia"/>
          <w:b w:val="0"/>
          <w:bCs w:val="0"/>
          <w:lang w:eastAsia="zh-CN"/>
        </w:rPr>
      </w:pPr>
      <w:r>
        <w:rPr>
          <w:rFonts w:hint="eastAsia"/>
          <w:b w:val="0"/>
          <w:bCs w:val="0"/>
          <w:lang w:eastAsia="zh-CN"/>
        </w:rPr>
        <w:t xml:space="preserve">（3）避免剧烈震动，防止比色系统光路偏移。  </w:t>
      </w:r>
    </w:p>
    <w:p w14:paraId="38EE076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在线光学硝氮传感器</w:t>
      </w:r>
      <w:r>
        <w:rPr>
          <w:rFonts w:hint="eastAsia"/>
          <w:b/>
          <w:bCs/>
          <w:lang w:eastAsia="zh-CN"/>
        </w:rPr>
        <w:t>：</w:t>
      </w:r>
    </w:p>
    <w:p w14:paraId="696E566A">
      <w:pPr>
        <w:rPr>
          <w:rFonts w:hint="eastAsia"/>
          <w:b w:val="0"/>
          <w:bCs w:val="0"/>
          <w:lang w:eastAsia="zh-CN"/>
        </w:rPr>
      </w:pPr>
      <w:r>
        <w:rPr>
          <w:rFonts w:hint="eastAsia"/>
          <w:b w:val="0"/>
          <w:bCs w:val="0"/>
          <w:lang w:eastAsia="zh-CN"/>
        </w:rPr>
        <w:t>1）安装时离水面深度不超2米，低于可能的最低水位30cm以下，避免水流冲击致其撞击水利设施，水流急时固定传感器，放置在无气泡位置，建议水平放置并使测量区域迎向水流方向，给线缆装保护套。</w:t>
      </w:r>
    </w:p>
    <w:p w14:paraId="43E03197">
      <w:pPr>
        <w:rPr>
          <w:rFonts w:hint="eastAsia"/>
          <w:b w:val="0"/>
          <w:bCs w:val="0"/>
          <w:lang w:eastAsia="zh-CN"/>
        </w:rPr>
      </w:pPr>
      <w:r>
        <w:rPr>
          <w:rFonts w:hint="eastAsia"/>
          <w:b w:val="0"/>
          <w:bCs w:val="0"/>
          <w:lang w:eastAsia="zh-CN"/>
        </w:rPr>
        <w:t>（2）仔细检查5芯双绞屏蔽线接线顺序，做好防水处理，使用防腐蚀线缆，防止接线错误和线路损坏。</w:t>
      </w:r>
    </w:p>
    <w:p w14:paraId="60FFD541">
      <w:pPr>
        <w:rPr>
          <w:rFonts w:hint="eastAsia"/>
          <w:b w:val="0"/>
          <w:bCs w:val="0"/>
          <w:lang w:eastAsia="zh-CN"/>
        </w:rPr>
      </w:pPr>
      <w:r>
        <w:rPr>
          <w:rFonts w:hint="eastAsia"/>
          <w:b w:val="0"/>
          <w:bCs w:val="0"/>
          <w:lang w:eastAsia="zh-CN"/>
        </w:rPr>
        <w:t>（3）避免阳光暴晒，勿触摸测量区域，测量和校准时防止表面附着气泡，避免施加机械应力。</w:t>
      </w:r>
    </w:p>
    <w:p w14:paraId="43166FB8">
      <w:pPr>
        <w:rPr>
          <w:rFonts w:hint="eastAsia"/>
          <w:b w:val="0"/>
          <w:bCs w:val="0"/>
          <w:lang w:eastAsia="zh-CN"/>
        </w:rPr>
      </w:pPr>
      <w:r>
        <w:rPr>
          <w:rFonts w:hint="eastAsia"/>
          <w:b w:val="0"/>
          <w:bCs w:val="0"/>
          <w:lang w:eastAsia="zh-CN"/>
        </w:rPr>
        <w:t xml:space="preserve">（4）操作界面无连接或无测量结果，检查控制器与线缆连接或联系厂家；测量值异常，清洗视窗表面或更换清洁刷。 </w:t>
      </w:r>
    </w:p>
    <w:p w14:paraId="2BA135C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在线高锰酸盐指数分析仪</w:t>
      </w:r>
      <w:r>
        <w:rPr>
          <w:rFonts w:hint="eastAsia"/>
          <w:b/>
          <w:bCs/>
          <w:lang w:eastAsia="zh-CN"/>
        </w:rPr>
        <w:t>：</w:t>
      </w:r>
    </w:p>
    <w:p w14:paraId="14FB58BD">
      <w:pPr>
        <w:rPr>
          <w:rFonts w:hint="eastAsia"/>
          <w:b w:val="0"/>
          <w:bCs w:val="0"/>
          <w:lang w:eastAsia="zh-CN"/>
        </w:rPr>
      </w:pPr>
      <w:r>
        <w:rPr>
          <w:rFonts w:hint="eastAsia"/>
          <w:b w:val="0"/>
          <w:bCs w:val="0"/>
          <w:lang w:eastAsia="zh-CN"/>
        </w:rPr>
        <w:t xml:space="preserve">（1）高锰酸钾属强氧化剂，需单独存放，远离有机物和酸类。  </w:t>
      </w:r>
    </w:p>
    <w:p w14:paraId="24EC3971">
      <w:pPr>
        <w:rPr>
          <w:rFonts w:hint="eastAsia"/>
          <w:b w:val="0"/>
          <w:bCs w:val="0"/>
          <w:lang w:eastAsia="zh-CN"/>
        </w:rPr>
      </w:pPr>
      <w:r>
        <w:rPr>
          <w:rFonts w:hint="eastAsia"/>
          <w:b w:val="0"/>
          <w:bCs w:val="0"/>
          <w:lang w:eastAsia="zh-CN"/>
        </w:rPr>
        <w:t xml:space="preserve">（2）消解温度需严格控制在100±2℃，避免反应不完全。  </w:t>
      </w:r>
    </w:p>
    <w:p w14:paraId="2C767B53">
      <w:pPr>
        <w:rPr>
          <w:rFonts w:hint="eastAsia"/>
          <w:b w:val="0"/>
          <w:bCs w:val="0"/>
          <w:lang w:eastAsia="zh-CN"/>
        </w:rPr>
      </w:pPr>
      <w:r>
        <w:rPr>
          <w:rFonts w:hint="eastAsia"/>
          <w:b w:val="0"/>
          <w:bCs w:val="0"/>
          <w:lang w:eastAsia="zh-CN"/>
        </w:rPr>
        <w:t xml:space="preserve">（3）废液含重金属和酸性物质，需中和后按危废处理。  </w:t>
      </w:r>
    </w:p>
    <w:p w14:paraId="4C2453A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在线余氯</w:t>
      </w:r>
      <w:r>
        <w:rPr>
          <w:rFonts w:hint="eastAsia"/>
          <w:b/>
          <w:bCs/>
          <w:lang w:val="en-US" w:eastAsia="zh-CN"/>
        </w:rPr>
        <w:t>/二氧化氯/臭氧</w:t>
      </w:r>
      <w:r>
        <w:rPr>
          <w:rFonts w:hint="eastAsia"/>
          <w:b/>
          <w:bCs/>
        </w:rPr>
        <w:t>传感器</w:t>
      </w:r>
      <w:r>
        <w:rPr>
          <w:rFonts w:hint="eastAsia"/>
          <w:b/>
          <w:bCs/>
          <w:lang w:eastAsia="zh-CN"/>
        </w:rPr>
        <w:t>：</w:t>
      </w:r>
    </w:p>
    <w:p w14:paraId="5531529D">
      <w:pPr>
        <w:rPr>
          <w:rFonts w:hint="eastAsia"/>
          <w:b w:val="0"/>
          <w:bCs w:val="0"/>
          <w:lang w:eastAsia="zh-CN"/>
        </w:rPr>
      </w:pPr>
      <w:r>
        <w:rPr>
          <w:rFonts w:hint="eastAsia"/>
          <w:b w:val="0"/>
          <w:bCs w:val="0"/>
          <w:lang w:eastAsia="zh-CN"/>
        </w:rPr>
        <w:t>（1）测试水样PH应维持在6.00-8.00范围内，避免将传感器长期浸泡在无氯的水样中。</w:t>
      </w:r>
    </w:p>
    <w:p w14:paraId="0B059DB2">
      <w:pPr>
        <w:rPr>
          <w:rFonts w:hint="eastAsia"/>
          <w:b w:val="0"/>
          <w:bCs w:val="0"/>
          <w:lang w:eastAsia="zh-CN"/>
        </w:rPr>
      </w:pPr>
      <w:r>
        <w:rPr>
          <w:rFonts w:hint="eastAsia"/>
          <w:b w:val="0"/>
          <w:bCs w:val="0"/>
          <w:lang w:eastAsia="zh-CN"/>
        </w:rPr>
        <w:t>（2）测试过程传感器持续浸泡在水样中，禁止通电干烧；停止测量先断电，后断水。</w:t>
      </w:r>
    </w:p>
    <w:p w14:paraId="3A96C94A">
      <w:pPr>
        <w:rPr>
          <w:rFonts w:hint="eastAsia"/>
          <w:b w:val="0"/>
          <w:bCs w:val="0"/>
          <w:lang w:eastAsia="zh-CN"/>
        </w:rPr>
      </w:pPr>
      <w:r>
        <w:rPr>
          <w:rFonts w:hint="eastAsia"/>
          <w:b w:val="0"/>
          <w:bCs w:val="0"/>
          <w:lang w:eastAsia="zh-CN"/>
        </w:rPr>
        <w:t>（3）若校准后数值仍不准确，可返厂检查。</w:t>
      </w:r>
    </w:p>
    <w:p w14:paraId="6392EBA5">
      <w:pPr>
        <w:rPr>
          <w:rFonts w:hint="eastAsia"/>
          <w:b w:val="0"/>
          <w:bCs w:val="0"/>
          <w:lang w:eastAsia="zh-CN"/>
        </w:rPr>
      </w:pPr>
      <w:r>
        <w:rPr>
          <w:rFonts w:hint="eastAsia"/>
          <w:b w:val="0"/>
          <w:bCs w:val="0"/>
          <w:lang w:eastAsia="zh-CN"/>
        </w:rPr>
        <w:t xml:space="preserve">（4）建议搭配流通池使用，流量控制在30-60L/h 。 </w:t>
      </w:r>
    </w:p>
    <w:p w14:paraId="782861E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在线余氯分析仪</w:t>
      </w:r>
      <w:r>
        <w:rPr>
          <w:rFonts w:hint="eastAsia"/>
          <w:b/>
          <w:bCs/>
          <w:lang w:eastAsia="zh-CN"/>
        </w:rPr>
        <w:t>：</w:t>
      </w:r>
    </w:p>
    <w:p w14:paraId="3F5B816B">
      <w:pPr>
        <w:rPr>
          <w:rFonts w:hint="eastAsia"/>
          <w:b w:val="0"/>
          <w:bCs w:val="0"/>
          <w:lang w:eastAsia="zh-CN"/>
        </w:rPr>
      </w:pPr>
      <w:r>
        <w:rPr>
          <w:rFonts w:hint="eastAsia"/>
          <w:b w:val="0"/>
          <w:bCs w:val="0"/>
          <w:lang w:eastAsia="zh-CN"/>
        </w:rPr>
        <w:t xml:space="preserve">（1） 比色过程需严格避光，避免显色反应受光照干扰。  </w:t>
      </w:r>
    </w:p>
    <w:p w14:paraId="72DDFC96">
      <w:pPr>
        <w:rPr>
          <w:rFonts w:hint="eastAsia"/>
          <w:b w:val="0"/>
          <w:bCs w:val="0"/>
          <w:lang w:eastAsia="zh-CN"/>
        </w:rPr>
      </w:pPr>
      <w:r>
        <w:rPr>
          <w:rFonts w:hint="eastAsia"/>
          <w:b w:val="0"/>
          <w:bCs w:val="0"/>
          <w:lang w:eastAsia="zh-CN"/>
        </w:rPr>
        <w:t xml:space="preserve">（2）高浓度臭氧或二氧化氯需增加预处理，防止假阳性。  </w:t>
      </w:r>
    </w:p>
    <w:p w14:paraId="5EC60940">
      <w:pPr>
        <w:rPr>
          <w:rFonts w:hint="eastAsia"/>
          <w:b w:val="0"/>
          <w:bCs w:val="0"/>
          <w:lang w:eastAsia="zh-CN"/>
        </w:rPr>
      </w:pPr>
      <w:r>
        <w:rPr>
          <w:rFonts w:hint="eastAsia"/>
          <w:b w:val="0"/>
          <w:bCs w:val="0"/>
          <w:lang w:eastAsia="zh-CN"/>
        </w:rPr>
        <w:t xml:space="preserve">（3）废液含DPD显色剂，需收集后统一处理，禁止直排。  </w:t>
      </w:r>
    </w:p>
    <w:p w14:paraId="1A4DD4F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lang w:eastAsia="zh-CN"/>
        </w:rPr>
        <w:t>在线全光谱多参数传感器：</w:t>
      </w:r>
    </w:p>
    <w:p w14:paraId="33F771BF">
      <w:pPr>
        <w:rPr>
          <w:rFonts w:hint="eastAsia"/>
          <w:b w:val="0"/>
          <w:bCs w:val="0"/>
          <w:lang w:eastAsia="zh-CN"/>
        </w:rPr>
      </w:pPr>
      <w:r>
        <w:rPr>
          <w:rFonts w:hint="eastAsia"/>
          <w:b w:val="0"/>
          <w:bCs w:val="0"/>
          <w:lang w:eastAsia="zh-CN"/>
        </w:rPr>
        <w:t>（1）防止传感器受到剧烈机械撞击，使用中避免对其直接施加机械应力（压力、划痕等）。</w:t>
      </w:r>
    </w:p>
    <w:p w14:paraId="2CE52806">
      <w:pPr>
        <w:rPr>
          <w:rFonts w:hint="eastAsia"/>
          <w:b w:val="0"/>
          <w:bCs w:val="0"/>
          <w:lang w:eastAsia="zh-CN"/>
        </w:rPr>
      </w:pPr>
      <w:r>
        <w:rPr>
          <w:rFonts w:hint="eastAsia"/>
          <w:b w:val="0"/>
          <w:bCs w:val="0"/>
          <w:lang w:eastAsia="zh-CN"/>
        </w:rPr>
        <w:t>（2）避免传感器被阳光暴晒，不要用手触摸传感器。</w:t>
      </w:r>
    </w:p>
    <w:p w14:paraId="4A5DFCE2">
      <w:pPr>
        <w:rPr>
          <w:rFonts w:hint="eastAsia"/>
          <w:b w:val="0"/>
          <w:bCs w:val="0"/>
          <w:lang w:eastAsia="zh-CN"/>
        </w:rPr>
      </w:pPr>
      <w:r>
        <w:rPr>
          <w:rFonts w:hint="eastAsia"/>
          <w:b w:val="0"/>
          <w:bCs w:val="0"/>
          <w:lang w:eastAsia="zh-CN"/>
        </w:rPr>
        <w:t>（3）测量和校准时，确保传感器表面无气泡附着。</w:t>
      </w:r>
    </w:p>
    <w:p w14:paraId="6BEC600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lang w:eastAsia="zh-CN"/>
        </w:rPr>
        <w:t>便携式多参数分析仪：</w:t>
      </w:r>
    </w:p>
    <w:p w14:paraId="326F4DC8">
      <w:pPr>
        <w:rPr>
          <w:rFonts w:hint="eastAsia"/>
          <w:b w:val="0"/>
          <w:bCs w:val="0"/>
          <w:lang w:eastAsia="zh-CN"/>
        </w:rPr>
      </w:pPr>
      <w:r>
        <w:rPr>
          <w:rFonts w:hint="eastAsia"/>
          <w:b w:val="0"/>
          <w:bCs w:val="0"/>
          <w:lang w:eastAsia="zh-CN"/>
        </w:rPr>
        <w:t>（1）仪器的维修需要专业人员操作，非专业人员请勿自行维修。维修或因其他原因拆卸外壳时必须切断电源。</w:t>
      </w:r>
    </w:p>
    <w:p w14:paraId="6EF5924D">
      <w:pPr>
        <w:rPr>
          <w:rFonts w:hint="eastAsia"/>
          <w:b w:val="0"/>
          <w:bCs w:val="0"/>
          <w:lang w:eastAsia="zh-CN"/>
        </w:rPr>
      </w:pPr>
      <w:r>
        <w:rPr>
          <w:rFonts w:hint="eastAsia"/>
          <w:b w:val="0"/>
          <w:bCs w:val="0"/>
          <w:lang w:eastAsia="zh-CN"/>
        </w:rPr>
        <w:t>（2）使用设备前做好防护措施，避免接触质量控制物、标准样本、废弃液体等可能有生物危害、腐蚀或有毒的物质。使用本仪器配套或推荐的试剂，禁止在强辐射源旁使用设备。</w:t>
      </w:r>
    </w:p>
    <w:p w14:paraId="0C99345A">
      <w:pPr>
        <w:rPr>
          <w:rFonts w:hint="eastAsia"/>
          <w:b w:val="0"/>
          <w:bCs w:val="0"/>
          <w:lang w:eastAsia="zh-CN"/>
        </w:rPr>
      </w:pPr>
      <w:r>
        <w:rPr>
          <w:rFonts w:hint="eastAsia"/>
          <w:b w:val="0"/>
          <w:bCs w:val="0"/>
          <w:lang w:eastAsia="zh-CN"/>
        </w:rPr>
        <w:t>（3）仪器正常工作环境温度为5℃～40℃，相对湿度30%～80%，需远离强电磁场干扰源，工作场地防尘、防振，空气中无酸、盐等腐蚀性气体。运输时包装完好，防止剧烈冲击、雨淋和暴晒，中转时合理堆放。贮存时放置在阴凉干燥、防湿通风处，不能露天堆放，避免雨雪浸入，贮存运输环境温度 -20℃～ +55℃，相对湿度≤93%，无腐蚀性气体且通风良好。</w:t>
      </w:r>
    </w:p>
    <w:p w14:paraId="768C9BB9">
      <w:pPr>
        <w:rPr>
          <w:rFonts w:hint="eastAsia"/>
          <w:b w:val="0"/>
          <w:bCs w:val="0"/>
          <w:lang w:eastAsia="zh-CN"/>
        </w:rPr>
      </w:pPr>
      <w:r>
        <w:rPr>
          <w:rFonts w:hint="eastAsia"/>
          <w:b w:val="0"/>
          <w:bCs w:val="0"/>
          <w:lang w:eastAsia="zh-CN"/>
        </w:rPr>
        <w:t xml:space="preserve">（4）请勿让任何溶剂、油脂类、腐蚀性物质接触仪器。仪器使用期限为6年，效期结束后按规定处理或联系回收，避免污染环境。 </w:t>
      </w:r>
    </w:p>
    <w:p w14:paraId="0947B4C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电磁流量计</w:t>
      </w:r>
      <w:r>
        <w:rPr>
          <w:rFonts w:hint="eastAsia"/>
          <w:b/>
          <w:bCs/>
          <w:lang w:eastAsia="zh-CN"/>
        </w:rPr>
        <w:t>：</w:t>
      </w:r>
    </w:p>
    <w:p w14:paraId="149BB5BA">
      <w:pPr>
        <w:rPr>
          <w:rFonts w:hint="eastAsia"/>
          <w:b w:val="0"/>
          <w:bCs w:val="0"/>
          <w:lang w:eastAsia="zh-CN"/>
        </w:rPr>
      </w:pPr>
      <w:r>
        <w:rPr>
          <w:rFonts w:hint="eastAsia"/>
          <w:b w:val="0"/>
          <w:bCs w:val="0"/>
          <w:lang w:eastAsia="zh-CN"/>
        </w:rPr>
        <w:t>（1）应由专业人员进行设备操作和维护，操作前需熟悉设备说明书和操作规程。进行参数设置、密码修改、故障处理等操作时，严格按照规定步骤进行，避免误操作导致设备损坏或测量不准确。如修改密码时要牢记新密码，丢失密码可能影响设备正常使用 。</w:t>
      </w:r>
    </w:p>
    <w:p w14:paraId="3FF6EB63">
      <w:pPr>
        <w:rPr>
          <w:rFonts w:hint="eastAsia"/>
          <w:b w:val="0"/>
          <w:bCs w:val="0"/>
          <w:lang w:eastAsia="zh-CN"/>
        </w:rPr>
      </w:pPr>
      <w:r>
        <w:rPr>
          <w:rFonts w:hint="eastAsia"/>
          <w:b w:val="0"/>
          <w:bCs w:val="0"/>
          <w:lang w:eastAsia="zh-CN"/>
        </w:rPr>
        <w:t>（2）电磁流量计应在规定的环境条件下使用和存放。环境温度应控制在一体型 -10～+60℃，相对湿度在5%～90% 。避免设备在强电磁场干扰源附近使用，防止干扰测量信号。存放时要选择防雨、防潮、机械振动小且避免冲击的室内环境，温度范围 -20～+60℃，湿度不大于80% 。</w:t>
      </w:r>
    </w:p>
    <w:p w14:paraId="47EE80CB">
      <w:pPr>
        <w:rPr>
          <w:rFonts w:hint="eastAsia"/>
          <w:b w:val="0"/>
          <w:bCs w:val="0"/>
          <w:lang w:eastAsia="zh-CN"/>
        </w:rPr>
      </w:pPr>
      <w:r>
        <w:rPr>
          <w:rFonts w:hint="eastAsia"/>
          <w:b w:val="0"/>
          <w:bCs w:val="0"/>
          <w:lang w:eastAsia="zh-CN"/>
        </w:rPr>
        <w:t>（3）电磁流量转换器的印刷电路板采用表面焊接技术，用户不能打开转换器壳体，以免损坏内部电路或影响设备性能。若设备出现故障，应联系专业维修人员进行检修 。</w:t>
      </w:r>
    </w:p>
    <w:p w14:paraId="255300F1">
      <w:pPr>
        <w:rPr>
          <w:rFonts w:hint="eastAsia"/>
          <w:b w:val="0"/>
          <w:bCs w:val="0"/>
          <w:lang w:eastAsia="zh-CN"/>
        </w:rPr>
      </w:pPr>
      <w:r>
        <w:rPr>
          <w:rFonts w:hint="eastAsia"/>
          <w:b w:val="0"/>
          <w:bCs w:val="0"/>
          <w:lang w:eastAsia="zh-CN"/>
        </w:rPr>
        <w:t xml:space="preserve">（4）设备出现故障时，如仪表无显示、励磁报警、空管报警、测量流量不准确等，应根据故障提示和说明书进行排查。例如，仪表无显示时，检查电源是否接通、保险丝是否完好、供电电压是否符合要求；励磁报警时，检查励磁接线、传感器励磁线圈电阻等。对于无法自行解决的故障，及时联系厂家售后或专业维修机构，不得擅自拆解修理 。 </w:t>
      </w:r>
    </w:p>
    <w:p w14:paraId="456E1CB3">
      <w:pPr>
        <w:rPr>
          <w:rFonts w:hint="eastAsia"/>
          <w:b w:val="0"/>
          <w:bCs w:val="0"/>
          <w:lang w:eastAsia="zh-CN"/>
        </w:rPr>
      </w:pPr>
      <w:r>
        <w:rPr>
          <w:rFonts w:hint="eastAsia"/>
          <w:b w:val="0"/>
          <w:bCs w:val="0"/>
          <w:lang w:eastAsia="zh-CN"/>
        </w:rPr>
        <w:t xml:space="preserve">（5）安装电磁流量计时，要保证进出口有足够的直管段距离，一般上游为10倍管道内径，下游为5倍管道内径。水平安装时电极轴线近似水平，避免安装在水泵进口处、管道最高点或可能出现不满管的位置。安装位置应方便读数和操作，防止暴晒、过大温差和滴漏，合理支撑流量计，避免其作为负重支撑点 。 </w:t>
      </w:r>
    </w:p>
    <w:p w14:paraId="1D618C6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液体颗粒计数器</w:t>
      </w:r>
      <w:r>
        <w:rPr>
          <w:rFonts w:hint="eastAsia"/>
          <w:b/>
          <w:bCs/>
          <w:lang w:eastAsia="zh-CN"/>
        </w:rPr>
        <w:t>：</w:t>
      </w:r>
    </w:p>
    <w:p w14:paraId="0221EAEA">
      <w:pPr>
        <w:rPr>
          <w:rFonts w:hint="eastAsia"/>
          <w:b w:val="0"/>
          <w:bCs w:val="0"/>
          <w:lang w:eastAsia="zh-CN"/>
        </w:rPr>
      </w:pPr>
      <w:r>
        <w:rPr>
          <w:rFonts w:hint="eastAsia"/>
          <w:b w:val="0"/>
          <w:bCs w:val="0"/>
          <w:lang w:eastAsia="zh-CN"/>
        </w:rPr>
        <w:t>（1）安装仪器时，将机箱安装在待测系统上或稳定安全区域，尽量靠近检测点。可采用挂板固定在仪器背部上端后连接待测系统，或使用M6螺钉通过仪器底部安装孔固定 。电气连接时，正确连接220V电源、RS232/RS485通讯接口和4 - 20mA模拟量信号输出通讯接口 。管路连接方面，进液管连接到大于0.1MPa且小于40MPa的液压管路，出液口连接至废液箱，且禁止将出液管连接至有压力的液压系统管路 。</w:t>
      </w:r>
    </w:p>
    <w:p w14:paraId="347BC020">
      <w:pPr>
        <w:rPr>
          <w:rFonts w:hint="eastAsia"/>
          <w:b w:val="0"/>
          <w:bCs w:val="0"/>
          <w:lang w:eastAsia="zh-CN"/>
        </w:rPr>
      </w:pPr>
      <w:r>
        <w:rPr>
          <w:rFonts w:hint="eastAsia"/>
          <w:b w:val="0"/>
          <w:bCs w:val="0"/>
          <w:lang w:eastAsia="zh-CN"/>
        </w:rPr>
        <w:t>（2）操作仪器时，严格按照说明书步骤进行。设置参数时，如检测方式、次数、冲洗量、检测标准等，先点击项目方框，再用“左右箭头”设置参数，最后点击【确认】 。输入密码时要准确，避免多次错误输入导致仪器锁定。在检测过程中，保持检测管路流量稳定，若为手动检测，按规定点击【检测】执行操作，出现异常点击【返回】中止 。</w:t>
      </w:r>
    </w:p>
    <w:p w14:paraId="395E9DE8">
      <w:pPr>
        <w:rPr>
          <w:rFonts w:hint="eastAsia"/>
          <w:b w:val="0"/>
          <w:bCs w:val="0"/>
          <w:lang w:eastAsia="zh-CN"/>
        </w:rPr>
      </w:pPr>
      <w:r>
        <w:rPr>
          <w:rFonts w:hint="eastAsia"/>
          <w:b w:val="0"/>
          <w:bCs w:val="0"/>
          <w:lang w:eastAsia="zh-CN"/>
        </w:rPr>
        <w:t>（3）仪器通讯接口1和通讯接口2插接时，将接入插头的红点位置对应插座红点插入。如需修改通讯参数，如波特率、ID号，点击【通讯】键进入通讯设置界面操作，波特率默认为9600，无特殊要求不要更改 。</w:t>
      </w:r>
    </w:p>
    <w:p w14:paraId="3E261B46">
      <w:pPr>
        <w:rPr>
          <w:rFonts w:hint="eastAsia"/>
          <w:b w:val="0"/>
          <w:bCs w:val="0"/>
          <w:lang w:eastAsia="zh-CN"/>
        </w:rPr>
      </w:pPr>
      <w:r>
        <w:rPr>
          <w:rFonts w:hint="eastAsia"/>
          <w:b w:val="0"/>
          <w:bCs w:val="0"/>
          <w:lang w:eastAsia="zh-CN"/>
        </w:rPr>
        <w:t>（4）仪器出厂时已进行标定，除非特殊情况，不要随意修改标尺，否则会造成检测错误。若需修改取样速度等标定相关参数，按规定流程操作，修改后要校准流速 。</w:t>
      </w:r>
    </w:p>
    <w:p w14:paraId="700210F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管道噪声检测仪</w:t>
      </w:r>
      <w:r>
        <w:rPr>
          <w:rFonts w:hint="eastAsia"/>
          <w:b/>
          <w:bCs/>
          <w:lang w:eastAsia="zh-CN"/>
        </w:rPr>
        <w:t>：</w:t>
      </w:r>
    </w:p>
    <w:p w14:paraId="5499236D">
      <w:pPr>
        <w:rPr>
          <w:rFonts w:hint="eastAsia"/>
        </w:rPr>
      </w:pPr>
      <w:r>
        <w:rPr>
          <w:rFonts w:hint="eastAsia"/>
        </w:rPr>
        <w:t>（1）按流程获取连接设备、设置参数，设备编码要与网络通信设置中的设备名称一致。</w:t>
      </w:r>
    </w:p>
    <w:p w14:paraId="4CF9602C">
      <w:pPr>
        <w:rPr>
          <w:rFonts w:hint="eastAsia"/>
        </w:rPr>
      </w:pPr>
      <w:r>
        <w:rPr>
          <w:rFonts w:hint="eastAsia"/>
        </w:rPr>
        <w:t>（2）保管好登录在线监测系统的专有账户，规范区域管理和设备添加操作。</w:t>
      </w:r>
    </w:p>
    <w:p w14:paraId="564359F4">
      <w:pPr>
        <w:rPr>
          <w:rFonts w:hint="eastAsia"/>
        </w:rPr>
      </w:pPr>
      <w:r>
        <w:rPr>
          <w:rFonts w:hint="eastAsia"/>
        </w:rPr>
        <w:t>（3）合判断泄漏信度因素，结合多种方式分析数据，避免误判。</w:t>
      </w:r>
    </w:p>
    <w:p w14:paraId="3BFC3878">
      <w:pPr>
        <w:rPr>
          <w:rFonts w:hint="eastAsia"/>
        </w:rPr>
      </w:pPr>
      <w:r>
        <w:rPr>
          <w:rFonts w:hint="eastAsia"/>
        </w:rPr>
        <w:t xml:space="preserve">（4）安装时避开信号弱区域，减少环境噪音干扰。 </w:t>
      </w:r>
    </w:p>
    <w:p w14:paraId="52F46A73">
      <w:pPr>
        <w:rPr>
          <w:rFonts w:hint="eastAsia"/>
        </w:rPr>
      </w:pPr>
    </w:p>
    <w:p w14:paraId="0CCF9446">
      <w:pPr>
        <w:pStyle w:val="2"/>
        <w:rPr>
          <w:rFonts w:hint="eastAsia"/>
        </w:rPr>
      </w:pPr>
      <w:bookmarkStart w:id="23" w:name="_Toc18219"/>
      <w:bookmarkStart w:id="24" w:name="_Toc8226"/>
      <w:r>
        <w:rPr>
          <w:rFonts w:hint="eastAsia"/>
        </w:rPr>
        <w:t>案例展示</w:t>
      </w:r>
      <w:bookmarkEnd w:id="23"/>
      <w:bookmarkEnd w:id="24"/>
    </w:p>
    <w:p w14:paraId="1277F5A8">
      <w:pPr>
        <w:pStyle w:val="3"/>
        <w:rPr>
          <w:rFonts w:hint="eastAsia"/>
        </w:rPr>
      </w:pPr>
      <w:bookmarkStart w:id="25" w:name="_Toc21176"/>
      <w:r>
        <w:rPr>
          <w:rFonts w:hint="eastAsia"/>
        </w:rPr>
        <w:t>案例1：四川某供智慧泵房</w:t>
      </w:r>
      <w:bookmarkEnd w:id="25"/>
    </w:p>
    <w:p w14:paraId="1F17F8AA">
      <w:pPr>
        <w:ind w:firstLine="482"/>
        <w:rPr>
          <w:rFonts w:hint="eastAsia"/>
        </w:rPr>
      </w:pPr>
      <w:r>
        <w:rPr>
          <w:rFonts w:hint="eastAsia"/>
          <w:b/>
          <w:bCs/>
        </w:rPr>
        <w:t>应用产品：</w:t>
      </w:r>
      <w:r>
        <w:rPr>
          <w:rFonts w:hint="eastAsia"/>
          <w:b w:val="0"/>
          <w:bCs w:val="0"/>
          <w:lang w:val="en-US" w:eastAsia="zh-CN"/>
        </w:rPr>
        <w:t>壁挂式</w:t>
      </w:r>
      <w:r>
        <w:rPr>
          <w:rFonts w:hint="eastAsia"/>
          <w:b w:val="0"/>
          <w:bCs w:val="0"/>
        </w:rPr>
        <w:t>供水水质监测微系统</w:t>
      </w:r>
      <w:r>
        <w:rPr>
          <w:rFonts w:hint="eastAsia"/>
        </w:rPr>
        <w:t>、余氯、浊度、PH、电导率</w:t>
      </w:r>
    </w:p>
    <w:p w14:paraId="75AB41EF">
      <w:pPr>
        <w:ind w:firstLine="482"/>
        <w:rPr>
          <w:rFonts w:hint="eastAsia"/>
          <w:b/>
          <w:bCs/>
        </w:rPr>
      </w:pPr>
      <w:r>
        <w:rPr>
          <w:rFonts w:hint="eastAsia"/>
          <w:b/>
          <w:bCs/>
        </w:rPr>
        <w:t>系统功能：</w:t>
      </w:r>
    </w:p>
    <w:p w14:paraId="460D6629">
      <w:pPr>
        <w:ind w:firstLine="480"/>
        <w:rPr>
          <w:rFonts w:hint="eastAsia"/>
        </w:rPr>
      </w:pPr>
      <w:r>
        <w:rPr>
          <w:rFonts w:hint="eastAsia"/>
        </w:rPr>
        <w:t>实时上传数据 远程监控 环保无污染</w:t>
      </w:r>
    </w:p>
    <w:p w14:paraId="0B1501F3">
      <w:pPr>
        <w:ind w:firstLine="480"/>
        <w:rPr>
          <w:rFonts w:hint="eastAsia"/>
        </w:rPr>
      </w:pPr>
      <w:r>
        <w:rPr>
          <w:rFonts w:hint="eastAsia"/>
        </w:rPr>
        <w:t>参数可供选择 现场触屏数据显示</w:t>
      </w:r>
    </w:p>
    <w:p w14:paraId="3FF86C98">
      <w:pPr>
        <w:ind w:firstLine="482"/>
        <w:rPr>
          <w:rFonts w:hint="eastAsia"/>
          <w:b/>
          <w:bCs/>
        </w:rPr>
      </w:pPr>
      <w:r>
        <w:rPr>
          <w:rFonts w:hint="eastAsia"/>
          <w:b/>
          <w:bCs/>
        </w:rPr>
        <w:t>方案特点：</w:t>
      </w:r>
    </w:p>
    <w:p w14:paraId="386AC83A">
      <w:pPr>
        <w:ind w:firstLine="480"/>
        <w:rPr>
          <w:rFonts w:hint="eastAsia"/>
        </w:rPr>
      </w:pPr>
      <w:r>
        <w:rPr>
          <w:rFonts w:hint="eastAsia"/>
        </w:rPr>
        <w:t>方便快捷 多种搭配选择 数据上传无卡顿 安装方便</w:t>
      </w:r>
    </w:p>
    <w:p w14:paraId="73903E12">
      <w:pPr>
        <w:ind w:firstLine="482"/>
        <w:rPr>
          <w:rStyle w:val="22"/>
          <w:rFonts w:hint="eastAsia"/>
        </w:rPr>
      </w:pPr>
      <w:r>
        <w:rPr>
          <w:rStyle w:val="22"/>
        </w:rPr>
        <w:t>项目现场</w:t>
      </w:r>
      <w:r>
        <w:rPr>
          <w:rStyle w:val="22"/>
          <w:rFonts w:hint="eastAsia"/>
        </w:rPr>
        <w:t>：</w:t>
      </w:r>
    </w:p>
    <w:p w14:paraId="7FAA330B">
      <w:pPr>
        <w:ind w:firstLine="480"/>
        <w:rPr>
          <w:rFonts w:hint="eastAsia"/>
        </w:rPr>
      </w:pPr>
      <w:r>
        <w:drawing>
          <wp:inline distT="0" distB="0" distL="114300" distR="114300">
            <wp:extent cx="4722495" cy="3282950"/>
            <wp:effectExtent l="0" t="0" r="1905" b="889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48"/>
                    <a:stretch>
                      <a:fillRect/>
                    </a:stretch>
                  </pic:blipFill>
                  <pic:spPr>
                    <a:xfrm>
                      <a:off x="0" y="0"/>
                      <a:ext cx="4722495" cy="3282950"/>
                    </a:xfrm>
                    <a:prstGeom prst="rect">
                      <a:avLst/>
                    </a:prstGeom>
                    <a:noFill/>
                    <a:ln>
                      <a:noFill/>
                    </a:ln>
                  </pic:spPr>
                </pic:pic>
              </a:graphicData>
            </a:graphic>
          </wp:inline>
        </w:drawing>
      </w:r>
    </w:p>
    <w:p w14:paraId="3F752C99">
      <w:pPr>
        <w:pStyle w:val="3"/>
        <w:rPr>
          <w:rFonts w:hint="eastAsia"/>
        </w:rPr>
      </w:pPr>
      <w:bookmarkStart w:id="26" w:name="_Toc25492"/>
      <w:r>
        <w:rPr>
          <w:rFonts w:hint="eastAsia"/>
        </w:rPr>
        <w:t>案例2：安徽某供二次供水泵房</w:t>
      </w:r>
      <w:bookmarkEnd w:id="26"/>
    </w:p>
    <w:p w14:paraId="0D3CD050">
      <w:pPr>
        <w:ind w:firstLine="482"/>
        <w:rPr>
          <w:rFonts w:hint="eastAsia"/>
        </w:rPr>
      </w:pPr>
      <w:r>
        <w:rPr>
          <w:rFonts w:hint="eastAsia"/>
          <w:b/>
          <w:bCs/>
        </w:rPr>
        <w:t>应用产品：</w:t>
      </w:r>
      <w:r>
        <w:rPr>
          <w:rFonts w:hint="eastAsia"/>
          <w:lang w:val="en-US" w:eastAsia="zh-CN"/>
        </w:rPr>
        <w:t>壁挂式</w:t>
      </w:r>
      <w:r>
        <w:rPr>
          <w:rFonts w:hint="eastAsia"/>
        </w:rPr>
        <w:t>供水水质监测微系统、余氯、浊度、PH</w:t>
      </w:r>
    </w:p>
    <w:p w14:paraId="711041A9">
      <w:pPr>
        <w:ind w:firstLine="482"/>
        <w:rPr>
          <w:rStyle w:val="22"/>
          <w:rFonts w:hint="eastAsia"/>
        </w:rPr>
      </w:pPr>
      <w:r>
        <w:rPr>
          <w:rStyle w:val="22"/>
        </w:rPr>
        <w:t>项目现场</w:t>
      </w:r>
      <w:r>
        <w:rPr>
          <w:rStyle w:val="22"/>
          <w:rFonts w:hint="eastAsia"/>
        </w:rPr>
        <w:t>：</w:t>
      </w:r>
    </w:p>
    <w:p w14:paraId="17B3DDDE">
      <w:pPr>
        <w:ind w:firstLine="480"/>
        <w:jc w:val="center"/>
        <w:rPr>
          <w:rFonts w:hint="eastAsia"/>
        </w:rPr>
      </w:pPr>
      <w:r>
        <w:drawing>
          <wp:inline distT="0" distB="0" distL="114300" distR="114300">
            <wp:extent cx="2310130" cy="2635885"/>
            <wp:effectExtent l="0" t="0" r="6350" b="63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49"/>
                    <a:stretch>
                      <a:fillRect/>
                    </a:stretch>
                  </pic:blipFill>
                  <pic:spPr>
                    <a:xfrm>
                      <a:off x="0" y="0"/>
                      <a:ext cx="2310130" cy="2635885"/>
                    </a:xfrm>
                    <a:prstGeom prst="rect">
                      <a:avLst/>
                    </a:prstGeom>
                    <a:noFill/>
                    <a:ln>
                      <a:noFill/>
                    </a:ln>
                  </pic:spPr>
                </pic:pic>
              </a:graphicData>
            </a:graphic>
          </wp:inline>
        </w:drawing>
      </w:r>
      <w:r>
        <w:drawing>
          <wp:inline distT="0" distB="0" distL="114300" distR="114300">
            <wp:extent cx="2347595" cy="2632075"/>
            <wp:effectExtent l="0" t="0" r="14605" b="444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50"/>
                    <a:stretch>
                      <a:fillRect/>
                    </a:stretch>
                  </pic:blipFill>
                  <pic:spPr>
                    <a:xfrm>
                      <a:off x="0" y="0"/>
                      <a:ext cx="2347595" cy="2632075"/>
                    </a:xfrm>
                    <a:prstGeom prst="rect">
                      <a:avLst/>
                    </a:prstGeom>
                    <a:noFill/>
                    <a:ln>
                      <a:noFill/>
                    </a:ln>
                  </pic:spPr>
                </pic:pic>
              </a:graphicData>
            </a:graphic>
          </wp:inline>
        </w:drawing>
      </w:r>
    </w:p>
    <w:p w14:paraId="21E34890">
      <w:pPr>
        <w:ind w:firstLine="480"/>
        <w:jc w:val="center"/>
        <w:rPr>
          <w:rFonts w:hint="eastAsia"/>
        </w:rPr>
      </w:pPr>
      <w:r>
        <w:rPr>
          <w:rFonts w:hint="eastAsia"/>
        </w:rPr>
        <w:t>案例3：</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PingFang SC">
    <w:altName w:val="Times New Roman"/>
    <w:panose1 w:val="00000000000000000000"/>
    <w:charset w:val="00"/>
    <w:family w:val="auto"/>
    <w:pitch w:val="default"/>
    <w:sig w:usb0="00000000" w:usb1="00000000" w:usb2="00000000" w:usb3="00000000" w:csb0="00000000" w:csb1="00000000"/>
  </w:font>
  <w:font w:name="HarmonyOS Sans">
    <w:altName w:val="Segoe Print"/>
    <w:panose1 w:val="000005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ECAE7">
    <w:pPr>
      <w:pStyle w:val="12"/>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E3EF">
    <w:pPr>
      <w:pStyle w:val="12"/>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9A17B">
    <w:pPr>
      <w:pStyle w:val="12"/>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59630">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C9949">
    <w:pPr>
      <w:pStyle w:val="13"/>
      <w:pBdr>
        <w:bottom w:val="single" w:color="auto" w:sz="4" w:space="0"/>
      </w:pBdr>
      <w:ind w:firstLine="360"/>
      <w:jc w:val="left"/>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0EAD0">
    <w:pPr>
      <w:pStyle w:val="13"/>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BABB3">
    <w:pPr>
      <w:pStyle w:val="13"/>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933E1">
    <w:pPr>
      <w:pStyle w:val="13"/>
      <w:pBdr>
        <w:bottom w:val="single" w:color="auto" w:sz="4" w:space="0"/>
      </w:pBdr>
      <w:ind w:firstLine="360"/>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549171"/>
    <w:multiLevelType w:val="singleLevel"/>
    <w:tmpl w:val="80549171"/>
    <w:lvl w:ilvl="0" w:tentative="0">
      <w:start w:val="1"/>
      <w:numFmt w:val="decimal"/>
      <w:suff w:val="nothing"/>
      <w:lvlText w:val="（%1）"/>
      <w:lvlJc w:val="left"/>
    </w:lvl>
  </w:abstractNum>
  <w:abstractNum w:abstractNumId="1">
    <w:nsid w:val="1E54C0CB"/>
    <w:multiLevelType w:val="multilevel"/>
    <w:tmpl w:val="1E54C0CB"/>
    <w:lvl w:ilvl="0" w:tentative="0">
      <w:start w:val="1"/>
      <w:numFmt w:val="chineseCounting"/>
      <w:pStyle w:val="2"/>
      <w:suff w:val="nothing"/>
      <w:lvlText w:val="%1、"/>
      <w:lvlJc w:val="left"/>
      <w:pPr>
        <w:tabs>
          <w:tab w:val="left" w:pos="420"/>
        </w:tabs>
        <w:ind w:left="432" w:hanging="432"/>
      </w:pPr>
      <w:rPr>
        <w:rFonts w:hint="eastAsia"/>
      </w:rPr>
    </w:lvl>
    <w:lvl w:ilvl="1" w:tentative="0">
      <w:start w:val="1"/>
      <w:numFmt w:val="decimal"/>
      <w:pStyle w:val="3"/>
      <w:isLgl/>
      <w:lvlText w:val="%1.%2."/>
      <w:lvlJc w:val="left"/>
      <w:pPr>
        <w:tabs>
          <w:tab w:val="left" w:pos="420"/>
        </w:tabs>
        <w:ind w:left="575" w:hanging="575"/>
      </w:pPr>
      <w:rPr>
        <w:rFonts w:hint="eastAsia"/>
      </w:rPr>
    </w:lvl>
    <w:lvl w:ilvl="2" w:tentative="0">
      <w:start w:val="1"/>
      <w:numFmt w:val="decimal"/>
      <w:pStyle w:val="4"/>
      <w:isLgl/>
      <w:lvlText w:val="%1.%2.%3."/>
      <w:lvlJc w:val="left"/>
      <w:pPr>
        <w:ind w:left="720" w:hanging="720"/>
      </w:pPr>
      <w:rPr>
        <w:rFonts w:hint="eastAsia"/>
      </w:rPr>
    </w:lvl>
    <w:lvl w:ilvl="3" w:tentative="0">
      <w:start w:val="1"/>
      <w:numFmt w:val="decimal"/>
      <w:pStyle w:val="5"/>
      <w:isLgl/>
      <w:lvlText w:val="%1.%2.%3.%4."/>
      <w:lvlJc w:val="left"/>
      <w:pPr>
        <w:ind w:left="864" w:hanging="864"/>
      </w:pPr>
      <w:rPr>
        <w:rFonts w:hint="eastAsia"/>
      </w:rPr>
    </w:lvl>
    <w:lvl w:ilvl="4" w:tentative="0">
      <w:start w:val="1"/>
      <w:numFmt w:val="decimal"/>
      <w:pStyle w:val="6"/>
      <w:isLgl/>
      <w:lvlText w:val="%1.%2.%3.%4.%5."/>
      <w:lvlJc w:val="left"/>
      <w:pPr>
        <w:ind w:left="1008" w:hanging="1008"/>
      </w:pPr>
      <w:rPr>
        <w:rFonts w:hint="eastAsia"/>
      </w:rPr>
    </w:lvl>
    <w:lvl w:ilvl="5" w:tentative="0">
      <w:start w:val="1"/>
      <w:numFmt w:val="decimal"/>
      <w:pStyle w:val="7"/>
      <w:isLgl/>
      <w:lvlText w:val="%1.%2.%3.%4.%5.%6."/>
      <w:lvlJc w:val="left"/>
      <w:pPr>
        <w:ind w:left="1151" w:hanging="1151"/>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3CB"/>
    <w:rsid w:val="0000331B"/>
    <w:rsid w:val="000D1657"/>
    <w:rsid w:val="000E70C4"/>
    <w:rsid w:val="00121DFF"/>
    <w:rsid w:val="002438FD"/>
    <w:rsid w:val="00351997"/>
    <w:rsid w:val="003B326D"/>
    <w:rsid w:val="003D376D"/>
    <w:rsid w:val="005D277B"/>
    <w:rsid w:val="00797C3F"/>
    <w:rsid w:val="00797E03"/>
    <w:rsid w:val="008753CB"/>
    <w:rsid w:val="008D7448"/>
    <w:rsid w:val="00A10114"/>
    <w:rsid w:val="00A30227"/>
    <w:rsid w:val="00B3703E"/>
    <w:rsid w:val="00F506DA"/>
    <w:rsid w:val="02A161CE"/>
    <w:rsid w:val="05B03E68"/>
    <w:rsid w:val="09DF435C"/>
    <w:rsid w:val="0B5B4683"/>
    <w:rsid w:val="0CA768D2"/>
    <w:rsid w:val="0CF05FA0"/>
    <w:rsid w:val="0D222471"/>
    <w:rsid w:val="0DC31353"/>
    <w:rsid w:val="12012F3E"/>
    <w:rsid w:val="12AE6653"/>
    <w:rsid w:val="1456008E"/>
    <w:rsid w:val="15FB79DC"/>
    <w:rsid w:val="1848354F"/>
    <w:rsid w:val="1A191818"/>
    <w:rsid w:val="1CCC4B92"/>
    <w:rsid w:val="1FE35C4B"/>
    <w:rsid w:val="25E76B6C"/>
    <w:rsid w:val="34AF72A9"/>
    <w:rsid w:val="3BEC6BAE"/>
    <w:rsid w:val="3CAD2E9B"/>
    <w:rsid w:val="3E195180"/>
    <w:rsid w:val="416830A7"/>
    <w:rsid w:val="41E23AAD"/>
    <w:rsid w:val="4283171C"/>
    <w:rsid w:val="466F56AC"/>
    <w:rsid w:val="48271A33"/>
    <w:rsid w:val="493C1C72"/>
    <w:rsid w:val="49F05808"/>
    <w:rsid w:val="4B6F7061"/>
    <w:rsid w:val="4DA8648A"/>
    <w:rsid w:val="513C283A"/>
    <w:rsid w:val="53437441"/>
    <w:rsid w:val="5A9164F8"/>
    <w:rsid w:val="5AED2FB7"/>
    <w:rsid w:val="5C2514E6"/>
    <w:rsid w:val="636B69F0"/>
    <w:rsid w:val="67917192"/>
    <w:rsid w:val="6DE014A3"/>
    <w:rsid w:val="70E1203D"/>
    <w:rsid w:val="799F35BE"/>
    <w:rsid w:val="79D12F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宋体" w:hAnsi="宋体" w:eastAsia="宋体" w:cs="宋体"/>
      <w:kern w:val="2"/>
      <w:sz w:val="24"/>
      <w:szCs w:val="24"/>
      <w:lang w:val="en-US" w:eastAsia="zh-CN" w:bidi="ar-SA"/>
    </w:rPr>
  </w:style>
  <w:style w:type="paragraph" w:styleId="2">
    <w:name w:val="heading 1"/>
    <w:basedOn w:val="1"/>
    <w:next w:val="1"/>
    <w:link w:val="24"/>
    <w:qFormat/>
    <w:uiPriority w:val="9"/>
    <w:pPr>
      <w:keepNext/>
      <w:keepLines/>
      <w:numPr>
        <w:ilvl w:val="0"/>
        <w:numId w:val="1"/>
      </w:numPr>
      <w:ind w:firstLine="0" w:firstLineChars="0"/>
      <w:jc w:val="left"/>
      <w:outlineLvl w:val="0"/>
    </w:pPr>
    <w:rPr>
      <w:b/>
      <w:sz w:val="36"/>
      <w:szCs w:val="32"/>
    </w:rPr>
  </w:style>
  <w:style w:type="paragraph" w:styleId="3">
    <w:name w:val="heading 2"/>
    <w:basedOn w:val="1"/>
    <w:next w:val="1"/>
    <w:link w:val="25"/>
    <w:unhideWhenUsed/>
    <w:qFormat/>
    <w:uiPriority w:val="9"/>
    <w:pPr>
      <w:keepNext/>
      <w:keepLines/>
      <w:numPr>
        <w:ilvl w:val="1"/>
        <w:numId w:val="1"/>
      </w:numPr>
      <w:ind w:firstLine="0" w:firstLineChars="0"/>
      <w:jc w:val="left"/>
      <w:outlineLvl w:val="1"/>
    </w:pPr>
    <w:rPr>
      <w:b/>
      <w:sz w:val="32"/>
      <w:szCs w:val="30"/>
    </w:rPr>
  </w:style>
  <w:style w:type="paragraph" w:styleId="4">
    <w:name w:val="heading 3"/>
    <w:basedOn w:val="1"/>
    <w:next w:val="1"/>
    <w:link w:val="26"/>
    <w:unhideWhenUsed/>
    <w:qFormat/>
    <w:uiPriority w:val="9"/>
    <w:pPr>
      <w:keepNext/>
      <w:keepLines/>
      <w:numPr>
        <w:ilvl w:val="2"/>
        <w:numId w:val="1"/>
      </w:numPr>
      <w:tabs>
        <w:tab w:val="left" w:pos="420"/>
      </w:tabs>
      <w:ind w:firstLine="0" w:firstLineChars="0"/>
      <w:jc w:val="left"/>
      <w:outlineLvl w:val="2"/>
    </w:pPr>
    <w:rPr>
      <w:b/>
      <w:sz w:val="30"/>
      <w:szCs w:val="32"/>
    </w:rPr>
  </w:style>
  <w:style w:type="paragraph" w:styleId="5">
    <w:name w:val="heading 4"/>
    <w:basedOn w:val="1"/>
    <w:next w:val="1"/>
    <w:link w:val="27"/>
    <w:unhideWhenUsed/>
    <w:qFormat/>
    <w:uiPriority w:val="9"/>
    <w:pPr>
      <w:keepNext/>
      <w:keepLines/>
      <w:numPr>
        <w:ilvl w:val="3"/>
        <w:numId w:val="1"/>
      </w:numPr>
      <w:ind w:left="0" w:firstLine="720"/>
      <w:outlineLvl w:val="3"/>
    </w:pPr>
    <w:rPr>
      <w:rFonts w:cstheme="majorBidi"/>
      <w:b/>
      <w:sz w:val="28"/>
      <w:szCs w:val="28"/>
    </w:rPr>
  </w:style>
  <w:style w:type="paragraph" w:styleId="6">
    <w:name w:val="heading 5"/>
    <w:basedOn w:val="5"/>
    <w:next w:val="1"/>
    <w:link w:val="28"/>
    <w:semiHidden/>
    <w:unhideWhenUsed/>
    <w:qFormat/>
    <w:uiPriority w:val="9"/>
    <w:pPr>
      <w:numPr>
        <w:ilvl w:val="4"/>
      </w:numPr>
      <w:spacing w:before="80" w:after="40"/>
      <w:ind w:firstLine="0" w:firstLineChars="0"/>
      <w:outlineLvl w:val="4"/>
    </w:pPr>
  </w:style>
  <w:style w:type="paragraph" w:styleId="7">
    <w:name w:val="heading 6"/>
    <w:basedOn w:val="1"/>
    <w:next w:val="1"/>
    <w:link w:val="29"/>
    <w:semiHidden/>
    <w:unhideWhenUsed/>
    <w:qFormat/>
    <w:uiPriority w:val="9"/>
    <w:pPr>
      <w:keepNext/>
      <w:keepLines/>
      <w:numPr>
        <w:ilvl w:val="5"/>
        <w:numId w:val="1"/>
      </w:numPr>
      <w:spacing w:before="40"/>
      <w:ind w:firstLine="0" w:firstLineChars="0"/>
      <w:outlineLvl w:val="5"/>
    </w:pPr>
    <w:rPr>
      <w:rFonts w:cstheme="majorBidi"/>
      <w:b/>
      <w:bCs/>
      <w:color w:val="104862" w:themeColor="accent1" w:themeShade="BF"/>
    </w:rPr>
  </w:style>
  <w:style w:type="paragraph" w:styleId="8">
    <w:name w:val="heading 7"/>
    <w:basedOn w:val="1"/>
    <w:next w:val="1"/>
    <w:link w:val="30"/>
    <w:semiHidden/>
    <w:unhideWhenUsed/>
    <w:qFormat/>
    <w:uiPriority w:val="9"/>
    <w:pPr>
      <w:keepNext/>
      <w:keepLines/>
      <w:numPr>
        <w:ilvl w:val="6"/>
        <w:numId w:val="1"/>
      </w:numPr>
      <w:spacing w:before="40"/>
      <w:ind w:firstLine="0" w:firstLineChars="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1"/>
    <w:semiHidden/>
    <w:unhideWhenUsed/>
    <w:qFormat/>
    <w:uiPriority w:val="9"/>
    <w:pPr>
      <w:keepNext/>
      <w:keepLines/>
      <w:numPr>
        <w:ilvl w:val="7"/>
        <w:numId w:val="1"/>
      </w:numPr>
      <w:ind w:firstLine="0" w:firstLineChars="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2"/>
    <w:semiHidden/>
    <w:unhideWhenUsed/>
    <w:qFormat/>
    <w:uiPriority w:val="9"/>
    <w:pPr>
      <w:keepNext/>
      <w:keepLines/>
      <w:numPr>
        <w:ilvl w:val="8"/>
        <w:numId w:val="1"/>
      </w:numPr>
      <w:ind w:firstLine="0" w:firstLineChars="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unhideWhenUsed/>
    <w:qFormat/>
    <w:uiPriority w:val="39"/>
    <w:pPr>
      <w:ind w:left="840" w:leftChars="400"/>
    </w:pPr>
  </w:style>
  <w:style w:type="paragraph" w:styleId="12">
    <w:name w:val="footer"/>
    <w:basedOn w:val="1"/>
    <w:link w:val="42"/>
    <w:unhideWhenUsed/>
    <w:qFormat/>
    <w:uiPriority w:val="99"/>
    <w:pPr>
      <w:tabs>
        <w:tab w:val="center" w:pos="4153"/>
        <w:tab w:val="right" w:pos="8306"/>
      </w:tabs>
      <w:snapToGrid w:val="0"/>
      <w:jc w:val="left"/>
    </w:pPr>
    <w:rPr>
      <w:sz w:val="18"/>
      <w:szCs w:val="18"/>
    </w:rPr>
  </w:style>
  <w:style w:type="paragraph" w:styleId="13">
    <w:name w:val="header"/>
    <w:basedOn w:val="1"/>
    <w:link w:val="41"/>
    <w:unhideWhenUsed/>
    <w:qFormat/>
    <w:uiPriority w:val="99"/>
    <w:pP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Subtitle"/>
    <w:basedOn w:val="1"/>
    <w:next w:val="1"/>
    <w:link w:val="34"/>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toc 2"/>
    <w:basedOn w:val="1"/>
    <w:next w:val="1"/>
    <w:unhideWhenUsed/>
    <w:qFormat/>
    <w:uiPriority w:val="39"/>
    <w:pPr>
      <w:ind w:left="420" w:leftChars="200"/>
    </w:pPr>
  </w:style>
  <w:style w:type="paragraph" w:styleId="17">
    <w:name w:val="Normal (Web)"/>
    <w:basedOn w:val="1"/>
    <w:qFormat/>
    <w:uiPriority w:val="0"/>
    <w:pPr>
      <w:spacing w:beforeAutospacing="1" w:afterAutospacing="1"/>
      <w:jc w:val="left"/>
    </w:pPr>
    <w:rPr>
      <w:rFonts w:cs="Times New Roman"/>
      <w:kern w:val="0"/>
    </w:rPr>
  </w:style>
  <w:style w:type="paragraph" w:styleId="18">
    <w:name w:val="Title"/>
    <w:basedOn w:val="1"/>
    <w:next w:val="1"/>
    <w:link w:val="33"/>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20">
    <w:name w:val="Table Grid"/>
    <w:basedOn w:val="1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Hyperlink"/>
    <w:basedOn w:val="21"/>
    <w:unhideWhenUsed/>
    <w:qFormat/>
    <w:uiPriority w:val="99"/>
    <w:rPr>
      <w:color w:val="0563C1"/>
      <w:u w:val="single"/>
    </w:rPr>
  </w:style>
  <w:style w:type="character" w:customStyle="1" w:styleId="24">
    <w:name w:val="标题 1 字符"/>
    <w:basedOn w:val="21"/>
    <w:link w:val="2"/>
    <w:qFormat/>
    <w:uiPriority w:val="9"/>
    <w:rPr>
      <w:rFonts w:ascii="宋体" w:hAnsi="宋体" w:eastAsia="宋体" w:cs="宋体"/>
      <w:b/>
      <w:sz w:val="36"/>
      <w:szCs w:val="32"/>
    </w:rPr>
  </w:style>
  <w:style w:type="character" w:customStyle="1" w:styleId="25">
    <w:name w:val="标题 2 字符"/>
    <w:basedOn w:val="21"/>
    <w:link w:val="3"/>
    <w:qFormat/>
    <w:uiPriority w:val="9"/>
    <w:rPr>
      <w:rFonts w:ascii="宋体" w:hAnsi="宋体" w:eastAsia="宋体" w:cs="宋体"/>
      <w:b/>
      <w:sz w:val="32"/>
      <w:szCs w:val="30"/>
    </w:rPr>
  </w:style>
  <w:style w:type="character" w:customStyle="1" w:styleId="26">
    <w:name w:val="标题 3 字符"/>
    <w:basedOn w:val="21"/>
    <w:link w:val="4"/>
    <w:qFormat/>
    <w:uiPriority w:val="9"/>
    <w:rPr>
      <w:rFonts w:ascii="宋体" w:hAnsi="宋体" w:eastAsia="宋体" w:cs="宋体"/>
      <w:b/>
      <w:sz w:val="30"/>
      <w:szCs w:val="32"/>
    </w:rPr>
  </w:style>
  <w:style w:type="character" w:customStyle="1" w:styleId="27">
    <w:name w:val="标题 4 字符"/>
    <w:basedOn w:val="21"/>
    <w:link w:val="5"/>
    <w:semiHidden/>
    <w:qFormat/>
    <w:uiPriority w:val="9"/>
    <w:rPr>
      <w:rFonts w:ascii="宋体" w:hAnsi="宋体" w:eastAsia="宋体" w:cstheme="majorBidi"/>
      <w:b/>
      <w:color w:val="auto"/>
      <w:sz w:val="28"/>
      <w:szCs w:val="28"/>
    </w:rPr>
  </w:style>
  <w:style w:type="character" w:customStyle="1" w:styleId="28">
    <w:name w:val="标题 5 字符"/>
    <w:basedOn w:val="21"/>
    <w:link w:val="6"/>
    <w:semiHidden/>
    <w:qFormat/>
    <w:uiPriority w:val="9"/>
    <w:rPr>
      <w:rFonts w:ascii="宋体" w:hAnsi="宋体" w:eastAsia="宋体" w:cstheme="majorBidi"/>
      <w:color w:val="auto"/>
      <w:sz w:val="24"/>
      <w:szCs w:val="24"/>
    </w:rPr>
  </w:style>
  <w:style w:type="character" w:customStyle="1" w:styleId="29">
    <w:name w:val="标题 6 字符"/>
    <w:basedOn w:val="21"/>
    <w:link w:val="7"/>
    <w:semiHidden/>
    <w:qFormat/>
    <w:uiPriority w:val="9"/>
    <w:rPr>
      <w:rFonts w:cstheme="majorBidi"/>
      <w:b/>
      <w:bCs/>
      <w:color w:val="104862" w:themeColor="accent1" w:themeShade="BF"/>
    </w:rPr>
  </w:style>
  <w:style w:type="character" w:customStyle="1" w:styleId="30">
    <w:name w:val="标题 7 字符"/>
    <w:basedOn w:val="21"/>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1">
    <w:name w:val="标题 8 字符"/>
    <w:basedOn w:val="21"/>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2">
    <w:name w:val="标题 9 字符"/>
    <w:basedOn w:val="21"/>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3">
    <w:name w:val="标题 字符"/>
    <w:basedOn w:val="21"/>
    <w:link w:val="18"/>
    <w:qFormat/>
    <w:uiPriority w:val="10"/>
    <w:rPr>
      <w:rFonts w:asciiTheme="majorHAnsi" w:hAnsiTheme="majorHAnsi" w:eastAsiaTheme="majorEastAsia" w:cstheme="majorBidi"/>
      <w:spacing w:val="-10"/>
      <w:kern w:val="28"/>
      <w:sz w:val="56"/>
      <w:szCs w:val="56"/>
    </w:rPr>
  </w:style>
  <w:style w:type="character" w:customStyle="1" w:styleId="34">
    <w:name w:val="副标题 字符"/>
    <w:basedOn w:val="21"/>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5">
    <w:name w:val="Quote"/>
    <w:basedOn w:val="1"/>
    <w:next w:val="1"/>
    <w:link w:val="36"/>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6">
    <w:name w:val="引用 字符"/>
    <w:basedOn w:val="21"/>
    <w:link w:val="35"/>
    <w:qFormat/>
    <w:uiPriority w:val="29"/>
    <w:rPr>
      <w:i/>
      <w:iCs/>
      <w:color w:val="404040" w:themeColor="text1" w:themeTint="BF"/>
      <w14:textFill>
        <w14:solidFill>
          <w14:schemeClr w14:val="tx1">
            <w14:lumMod w14:val="75000"/>
            <w14:lumOff w14:val="25000"/>
          </w14:schemeClr>
        </w14:solidFill>
      </w14:textFill>
    </w:rPr>
  </w:style>
  <w:style w:type="paragraph" w:styleId="37">
    <w:name w:val="List Paragraph"/>
    <w:basedOn w:val="1"/>
    <w:qFormat/>
    <w:uiPriority w:val="34"/>
    <w:pPr>
      <w:ind w:left="720"/>
      <w:contextualSpacing/>
    </w:pPr>
  </w:style>
  <w:style w:type="character" w:customStyle="1" w:styleId="38">
    <w:name w:val="明显强调1"/>
    <w:basedOn w:val="21"/>
    <w:qFormat/>
    <w:uiPriority w:val="21"/>
    <w:rPr>
      <w:i/>
      <w:iCs/>
      <w:color w:val="104862" w:themeColor="accent1" w:themeShade="BF"/>
    </w:rPr>
  </w:style>
  <w:style w:type="paragraph" w:styleId="39">
    <w:name w:val="Intense Quote"/>
    <w:basedOn w:val="1"/>
    <w:next w:val="1"/>
    <w:link w:val="40"/>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0">
    <w:name w:val="明显引用 字符"/>
    <w:basedOn w:val="21"/>
    <w:link w:val="39"/>
    <w:qFormat/>
    <w:uiPriority w:val="30"/>
    <w:rPr>
      <w:i/>
      <w:iCs/>
      <w:color w:val="104862" w:themeColor="accent1" w:themeShade="BF"/>
    </w:rPr>
  </w:style>
  <w:style w:type="character" w:customStyle="1" w:styleId="41">
    <w:name w:val="页眉 字符"/>
    <w:basedOn w:val="21"/>
    <w:link w:val="13"/>
    <w:qFormat/>
    <w:uiPriority w:val="99"/>
    <w:rPr>
      <w:sz w:val="18"/>
      <w:szCs w:val="18"/>
    </w:rPr>
  </w:style>
  <w:style w:type="character" w:customStyle="1" w:styleId="42">
    <w:name w:val="页脚 字符"/>
    <w:basedOn w:val="21"/>
    <w:link w:val="12"/>
    <w:qFormat/>
    <w:uiPriority w:val="99"/>
    <w:rPr>
      <w:sz w:val="18"/>
      <w:szCs w:val="18"/>
    </w:rPr>
  </w:style>
  <w:style w:type="paragraph" w:customStyle="1" w:styleId="43">
    <w:name w:val="WPSOffice手动目录 1"/>
    <w:qFormat/>
    <w:uiPriority w:val="0"/>
    <w:rPr>
      <w:rFonts w:asciiTheme="minorHAnsi" w:hAnsiTheme="minorHAnsi" w:eastAsiaTheme="minorEastAsia" w:cstheme="minorBidi"/>
      <w:lang w:val="en-US" w:eastAsia="zh-CN" w:bidi="ar-SA"/>
    </w:rPr>
  </w:style>
  <w:style w:type="paragraph" w:customStyle="1" w:styleId="44">
    <w:name w:val="列出段落1"/>
    <w:basedOn w:val="1"/>
    <w:qFormat/>
    <w:uiPriority w:val="0"/>
    <w:pPr>
      <w:suppressAutoHyphens/>
      <w:ind w:firstLine="420"/>
      <w:jc w:val="left"/>
    </w:pPr>
    <w:rPr>
      <w:rFonts w:ascii="Times" w:hAnsi="Times" w:cs="Times New Roman"/>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jpe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2600</Words>
  <Characters>2849</Characters>
  <Lines>71</Lines>
  <Paragraphs>20</Paragraphs>
  <TotalTime>26</TotalTime>
  <ScaleCrop>false</ScaleCrop>
  <LinksUpToDate>false</LinksUpToDate>
  <CharactersWithSpaces>2930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2025-02-07T05:17:00Z</dcterms:created>
  <dc:creator>闫鹏 李</dc:creator>
  <cp:lastModifiedBy>邹树虎</cp:lastModifiedBy>
  <dcterms:modified xsi:type="dcterms:W3CDTF">2025-07-24T02:01:00Z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eyJoZGlkIjoiZjk1Y2JmN2ViODY3ZDA2MjQ3ZGVkNzAyMTI3ZDBjOWUiLCJ1c2VySWQiOiIxNDQ5MjAxMDk2In0=</vt:lpwstr>
  </property>
  <property fmtid="{D5CDD505-2E9C-101B-9397-08002B2CF9AE}" pid="3" name="KSOProductBuildVer">
    <vt:lpwstr>2052-12.1.0.21915</vt:lpwstr>
  </property>
  <property fmtid="{D5CDD505-2E9C-101B-9397-08002B2CF9AE}" pid="4" name="ICV">
    <vt:lpwstr>D8837F597B5F495AB20998108356F824_13</vt:lpwstr>
  </property>
</Properties>
</file>